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3EFB762">
      <w:pPr>
        <w:pStyle w:val="style0"/>
        <w:tabs>
          <w:tab w:val="left" w:leader="none" w:pos="720"/>
          <w:tab w:val="left" w:leader="none" w:pos="6840"/>
        </w:tabs>
        <w:jc w:val="center"/>
        <w:rPr>
          <w:rFonts w:ascii="Tahoma" w:cs="Tahoma" w:hAnsi="Tahoma"/>
          <w:b/>
        </w:rPr>
      </w:pPr>
      <w:r>
        <w:rPr>
          <w:rFonts w:ascii="Tahoma" w:cs="Tahoma" w:hAnsi="Tahoma"/>
          <w:b/>
        </w:rPr>
        <w:t xml:space="preserve">Справка о ходе реализации проекта </w:t>
      </w:r>
    </w:p>
    <w:tbl>
      <w:tblPr>
        <w:tblW w:w="5283" w:type="pct"/>
        <w:jc w:val="center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Look w:val="04A0" w:firstRow="1" w:lastRow="0" w:firstColumn="1" w:lastColumn="0" w:noHBand="0" w:noVBand="1"/>
      </w:tblPr>
      <w:tblGrid>
        <w:gridCol w:w="4583"/>
        <w:gridCol w:w="11281"/>
      </w:tblGrid>
      <w:tr w14:paraId="3C06287B"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75952B69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Отчетный период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76AF3EB9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color w:val="ff0000"/>
                <w:sz w:val="20"/>
                <w:szCs w:val="20"/>
              </w:rPr>
              <w:t>{{report_period}}</w:t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</w:p>
        </w:tc>
      </w:tr>
      <w:tr w14:paraId="10700C80">
        <w:tblPrEx/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534BD877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Директор</w:t>
            </w:r>
            <w:r>
              <w:rPr>
                <w:rFonts w:ascii="Tahoma" w:cs="Tahoma" w:hAnsi="Tahoma"/>
                <w:sz w:val="20"/>
                <w:szCs w:val="20"/>
              </w:rPr>
              <w:t xml:space="preserve"> П</w:t>
            </w:r>
            <w:r>
              <w:rPr>
                <w:rFonts w:ascii="Tahoma" w:cs="Tahoma" w:hAnsi="Tahoma"/>
                <w:sz w:val="20"/>
                <w:szCs w:val="20"/>
              </w:rPr>
              <w:t>ТЭ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1FBC28A5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</w:p>
        </w:tc>
      </w:tr>
      <w:tr w14:paraId="47E18D16">
        <w:tblPrEx/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77FE184C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Специалист ПТЭ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69F71B5C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</w:p>
        </w:tc>
      </w:tr>
      <w:tr w14:paraId="631A1D24">
        <w:tblPrEx/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359C33B6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Исполнитель проекта (Заемщик</w:t>
            </w:r>
            <w:r>
              <w:rPr>
                <w:rFonts w:ascii="Tahoma" w:cs="Tahoma" w:hAnsi="Tahoma"/>
                <w:sz w:val="20"/>
                <w:szCs w:val="20"/>
              </w:rPr>
              <w:t>/Заказчик</w:t>
            </w:r>
            <w:r>
              <w:rPr>
                <w:rFonts w:ascii="Tahoma" w:cs="Tahoma" w:hAnsi="Tahoma"/>
                <w:sz w:val="20"/>
                <w:szCs w:val="20"/>
              </w:rPr>
              <w:t>)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4478A336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</w:p>
        </w:tc>
      </w:tr>
      <w:tr w14:paraId="17B71F6C">
        <w:tblPrEx/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7BDCD5B3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Технический заказчик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61FF3C3F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</w:p>
        </w:tc>
      </w:tr>
      <w:tr w14:paraId="271984B8">
        <w:tblPrEx/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673D203D">
            <w:pPr>
              <w:pStyle w:val="style0"/>
              <w:ind w:left="-1116" w:firstLine="1116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  <w:lang w:val="en-US"/>
              </w:rPr>
              <w:t>ID</w:t>
            </w:r>
            <w:r>
              <w:rPr>
                <w:rFonts w:ascii="Tahoma" w:cs="Tahoma" w:hAnsi="Tahoma"/>
                <w:sz w:val="20"/>
                <w:szCs w:val="20"/>
              </w:rPr>
              <w:t xml:space="preserve"> клиента/</w:t>
            </w:r>
            <w:r>
              <w:rPr>
                <w:rFonts w:ascii="Tahoma" w:cs="Tahoma" w:hAnsi="Tahoma"/>
                <w:sz w:val="20"/>
                <w:szCs w:val="20"/>
                <w:lang w:val="en-US"/>
              </w:rPr>
              <w:t>ID</w:t>
            </w:r>
            <w:r>
              <w:rPr>
                <w:rFonts w:ascii="Tahoma" w:cs="Tahoma" w:hAnsi="Tahoma"/>
                <w:sz w:val="20"/>
                <w:szCs w:val="20"/>
              </w:rPr>
              <w:t xml:space="preserve"> КС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4A1F1FF3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</w:p>
        </w:tc>
      </w:tr>
      <w:tr w14:paraId="676C48B2">
        <w:tblPrEx/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19055FB6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Наименование проекта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7E358CEC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color w:val="ff0000"/>
                <w:sz w:val="20"/>
                <w:szCs w:val="20"/>
              </w:rPr>
              <w:t>{{project_name}} (далее – Проект)</w:t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</w:tc>
      </w:tr>
      <w:tr w14:paraId="5E941985">
        <w:tblPrEx/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6D1DC8B8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Местонахождение (ФО, субъект РФ, адрес)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2AAA33DB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color w:val="ff0000"/>
                <w:sz w:val="20"/>
                <w:szCs w:val="20"/>
              </w:rPr>
              <w:t>{{project_address}}</w:t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</w:p>
        </w:tc>
      </w:tr>
      <w:tr w14:paraId="018BE45A">
        <w:tblPrEx/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72A3EFA9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Надзорная компания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162E1943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color w:val="ff0000"/>
                <w:sz w:val="20"/>
                <w:szCs w:val="20"/>
              </w:rPr>
              <w:t>{{org_short_name}} (далее – НК)</w:t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</w:tc>
      </w:tr>
      <w:tr w14:paraId="2C9FFCBF">
        <w:tblPrEx/>
        <w:trPr>
          <w:trHeight w:val="20" w:hRule="atLeast"/>
          <w:jc w:val="center"/>
        </w:trPr>
        <w:tc>
          <w:tcPr>
            <w:tcW w:w="4583" w:type="dxa"/>
            <w:tcBorders/>
            <w:shd w:val="clear" w:color="auto" w:fill="auto"/>
            <w:vAlign w:val="center"/>
          </w:tcPr>
          <w:p w14:paraId="6EC40F55">
            <w:pPr>
              <w:pStyle w:val="style0"/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Отчетный документ, используемый при составлении справки</w:t>
            </w:r>
          </w:p>
        </w:tc>
        <w:tc>
          <w:tcPr>
            <w:tcW w:w="11281" w:type="dxa"/>
            <w:tcBorders/>
            <w:shd w:val="clear" w:color="auto" w:fill="auto"/>
            <w:noWrap/>
            <w:vAlign w:val="center"/>
          </w:tcPr>
          <w:p w14:paraId="728D2A63">
            <w:pPr>
              <w:pStyle w:val="style0"/>
              <w:ind w:firstLine="34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Отчет от {{report_date_number}} (далее – Отчет)</w:t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</w:tc>
      </w:tr>
    </w:tbl>
    <w:p w14:paraId="10AFEAB4">
      <w:pPr>
        <w:pStyle w:val="style0"/>
        <w:rPr/>
      </w:pPr>
    </w:p>
    <w:tbl>
      <w:tblPr>
        <w:tblW w:w="5274" w:type="pct"/>
        <w:jc w:val="center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ook w:val="04A0" w:firstRow="1" w:lastRow="0" w:firstColumn="1" w:lastColumn="0" w:noHBand="0" w:noVBand="1"/>
      </w:tblPr>
      <w:tblGrid>
        <w:gridCol w:w="3539"/>
        <w:gridCol w:w="6662"/>
        <w:gridCol w:w="5636"/>
      </w:tblGrid>
      <w:tr w14:paraId="1BF91894">
        <w:trPr>
          <w:trHeight w:val="1113" w:hRule="atLeast"/>
          <w:tblHeader/>
          <w:jc w:val="center"/>
        </w:trPr>
        <w:tc>
          <w:tcPr>
            <w:tcW w:w="1117" w:type="pct"/>
            <w:tcBorders/>
            <w:shd w:val="clear" w:color="auto" w:fill="30454f"/>
            <w:vAlign w:val="center"/>
          </w:tcPr>
          <w:p w14:paraId="47CBC186">
            <w:pPr>
              <w:pStyle w:val="style0"/>
              <w:ind w:firstLine="0"/>
              <w:jc w:val="center"/>
              <w:rPr>
                <w:rFonts w:ascii="Tahoma" w:cs="Tahoma" w:hAnsi="Tahoma"/>
                <w:b/>
                <w:bCs/>
                <w:iCs/>
                <w:color w:val="ffffff"/>
                <w:sz w:val="20"/>
                <w:szCs w:val="20"/>
              </w:rPr>
            </w:pPr>
            <w:r>
              <w:rPr>
                <w:rFonts w:ascii="Tahoma" w:cs="Tahoma" w:hAnsi="Tahoma"/>
                <w:b/>
                <w:color w:val="ffffff"/>
                <w:sz w:val="20"/>
                <w:szCs w:val="20"/>
              </w:rPr>
              <w:t>Анализируемые показатели</w:t>
            </w:r>
          </w:p>
        </w:tc>
        <w:tc>
          <w:tcPr>
            <w:tcW w:w="2103" w:type="pct"/>
            <w:tcBorders/>
            <w:shd w:val="clear" w:color="auto" w:fill="30454f"/>
            <w:vAlign w:val="center"/>
          </w:tcPr>
          <w:p w14:paraId="6ECC0C1E">
            <w:pPr>
              <w:pStyle w:val="style0"/>
              <w:keepNext/>
              <w:ind w:hanging="4"/>
              <w:jc w:val="center"/>
              <w:rPr>
                <w:rFonts w:ascii="Tahoma" w:cs="Tahoma" w:hAnsi="Tahoma"/>
                <w:b/>
                <w:bCs/>
                <w:iCs/>
                <w:color w:val="ffffff"/>
                <w:sz w:val="20"/>
                <w:szCs w:val="20"/>
              </w:rPr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>Выводы по состоянию на отчетную дату</w:t>
            </w:r>
          </w:p>
        </w:tc>
        <w:tc>
          <w:tcPr>
            <w:tcW w:w="1779" w:type="pct"/>
            <w:tcBorders/>
            <w:shd w:val="clear" w:color="auto" w:fill="30454f"/>
            <w:vAlign w:val="center"/>
          </w:tcPr>
          <w:p w14:paraId="24F9BDF5">
            <w:pPr>
              <w:pStyle w:val="style0"/>
              <w:keepNext/>
              <w:ind w:firstLine="0"/>
              <w:jc w:val="center"/>
              <w:rPr>
                <w:rFonts w:ascii="Tahoma" w:cs="Tahoma" w:hAnsi="Tahoma"/>
                <w:b/>
                <w:bCs/>
                <w:iCs/>
                <w:color w:val="ffffff"/>
                <w:sz w:val="20"/>
                <w:szCs w:val="20"/>
              </w:rPr>
            </w:pPr>
            <w:r>
              <w:rPr>
                <w:rFonts w:ascii="Tahoma" w:cs="Tahoma" w:hAnsi="Tahoma"/>
                <w:b/>
                <w:bCs/>
                <w:color w:val="ffffff"/>
                <w:sz w:val="20"/>
                <w:szCs w:val="20"/>
              </w:rPr>
              <w:t>Влияние на срок и стоимость реализации проекта с указанием степени влияния</w:t>
            </w:r>
          </w:p>
        </w:tc>
      </w:tr>
      <w:tr w14:paraId="1B63E9C3">
        <w:tblPrEx/>
        <w:trPr>
          <w:trHeight w:val="291" w:hRule="atLeast"/>
          <w:jc w:val="center"/>
        </w:trPr>
        <w:tc>
          <w:tcPr>
            <w:tcW w:w="1117" w:type="pct"/>
            <w:tcBorders/>
            <w:shd w:val="clear" w:color="auto" w:fill="auto"/>
            <w:vAlign w:val="center"/>
          </w:tcPr>
          <w:p w14:paraId="3E309E90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 xml:space="preserve">Степень готовности </w:t>
            </w:r>
            <w:r>
              <w:rPr>
                <w:rFonts w:ascii="Tahoma" w:cs="Tahoma" w:hAnsi="Tahoma"/>
                <w:sz w:val="20"/>
                <w:szCs w:val="20"/>
              </w:rPr>
              <w:t>объектов</w:t>
            </w:r>
            <w:r>
              <w:rPr>
                <w:rFonts w:ascii="Tahoma" w:cs="Tahoma" w:hAnsi="Tahoma"/>
                <w:sz w:val="20"/>
                <w:szCs w:val="20"/>
              </w:rPr>
              <w:t xml:space="preserve"> Проекта</w:t>
            </w:r>
          </w:p>
        </w:tc>
        <w:tc>
          <w:tcPr>
            <w:tcW w:w="2103" w:type="pct"/>
            <w:tcBorders/>
            <w:shd w:val="clear" w:color="auto" w:fill="auto"/>
            <w:vAlign w:val="center"/>
          </w:tcPr>
          <w:p w14:paraId="6A3FC803">
            <w:pPr>
              <w:pStyle w:val="style0"/>
              <w:ind w:hanging="4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Степень строительной готовности Проекта составляет {{gotovnost_fakt}} %.</w:t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  <w:p w14:paraId="251CE836">
            <w:pPr>
              <w:pStyle w:val="style179"/>
              <w:tabs>
                <w:tab w:val="left" w:leader="none" w:pos="181"/>
              </w:tabs>
              <w:ind w:left="0" w:firstLine="0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Плановая строительная готовность Проекта должна составлять {{gotovnost_plan}} %.</w:t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</w:tc>
        <w:tc>
          <w:tcPr>
            <w:tcW w:w="1779" w:type="pct"/>
            <w:tcBorders/>
            <w:shd w:val="clear" w:color="auto" w:fill="auto"/>
            <w:vAlign w:val="center"/>
          </w:tcPr>
          <w:p w14:paraId="7CD7089C">
            <w:pPr>
              <w:pStyle w:val="style0"/>
              <w:ind w:hanging="4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Отставание от плановой степени строительной готовности составляет {{otstavanie_pct}} %.</w:t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  <w:p w14:paraId="61051783">
            <w:pPr>
              <w:pStyle w:val="style0"/>
              <w:ind w:hanging="4"/>
              <w:rPr>
                <w:rFonts w:ascii="Tahoma" w:cs="Tahoma" w:hAnsi="Tahoma"/>
                <w:sz w:val="20"/>
                <w:szCs w:val="20"/>
              </w:rPr>
            </w:pPr>
          </w:p>
        </w:tc>
      </w:tr>
      <w:tr w14:paraId="2AF5ADB4">
        <w:tblPrEx/>
        <w:trPr>
          <w:trHeight w:val="255" w:hRule="atLeast"/>
          <w:jc w:val="center"/>
        </w:trPr>
        <w:tc>
          <w:tcPr>
            <w:tcW w:w="1117" w:type="pct"/>
            <w:vMerge w:val="restart"/>
            <w:tcBorders/>
            <w:shd w:val="clear" w:color="auto" w:fill="auto"/>
            <w:vAlign w:val="center"/>
          </w:tcPr>
          <w:p w14:paraId="630BAA44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Стоимость ра</w:t>
            </w:r>
            <w:r>
              <w:rPr>
                <w:rFonts w:ascii="Tahoma" w:cs="Tahoma" w:hAnsi="Tahoma"/>
                <w:sz w:val="20"/>
                <w:szCs w:val="20"/>
              </w:rPr>
              <w:t>бот/услуг выполненных в рамках П</w:t>
            </w:r>
            <w:r>
              <w:rPr>
                <w:rFonts w:ascii="Tahoma" w:cs="Tahoma" w:hAnsi="Tahoma"/>
                <w:sz w:val="20"/>
                <w:szCs w:val="20"/>
              </w:rPr>
              <w:t>роекта за соответствующий период</w:t>
            </w:r>
          </w:p>
        </w:tc>
        <w:tc>
          <w:tcPr>
            <w:tcW w:w="2103" w:type="pct"/>
            <w:tcBorders/>
            <w:shd w:val="clear" w:color="auto" w:fill="auto"/>
            <w:vAlign w:val="center"/>
          </w:tcPr>
          <w:p w14:paraId="518FD708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Процент контрактации Бюджета Проекта составляет {{dogovory_pct}} Или {{dogovory_rub}} с НДС.</w:t>
            </w:r>
            <w:r>
              <w:rPr>
                <w:rStyle w:val="style38"/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</w:tc>
        <w:tc>
          <w:tcPr>
            <w:tcW w:w="1779" w:type="pct"/>
            <w:vMerge w:val="restart"/>
            <w:tcBorders/>
            <w:shd w:val="clear" w:color="auto" w:fill="auto"/>
            <w:vAlign w:val="center"/>
          </w:tcPr>
          <w:p w14:paraId="0B8D27B6">
            <w:pPr>
              <w:pStyle w:val="style0"/>
              <w:ind w:hanging="4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В связи с низкой контрактацией существует возможный риск увеличения Бюджета Проекта.</w:t>
            </w:r>
          </w:p>
          <w:p w14:paraId="16393011">
            <w:pPr>
              <w:pStyle w:val="style0"/>
              <w:ind w:hanging="4"/>
              <w:rPr>
                <w:rFonts w:ascii="Tahoma" w:cs="Tahoma" w:hAnsi="Tahoma"/>
                <w:sz w:val="20"/>
                <w:szCs w:val="20"/>
              </w:rPr>
            </w:pPr>
          </w:p>
        </w:tc>
      </w:tr>
      <w:tr w14:paraId="505653EB">
        <w:tblPrEx/>
        <w:trPr>
          <w:trHeight w:val="255" w:hRule="atLeast"/>
          <w:jc w:val="center"/>
        </w:trPr>
        <w:tc>
          <w:tcPr>
            <w:tcW w:w="1117" w:type="pct"/>
            <w:vMerge w:val="continue"/>
            <w:tcBorders/>
            <w:shd w:val="clear" w:color="auto" w:fill="auto"/>
            <w:vAlign w:val="center"/>
          </w:tcPr>
          <w:p w14:paraId="2E15AEB4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</w:p>
        </w:tc>
        <w:tc>
          <w:tcPr>
            <w:tcW w:w="2103" w:type="pct"/>
            <w:tcBorders/>
            <w:shd w:val="clear" w:color="auto" w:fill="auto"/>
            <w:vAlign w:val="center"/>
          </w:tcPr>
          <w:p w14:paraId="10DC00D7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Величина произведенных по Бюджету Проекта платежей с начала реализации Проекта составляет {{platezhi_rub}}, с НДС или составляет {{platezhi_pct}} % от Бюджета Проекта, в том числе:</w:t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  <w:p w14:paraId="6318FC97">
            <w:pPr>
              <w:pStyle w:val="style179"/>
              <w:numPr>
                <w:ilvl w:val="0"/>
                <w:numId w:val="4"/>
              </w:numPr>
              <w:tabs>
                <w:tab w:val="left" w:leader="none" w:pos="457"/>
              </w:tabs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собственные средства {{sobstvennye_sredstva_rub}} руб., с НДС ({{sobstvennye_sredstva_pct}} % от общей суммы произведенных платежей);</w:t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  <w:p w14:paraId="509F0771">
            <w:pPr>
              <w:pStyle w:val="style179"/>
              <w:numPr>
                <w:ilvl w:val="0"/>
                <w:numId w:val="4"/>
              </w:numPr>
              <w:tabs>
                <w:tab w:val="left" w:leader="none" w:pos="457"/>
              </w:tabs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кредитные средства по КС1 – {{kreditnye_sredstva_ks1_rub}}, с НДС ({{kreditnye_sredstva_ks1_pct}} % от общей суммы произведенных платежей);</w:t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  <w:p w14:paraId="3541A1AD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Выполнено работ/услуг -  {{vypolneno_rabot_rub}} руб., с НДС, что составляет {{vypolneno_rabot_pct}} % от Бюджета Проекта.</w:t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Style w:val="style38"/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/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  <w:p w14:paraId="00DD2DF1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Технологическое оборудование производственного корпуса законтрактовано на {{tekh_oborudovanie_pct}} % от лимита средств Бюджета Проекта по статье «Технологическое оборудование для ПК».</w:t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  <w:p w14:paraId="498F6850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 xml:space="preserve">По статье Бюджета Проекта «ТУ и технологическое присоединение </w:t>
              <w:br/>
              <w:t xml:space="preserve">к сетям» общая стоимость заключенных договоров превышает утвержденный лимит Бюджета на {{tu_prevyshenie_rub}} руб. </w:t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  <w:p w14:paraId="4A8F0680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Данное превышение в полном объеме покрывается резервом средств, предусмотренным по статье «Непредвиденные затраты» в размере {{rezerv_nepredvidennye_rub}} руб., и не влечет за собой увеличения общего лимита Бюджета Проекта.</w:t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</w:tc>
        <w:tc>
          <w:tcPr>
            <w:tcW w:w="1779" w:type="pct"/>
            <w:vMerge w:val="continue"/>
            <w:tcBorders/>
            <w:shd w:val="clear" w:color="auto" w:fill="auto"/>
            <w:vAlign w:val="center"/>
          </w:tcPr>
          <w:p w14:paraId="6BF926E7">
            <w:pPr>
              <w:pStyle w:val="style0"/>
              <w:ind w:firstLine="0"/>
              <w:rPr>
                <w:rFonts w:ascii="Tahoma" w:cs="Tahoma" w:hAnsi="Tahoma"/>
                <w:sz w:val="20"/>
                <w:szCs w:val="20"/>
              </w:rPr>
            </w:pPr>
          </w:p>
        </w:tc>
      </w:tr>
      <w:tr w14:paraId="1AD350D3">
        <w:tblPrEx/>
        <w:trPr>
          <w:trHeight w:val="149" w:hRule="atLeast"/>
          <w:jc w:val="center"/>
        </w:trPr>
        <w:tc>
          <w:tcPr>
            <w:tcW w:w="1117" w:type="pct"/>
            <w:tcBorders/>
            <w:shd w:val="clear" w:color="auto" w:fill="auto"/>
            <w:vAlign w:val="center"/>
          </w:tcPr>
          <w:p w14:paraId="1ADE3CB5">
            <w:pPr>
              <w:pStyle w:val="style0"/>
              <w:ind w:firstLine="0"/>
              <w:rPr>
                <w:rFonts w:ascii="Tahoma" w:cs="Tahoma" w:hAnsi="Tahoma"/>
                <w:iCs/>
                <w:color w:val="000000"/>
                <w:sz w:val="20"/>
                <w:szCs w:val="20"/>
              </w:rPr>
            </w:pPr>
            <w:r>
              <w:rPr>
                <w:rFonts w:ascii="Tahoma" w:cs="Tahoma" w:hAnsi="Tahoma"/>
                <w:iCs/>
                <w:color w:val="000000"/>
                <w:sz w:val="20"/>
                <w:szCs w:val="20"/>
              </w:rPr>
              <w:t xml:space="preserve">Сроки выполнения работ/услуг в рамках </w:t>
            </w:r>
            <w:r>
              <w:rPr>
                <w:rFonts w:ascii="Tahoma" w:cs="Tahoma" w:hAnsi="Tahoma"/>
                <w:iCs/>
                <w:color w:val="000000"/>
                <w:sz w:val="20"/>
                <w:szCs w:val="20"/>
              </w:rPr>
              <w:t>П</w:t>
            </w:r>
            <w:r>
              <w:rPr>
                <w:rFonts w:ascii="Tahoma" w:cs="Tahoma" w:hAnsi="Tahoma"/>
                <w:iCs/>
                <w:color w:val="000000"/>
                <w:sz w:val="20"/>
                <w:szCs w:val="20"/>
              </w:rPr>
              <w:t>роекта за соответствующий период</w:t>
            </w:r>
          </w:p>
        </w:tc>
        <w:tc>
          <w:tcPr>
            <w:tcW w:w="2103" w:type="pct"/>
            <w:tcBorders/>
            <w:shd w:val="clear" w:color="auto" w:fill="auto"/>
            <w:vAlign w:val="center"/>
          </w:tcPr>
          <w:p w14:paraId="34978684">
            <w:pPr>
              <w:pStyle w:val="style0"/>
              <w:ind w:hanging="4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Выполнение СМР было начато с отставанием 4 месяца. По итогам {{report_period}} отставаний от ГРП не выявлено / выявлено.</w:t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color w:val="ff0000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  <w:r>
              <w:rPr>
                <w:rFonts w:ascii="Tahoma" w:cs="Tahoma" w:hAnsi="Tahoma"/>
                <w:i/>
                <w:sz w:val="20"/>
                <w:szCs w:val="20"/>
              </w:rPr>
            </w:r>
            <w:r>
              <w:rPr>
                <w:rFonts w:ascii="Tahoma" w:cs="Tahoma" w:hAnsi="Tahoma"/>
                <w:i/>
                <w:sz w:val="20"/>
                <w:szCs w:val="20"/>
              </w:rPr>
            </w:r>
            <w:r>
              <w:rPr>
                <w:rFonts w:ascii="Tahoma" w:cs="Tahoma" w:hAnsi="Tahoma"/>
                <w:sz w:val="20"/>
                <w:szCs w:val="20"/>
              </w:rPr>
            </w:r>
          </w:p>
          <w:p w14:paraId="5ACBB987">
            <w:pPr>
              <w:pStyle w:val="style0"/>
              <w:ind w:hanging="4"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 xml:space="preserve">По состоянию на отчетную дату Заказчиком не законтрактованы </w:t>
            </w:r>
            <w:bookmarkStart w:id="0" w:name="_GoBack"/>
            <w:r>
              <w:rPr>
                <w:rFonts w:ascii="Tahoma" w:cs="Tahoma" w:hAnsi="Tahoma"/>
                <w:i/>
                <w:sz w:val="20"/>
                <w:szCs w:val="20"/>
              </w:rPr>
              <w:t xml:space="preserve">7 из 58 </w:t>
            </w:r>
            <w:bookmarkEnd w:id="0"/>
            <w:r>
              <w:rPr>
                <w:rFonts w:ascii="Tahoma" w:cs="Tahoma" w:hAnsi="Tahoma"/>
                <w:sz w:val="20"/>
                <w:szCs w:val="20"/>
              </w:rPr>
              <w:t>позиций основного технологического оборудования</w:t>
            </w:r>
            <w:r>
              <w:rPr>
                <w:rFonts w:ascii="Tahoma" w:cs="Tahoma" w:hAnsi="Tahoma"/>
                <w:sz w:val="20"/>
                <w:szCs w:val="20"/>
              </w:rPr>
              <w:t xml:space="preserve"> Производственного корпуса.</w:t>
            </w:r>
            <w:r>
              <w:rPr>
                <w:rFonts w:ascii="Tahoma" w:cs="Tahoma" w:hAnsi="Tahoma"/>
                <w:sz w:val="20"/>
                <w:szCs w:val="20"/>
              </w:rPr>
              <w:t xml:space="preserve"> В связи с этим возможен риск нарушения ГРП в части сроков поставки технологического оборудования.</w:t>
            </w:r>
          </w:p>
        </w:tc>
        <w:tc>
          <w:tcPr>
            <w:tcW w:w="1779" w:type="pct"/>
            <w:tcBorders/>
            <w:shd w:val="clear" w:color="auto" w:fill="auto"/>
            <w:vAlign w:val="center"/>
          </w:tcPr>
          <w:p w14:paraId="6D6C7DB9">
            <w:pPr>
              <w:pStyle w:val="style0"/>
              <w:tabs>
                <w:tab w:val="left" w:leader="none" w:pos="720"/>
                <w:tab w:val="left" w:leader="none" w:pos="6840"/>
              </w:tabs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 xml:space="preserve">Риск нарушения ГРП </w:t>
            </w:r>
            <w:r>
              <w:rPr>
                <w:rFonts w:ascii="Tahoma" w:cs="Tahoma" w:hAnsi="Tahoma"/>
                <w:sz w:val="20"/>
                <w:szCs w:val="20"/>
              </w:rPr>
              <w:t>в части сроков поставки технологического оборудования</w:t>
            </w:r>
            <w:r>
              <w:rPr>
                <w:rFonts w:ascii="Tahoma" w:cs="Tahoma" w:hAnsi="Tahoma"/>
                <w:sz w:val="20"/>
                <w:szCs w:val="20"/>
              </w:rPr>
              <w:t>.</w:t>
            </w:r>
          </w:p>
          <w:p w14:paraId="54995EB6">
            <w:pPr>
              <w:pStyle w:val="style0"/>
              <w:tabs>
                <w:tab w:val="left" w:leader="none" w:pos="720"/>
                <w:tab w:val="left" w:leader="none" w:pos="6840"/>
              </w:tabs>
              <w:ind w:firstLine="0"/>
              <w:contextualSpacing/>
              <w:rPr>
                <w:rFonts w:ascii="Tahoma" w:cs="Tahoma" w:hAnsi="Tahoma"/>
                <w:sz w:val="20"/>
                <w:szCs w:val="20"/>
              </w:rPr>
            </w:pPr>
            <w:r>
              <w:rPr>
                <w:rFonts w:ascii="Tahoma" w:cs="Tahoma" w:hAnsi="Tahoma"/>
                <w:sz w:val="20"/>
                <w:szCs w:val="20"/>
              </w:rPr>
              <w:t>НК</w:t>
            </w:r>
            <w:r>
              <w:rPr>
                <w:rFonts w:ascii="Tahoma" w:cs="Tahoma" w:hAnsi="Tahoma"/>
                <w:sz w:val="20"/>
                <w:szCs w:val="20"/>
              </w:rPr>
              <w:t xml:space="preserve"> оценивает риск, связанный со сроками поставки основного технологического оборудования как риск низкого уровня.</w:t>
            </w:r>
          </w:p>
        </w:tc>
      </w:tr>
    </w:tbl>
    <w:p w14:paraId="62633F52">
      <w:pPr>
        <w:pStyle w:val="style0"/>
        <w:ind w:firstLine="0"/>
        <w:rPr/>
      </w:pPr>
    </w:p>
    <w:sectPr>
      <w:footerReference w:type="default" r:id="rId2"/>
      <w:pgSz w:w="16838" w:h="11906" w:orient="landscape" w:code="9"/>
      <w:pgMar w:top="1418" w:right="907" w:bottom="851" w:left="907" w:header="567" w:footer="56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cc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005040204"/>
    <w:charset w:val="cc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002020204"/>
    <w:charset w:val="cc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cc"/>
    <w:family w:val="swiss"/>
    <w:pitch w:val="variable"/>
    <w:sig w:usb0="E0002EFF" w:usb1="C000247B" w:usb2="00000009" w:usb3="00000000" w:csb0="000001FF" w:csb1="00000000"/>
  </w:font>
  <w:font w:name="Segoe UI">
    <w:altName w:val="Segoe UI"/>
    <w:panose1 w:val="020b0502040002020203"/>
    <w:charset w:val="cc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004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686B110">
    <w:pPr>
      <w:pStyle w:val="style32"/>
      <w:jc w:val="right"/>
      <w:rPr/>
    </w:pPr>
    <w:r>
      <w:rPr>
        <w:sz w:val="14"/>
        <w:szCs w:val="14"/>
      </w:rPr>
      <w:fldChar w:fldCharType="begin"/>
    </w:r>
    <w:r>
      <w:rPr>
        <w:sz w:val="14"/>
        <w:szCs w:val="14"/>
      </w:rPr>
      <w:instrText>PAGE   \* MERGEFORMAT</w:instrText>
    </w:r>
    <w:r>
      <w:rPr>
        <w:sz w:val="14"/>
        <w:szCs w:val="14"/>
      </w:rPr>
      <w:fldChar w:fldCharType="separate"/>
    </w:r>
    <w:r>
      <w:rPr>
        <w:noProof/>
        <w:sz w:val="14"/>
        <w:szCs w:val="14"/>
      </w:rPr>
      <w:t>2</w:t>
    </w:r>
    <w:r>
      <w:rPr>
        <w:sz w:val="14"/>
        <w:szCs w:val="14"/>
      </w:rPr>
      <w:fldChar w:fldCharType="end"/>
    </w:r>
  </w:p>
  <w:p w14:paraId="08439E57">
    <w:pPr>
      <w:pStyle w:val="style32"/>
      <w:rPr/>
    </w:pPr>
  </w:p>
</w:ftr>
</file>

<file path=word/footnotes.xml><?xml version="1.0" encoding="utf-8"?>
<w:footnotes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footnote w:id="1">
    <w:p w14:paraId="5DF77D87">
      <w:pPr>
        <w:pStyle w:val="style29"/>
        <w:rPr>
          <w:rFonts w:ascii="Tahoma" w:cs="Tahoma" w:hAnsi="Tahoma"/>
        </w:rPr>
      </w:pPr>
      <w:r>
        <w:rPr>
          <w:rStyle w:val="style38"/>
          <w:rFonts w:ascii="Tahoma" w:cs="Tahoma" w:hAnsi="Tahoma"/>
        </w:rPr>
        <w:footnoteRef/>
      </w:r>
      <w:r>
        <w:rPr>
          <w:rFonts w:ascii="Tahoma" w:cs="Tahoma" w:hAnsi="Tahoma"/>
        </w:rPr>
        <w:t xml:space="preserve"> Бюджет Проекта составляет </w:t>
      </w:r>
      <w:r>
        <w:rPr>
          <w:rFonts w:ascii="Tahoma" w:cs="Tahoma" w:hAnsi="Tahoma"/>
        </w:rPr>
        <w:t>{{byudzhet_proekta_rub}}</w:t>
      </w:r>
      <w:r>
        <w:rPr>
          <w:rFonts w:ascii="Tahoma" w:cs="Tahoma" w:hAnsi="Tahoma"/>
        </w:rPr>
        <w:t>.</w:t>
      </w:r>
    </w:p>
  </w:footnote>
  <w:footnote w:id="2">
    <w:p w14:paraId="24D5A9F6">
      <w:pPr>
        <w:pStyle w:val="style29"/>
        <w:rPr>
          <w:rFonts w:ascii="Tahoma" w:cs="Tahoma" w:hAnsi="Tahoma"/>
        </w:rPr>
      </w:pPr>
      <w:r>
        <w:rPr>
          <w:rStyle w:val="style38"/>
          <w:rFonts w:ascii="Tahoma" w:cs="Tahoma" w:hAnsi="Tahoma"/>
        </w:rPr>
        <w:footnoteRef/>
      </w:r>
      <w:r>
        <w:rPr>
          <w:rFonts w:ascii="Tahoma" w:cs="Tahoma" w:hAnsi="Tahoma"/>
        </w:rPr>
        <w:t xml:space="preserve"> </w:t>
      </w:r>
      <w:r>
        <w:rPr>
          <w:rFonts w:ascii="Tahoma" w:cs="Tahoma" w:hAnsi="Tahoma"/>
        </w:rPr>
        <w:t>П</w:t>
      </w:r>
      <w:r>
        <w:rPr>
          <w:rFonts w:ascii="Tahoma" w:cs="Tahoma" w:hAnsi="Tahoma"/>
        </w:rPr>
        <w:t>одтверждено</w:t>
      </w:r>
      <w:r>
        <w:rPr>
          <w:rFonts w:ascii="Tahoma" w:cs="Tahoma" w:hAnsi="Tahoma"/>
        </w:rPr>
        <w:t xml:space="preserve"> </w:t>
      </w:r>
      <w:r>
        <w:rPr>
          <w:rFonts w:ascii="Tahoma" w:cs="Tahoma" w:hAnsi="Tahoma"/>
        </w:rPr>
        <w:t>актами КС-2, КС-3, ТОРГ-12 актами о приемки товаров, работ и услуг.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6B006684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1">
    <w:nsid w:val="00000001"/>
    <w:multiLevelType w:val="singleLevel"/>
    <w:tmpl w:val="6068025C"/>
    <w:lvl w:ilvl="0">
      <w:start w:val="1"/>
      <w:numFmt w:val="bullet"/>
      <w:pStyle w:val="style48"/>
      <w:lvlText w:val=""/>
      <w:lvlJc w:val="left"/>
      <w:pPr>
        <w:ind w:left="360" w:hanging="360"/>
      </w:pPr>
      <w:rPr>
        <w:rFonts w:ascii="Symbol" w:hAnsi="Symbol" w:hint="default"/>
      </w:rPr>
    </w:lvl>
  </w:abstractNum>
  <w:abstractNum w:abstractNumId="2">
    <w:nsid w:val="00000002"/>
    <w:multiLevelType w:val="hybridMultilevel"/>
    <w:tmpl w:val="9C40B6F8"/>
    <w:lvl w:ilvl="0" w:tplc="C538757C">
      <w:start w:val="1"/>
      <w:numFmt w:val="decimal"/>
      <w:lvlText w:val="%1."/>
      <w:lvlJc w:val="left"/>
      <w:pPr>
        <w:ind w:left="451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1" w:hanging="360"/>
      </w:pPr>
    </w:lvl>
    <w:lvl w:ilvl="2" w:tplc="0419001B" w:tentative="1">
      <w:start w:val="1"/>
      <w:numFmt w:val="lowerRoman"/>
      <w:lvlText w:val="%3."/>
      <w:lvlJc w:val="right"/>
      <w:pPr>
        <w:ind w:left="1831" w:hanging="180"/>
      </w:pPr>
    </w:lvl>
    <w:lvl w:ilvl="3" w:tplc="0419000F" w:tentative="1">
      <w:start w:val="1"/>
      <w:numFmt w:val="decimal"/>
      <w:lvlText w:val="%4."/>
      <w:lvlJc w:val="left"/>
      <w:pPr>
        <w:ind w:left="2551" w:hanging="360"/>
      </w:pPr>
    </w:lvl>
    <w:lvl w:ilvl="4" w:tplc="04190019" w:tentative="1">
      <w:start w:val="1"/>
      <w:numFmt w:val="lowerLetter"/>
      <w:lvlText w:val="%5."/>
      <w:lvlJc w:val="left"/>
      <w:pPr>
        <w:ind w:left="3271" w:hanging="360"/>
      </w:pPr>
    </w:lvl>
    <w:lvl w:ilvl="5" w:tplc="0419001B" w:tentative="1">
      <w:start w:val="1"/>
      <w:numFmt w:val="lowerRoman"/>
      <w:lvlText w:val="%6."/>
      <w:lvlJc w:val="right"/>
      <w:pPr>
        <w:ind w:left="3991" w:hanging="180"/>
      </w:pPr>
    </w:lvl>
    <w:lvl w:ilvl="6" w:tplc="0419000F" w:tentative="1">
      <w:start w:val="1"/>
      <w:numFmt w:val="decimal"/>
      <w:lvlText w:val="%7."/>
      <w:lvlJc w:val="left"/>
      <w:pPr>
        <w:ind w:left="4711" w:hanging="360"/>
      </w:pPr>
    </w:lvl>
    <w:lvl w:ilvl="7" w:tplc="04190019" w:tentative="1">
      <w:start w:val="1"/>
      <w:numFmt w:val="lowerLetter"/>
      <w:lvlText w:val="%8."/>
      <w:lvlJc w:val="left"/>
      <w:pPr>
        <w:ind w:left="5431" w:hanging="360"/>
      </w:pPr>
    </w:lvl>
    <w:lvl w:ilvl="8" w:tplc="0419001B" w:tentative="1">
      <w:start w:val="1"/>
      <w:numFmt w:val="lowerRoman"/>
      <w:lvlText w:val="%9."/>
      <w:lvlJc w:val="right"/>
      <w:pPr>
        <w:ind w:left="6151" w:hanging="180"/>
      </w:pPr>
    </w:lvl>
  </w:abstractNum>
  <w:abstractNum w:abstractNumId="3">
    <w:nsid w:val="00000003"/>
    <w:multiLevelType w:val="hybridMultilevel"/>
    <w:tmpl w:val="23AAA4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4D10C010"/>
    <w:lvl w:ilvl="0" w:tplc="A900E47C">
      <w:start w:val="1"/>
      <w:numFmt w:val="decimal"/>
      <w:lvlText w:val="%1."/>
      <w:lvlJc w:val="left"/>
      <w:pPr>
        <w:ind w:left="720" w:hanging="360"/>
      </w:pPr>
      <w:rPr>
        <w:rFonts w:hint="default"/>
        <w:b w:val="fals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E16A6044"/>
    <w:lvl w:ilvl="0" w:tplc="561CCE38">
      <w:start w:val="1"/>
      <w:numFmt w:val="decimal"/>
      <w:lvlText w:val="%1."/>
      <w:lvlJc w:val="left"/>
      <w:pPr>
        <w:ind w:left="3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6">
    <w:nsid w:val="00000006"/>
    <w:multiLevelType w:val="hybridMultilevel"/>
    <w:tmpl w:val="F78A1FDA"/>
    <w:lvl w:ilvl="0" w:tplc="0C1CE49C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83C3C9C"/>
    <w:lvl w:ilvl="0" w:tplc="F9D26EB2">
      <w:start w:val="1"/>
      <w:numFmt w:val="decimal"/>
      <w:lvlText w:val="%1."/>
      <w:lvlJc w:val="left"/>
      <w:pPr>
        <w:ind w:left="795" w:hanging="7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8">
    <w:nsid w:val="00000008"/>
    <w:multiLevelType w:val="hybridMultilevel"/>
    <w:tmpl w:val="EE586244"/>
    <w:lvl w:ilvl="0" w:tplc="808867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multilevel"/>
    <w:tmpl w:val="9CDADACC"/>
    <w:lvl w:ilvl="0">
      <w:start w:val="1"/>
      <w:numFmt w:val="decimal"/>
      <w:pStyle w:val="style49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0000000A"/>
    <w:multiLevelType w:val="hybridMultilevel"/>
    <w:tmpl w:val="4DDA0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37F630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5B6007EA"/>
    <w:lvl w:ilvl="0" w:tplc="C56A0146">
      <w:start w:val="1"/>
      <w:numFmt w:val="decimal"/>
      <w:lvlText w:val="%1."/>
      <w:lvlJc w:val="left"/>
      <w:pPr>
        <w:ind w:left="356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13">
    <w:nsid w:val="0000000D"/>
    <w:multiLevelType w:val="hybridMultilevel"/>
    <w:tmpl w:val="F2DC9E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412EE208"/>
    <w:lvl w:ilvl="0" w:tplc="C6041D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9DD2EF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52B41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06346BC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B4F82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DE87BBA"/>
    <w:lvl w:ilvl="0" w:tplc="0419000D">
      <w:start w:val="1"/>
      <w:numFmt w:val="bullet"/>
      <w:lvlText w:val=""/>
      <w:lvlJc w:val="left"/>
      <w:pPr>
        <w:ind w:left="71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36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6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6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BA9433AC"/>
    <w:styleLink w:val="style4102"/>
    <w:lvl w:ilvl="0" w:tplc="1270B61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CD969D6A">
      <w:start w:val="1"/>
      <w:numFmt w:val="bullet"/>
      <w:lvlText w:val="o"/>
      <w:lvlJc w:val="left"/>
      <w:pPr>
        <w:ind w:left="2007" w:hanging="360"/>
      </w:pPr>
      <w:rPr>
        <w:rFonts w:ascii="Courier New" w:cs="Courier New" w:hAnsi="Courier New" w:hint="default"/>
      </w:rPr>
    </w:lvl>
    <w:lvl w:ilvl="2" w:tplc="5AECA15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7E9EF88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088A026" w:tentative="1">
      <w:start w:val="1"/>
      <w:numFmt w:val="bullet"/>
      <w:lvlText w:val="o"/>
      <w:lvlJc w:val="left"/>
      <w:pPr>
        <w:ind w:left="4167" w:hanging="360"/>
      </w:pPr>
      <w:rPr>
        <w:rFonts w:ascii="Courier New" w:cs="Courier New" w:hAnsi="Courier New" w:hint="default"/>
      </w:rPr>
    </w:lvl>
    <w:lvl w:ilvl="5" w:tplc="813A0BBC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9752AA1C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949A649C" w:tentative="1">
      <w:start w:val="1"/>
      <w:numFmt w:val="bullet"/>
      <w:lvlText w:val="o"/>
      <w:lvlJc w:val="left"/>
      <w:pPr>
        <w:ind w:left="6327" w:hanging="360"/>
      </w:pPr>
      <w:rPr>
        <w:rFonts w:ascii="Courier New" w:cs="Courier New" w:hAnsi="Courier New" w:hint="default"/>
      </w:rPr>
    </w:lvl>
    <w:lvl w:ilvl="8" w:tplc="370C534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97646E8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54246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5B6007EA"/>
    <w:lvl w:ilvl="0" w:tplc="C56A0146">
      <w:start w:val="1"/>
      <w:numFmt w:val="decimal"/>
      <w:lvlText w:val="%1."/>
      <w:lvlJc w:val="left"/>
      <w:pPr>
        <w:ind w:left="356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76" w:hanging="360"/>
      </w:pPr>
    </w:lvl>
    <w:lvl w:ilvl="2" w:tplc="0419001B" w:tentative="1">
      <w:start w:val="1"/>
      <w:numFmt w:val="lowerRoman"/>
      <w:lvlText w:val="%3."/>
      <w:lvlJc w:val="right"/>
      <w:pPr>
        <w:ind w:left="1796" w:hanging="180"/>
      </w:pPr>
    </w:lvl>
    <w:lvl w:ilvl="3" w:tplc="0419000F" w:tentative="1">
      <w:start w:val="1"/>
      <w:numFmt w:val="decimal"/>
      <w:lvlText w:val="%4."/>
      <w:lvlJc w:val="left"/>
      <w:pPr>
        <w:ind w:left="2516" w:hanging="360"/>
      </w:pPr>
    </w:lvl>
    <w:lvl w:ilvl="4" w:tplc="04190019" w:tentative="1">
      <w:start w:val="1"/>
      <w:numFmt w:val="lowerLetter"/>
      <w:lvlText w:val="%5."/>
      <w:lvlJc w:val="left"/>
      <w:pPr>
        <w:ind w:left="3236" w:hanging="360"/>
      </w:pPr>
    </w:lvl>
    <w:lvl w:ilvl="5" w:tplc="0419001B" w:tentative="1">
      <w:start w:val="1"/>
      <w:numFmt w:val="lowerRoman"/>
      <w:lvlText w:val="%6."/>
      <w:lvlJc w:val="right"/>
      <w:pPr>
        <w:ind w:left="3956" w:hanging="180"/>
      </w:pPr>
    </w:lvl>
    <w:lvl w:ilvl="6" w:tplc="0419000F" w:tentative="1">
      <w:start w:val="1"/>
      <w:numFmt w:val="decimal"/>
      <w:lvlText w:val="%7."/>
      <w:lvlJc w:val="left"/>
      <w:pPr>
        <w:ind w:left="4676" w:hanging="360"/>
      </w:pPr>
    </w:lvl>
    <w:lvl w:ilvl="7" w:tplc="04190019" w:tentative="1">
      <w:start w:val="1"/>
      <w:numFmt w:val="lowerLetter"/>
      <w:lvlText w:val="%8."/>
      <w:lvlJc w:val="left"/>
      <w:pPr>
        <w:ind w:left="5396" w:hanging="360"/>
      </w:pPr>
    </w:lvl>
    <w:lvl w:ilvl="8" w:tplc="0419001B" w:tentative="1">
      <w:start w:val="1"/>
      <w:numFmt w:val="lowerRoman"/>
      <w:lvlText w:val="%9."/>
      <w:lvlJc w:val="right"/>
      <w:pPr>
        <w:ind w:left="6116" w:hanging="180"/>
      </w:pPr>
    </w:lvl>
  </w:abstractNum>
  <w:abstractNum w:abstractNumId="24">
    <w:nsid w:val="00000018"/>
    <w:multiLevelType w:val="hybridMultilevel"/>
    <w:tmpl w:val="730AA29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B6CC5B10"/>
    <w:lvl w:ilvl="0" w:tplc="BDECAB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3FB2F30A"/>
    <w:lvl w:ilvl="0" w:tplc="8AB818BC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11E4C4D8"/>
    <w:lvl w:ilvl="0" w:tplc="0419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6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6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6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E94A49B8"/>
    <w:lvl w:ilvl="0" w:tplc="0419000D">
      <w:start w:val="1"/>
      <w:numFmt w:val="bullet"/>
      <w:lvlText w:val=""/>
      <w:lvlJc w:val="left"/>
      <w:pPr>
        <w:ind w:left="71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36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6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6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869ED54A"/>
    <w:lvl w:ilvl="0" w:tplc="04190001">
      <w:start w:val="1"/>
      <w:numFmt w:val="bullet"/>
      <w:lvlText w:val=""/>
      <w:lvlJc w:val="left"/>
      <w:pPr>
        <w:ind w:left="7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6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6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6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FD6480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EED890E2"/>
    <w:lvl w:ilvl="0" w:tplc="A10CBE60">
      <w:start w:val="1"/>
      <w:numFmt w:val="bullet"/>
      <w:lvlText w:val="-"/>
      <w:lvlJc w:val="left"/>
      <w:pPr>
        <w:ind w:left="720" w:hanging="360"/>
      </w:pPr>
      <w:rPr>
        <w:rFonts w:ascii="Tahoma" w:cs="Tahoma" w:eastAsia="Times New Roman" w:hAnsi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BB52F2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"/>
  </w:num>
  <w:num w:numId="3">
    <w:abstractNumId w:val="20"/>
  </w:num>
  <w:num w:numId="4">
    <w:abstractNumId w:val="24"/>
  </w:num>
  <w:num w:numId="5">
    <w:abstractNumId w:val="0"/>
  </w:num>
  <w:num w:numId="6">
    <w:abstractNumId w:val="12"/>
  </w:num>
  <w:num w:numId="7">
    <w:abstractNumId w:val="7"/>
  </w:num>
  <w:num w:numId="8">
    <w:abstractNumId w:val="5"/>
  </w:num>
  <w:num w:numId="9">
    <w:abstractNumId w:val="32"/>
  </w:num>
  <w:num w:numId="10">
    <w:abstractNumId w:val="23"/>
  </w:num>
  <w:num w:numId="11">
    <w:abstractNumId w:val="4"/>
  </w:num>
  <w:num w:numId="12">
    <w:abstractNumId w:val="10"/>
  </w:num>
  <w:num w:numId="13">
    <w:abstractNumId w:val="29"/>
  </w:num>
  <w:num w:numId="14">
    <w:abstractNumId w:val="27"/>
  </w:num>
  <w:num w:numId="15">
    <w:abstractNumId w:val="28"/>
  </w:num>
  <w:num w:numId="16">
    <w:abstractNumId w:val="21"/>
  </w:num>
  <w:num w:numId="17">
    <w:abstractNumId w:val="3"/>
  </w:num>
  <w:num w:numId="18">
    <w:abstractNumId w:val="25"/>
  </w:num>
  <w:num w:numId="19">
    <w:abstractNumId w:val="19"/>
  </w:num>
  <w:num w:numId="20">
    <w:abstractNumId w:val="14"/>
  </w:num>
  <w:num w:numId="21">
    <w:abstractNumId w:val="11"/>
  </w:num>
  <w:num w:numId="22">
    <w:abstractNumId w:val="6"/>
  </w:num>
  <w:num w:numId="23">
    <w:abstractNumId w:val="26"/>
  </w:num>
  <w:num w:numId="24">
    <w:abstractNumId w:val="8"/>
  </w:num>
  <w:num w:numId="25">
    <w:abstractNumId w:val="18"/>
  </w:num>
  <w:num w:numId="26">
    <w:abstractNumId w:val="30"/>
  </w:num>
  <w:num w:numId="27">
    <w:abstractNumId w:val="2"/>
  </w:num>
  <w:num w:numId="28">
    <w:abstractNumId w:val="17"/>
  </w:num>
  <w:num w:numId="29">
    <w:abstractNumId w:val="31"/>
  </w:num>
  <w:num w:numId="30">
    <w:abstractNumId w:val="16"/>
  </w:num>
  <w:num w:numId="31">
    <w:abstractNumId w:val="22"/>
  </w:num>
  <w:num w:numId="32">
    <w:abstractNumId w:val="13"/>
  </w:num>
  <w:num w:numId="33">
    <w:abstractNumId w:val="1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ru-RU" w:bidi="ar-SA" w:eastAsia="ru-RU"/>
      </w:rPr>
    </w:rPrDefault>
    <w:pPrDefault>
      <w:pPr/>
    </w:pPrDefault>
  </w:docDefaults>
  <w:style w:type="paragraph" w:default="1" w:styleId="style0">
    <w:name w:val="Normal"/>
    <w:next w:val="style0"/>
    <w:qFormat/>
    <w:pPr>
      <w:ind w:firstLine="709"/>
      <w:jc w:val="both"/>
    </w:pPr>
    <w:rPr>
      <w:rFonts w:ascii="Arial" w:hAnsi="Arial"/>
      <w:sz w:val="24"/>
      <w:szCs w:val="24"/>
    </w:rPr>
  </w:style>
  <w:style w:type="paragraph" w:styleId="style1">
    <w:name w:val="heading 1"/>
    <w:basedOn w:val="style0"/>
    <w:next w:val="style0"/>
    <w:link w:val="style4097"/>
    <w:qFormat/>
    <w:pPr>
      <w:keepNext/>
      <w:keepLines/>
      <w:spacing w:before="480"/>
      <w:outlineLvl w:val="0"/>
    </w:pPr>
    <w:rPr>
      <w:rFonts w:cs="宋体" w:eastAsia="宋体"/>
      <w:b/>
      <w:bCs/>
      <w:sz w:val="28"/>
      <w:szCs w:val="28"/>
    </w:rPr>
  </w:style>
  <w:style w:type="paragraph" w:styleId="style2">
    <w:name w:val="heading 2"/>
    <w:basedOn w:val="style0"/>
    <w:next w:val="style0"/>
    <w:link w:val="style4098"/>
    <w:qFormat/>
    <w:pPr>
      <w:keepNext/>
      <w:keepLines/>
      <w:spacing w:before="200"/>
      <w:outlineLvl w:val="1"/>
    </w:pPr>
    <w:rPr>
      <w:rFonts w:cs="宋体" w:eastAsia="宋体"/>
      <w:b/>
      <w:bCs/>
      <w:sz w:val="26"/>
      <w:szCs w:val="26"/>
    </w:rPr>
  </w:style>
  <w:style w:type="paragraph" w:styleId="style3">
    <w:name w:val="heading 3"/>
    <w:basedOn w:val="style0"/>
    <w:next w:val="style0"/>
    <w:link w:val="style4099"/>
    <w:qFormat/>
    <w:pPr>
      <w:keepNext/>
      <w:keepLines/>
      <w:spacing w:before="200"/>
      <w:outlineLvl w:val="2"/>
    </w:pPr>
    <w:rPr>
      <w:rFonts w:cs="宋体" w:eastAsia="宋体"/>
      <w:b/>
      <w:bCs/>
      <w:i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Заголовок 1 Знак"/>
    <w:basedOn w:val="style65"/>
    <w:next w:val="style4097"/>
    <w:link w:val="style1"/>
    <w:rPr>
      <w:rFonts w:ascii="Arial" w:cs="宋体" w:eastAsia="宋体" w:hAnsi="Arial"/>
      <w:b/>
      <w:bCs/>
      <w:sz w:val="28"/>
      <w:szCs w:val="28"/>
    </w:rPr>
  </w:style>
  <w:style w:type="character" w:customStyle="1" w:styleId="style4098">
    <w:name w:val="Заголовок 2 Знак"/>
    <w:basedOn w:val="style65"/>
    <w:next w:val="style4098"/>
    <w:link w:val="style2"/>
    <w:rPr>
      <w:rFonts w:ascii="Arial" w:cs="宋体" w:eastAsia="宋体" w:hAnsi="Arial"/>
      <w:b/>
      <w:bCs/>
      <w:sz w:val="26"/>
      <w:szCs w:val="26"/>
    </w:rPr>
  </w:style>
  <w:style w:type="character" w:customStyle="1" w:styleId="style4099">
    <w:name w:val="Заголовок 3 Знак"/>
    <w:basedOn w:val="style65"/>
    <w:next w:val="style4099"/>
    <w:link w:val="style3"/>
    <w:rPr>
      <w:rFonts w:ascii="Arial" w:cs="宋体" w:eastAsia="宋体" w:hAnsi="Arial"/>
      <w:b/>
      <w:bCs/>
      <w:i/>
      <w:sz w:val="24"/>
      <w:szCs w:val="24"/>
    </w:rPr>
  </w:style>
  <w:style w:type="paragraph" w:styleId="style49">
    <w:name w:val="List Number"/>
    <w:basedOn w:val="style0"/>
    <w:next w:val="style49"/>
    <w:pPr>
      <w:numPr>
        <w:ilvl w:val="0"/>
        <w:numId w:val="1"/>
      </w:numPr>
      <w:contextualSpacing/>
    </w:pPr>
    <w:rPr/>
  </w:style>
  <w:style w:type="paragraph" w:styleId="style48">
    <w:name w:val="List Bullet"/>
    <w:basedOn w:val="style0"/>
    <w:next w:val="style48"/>
    <w:pPr>
      <w:numPr>
        <w:ilvl w:val="0"/>
        <w:numId w:val="2"/>
      </w:numPr>
      <w:contextualSpacing/>
    </w:pPr>
    <w:rPr/>
  </w:style>
  <w:style w:type="paragraph" w:styleId="style94">
    <w:name w:val="Normal (Web)"/>
    <w:basedOn w:val="style0"/>
    <w:next w:val="style94"/>
    <w:qFormat/>
    <w:pPr>
      <w:ind w:firstLine="0"/>
    </w:pPr>
    <w:rPr/>
  </w:style>
  <w:style w:type="paragraph" w:styleId="style31">
    <w:name w:val="header"/>
    <w:basedOn w:val="style0"/>
    <w:next w:val="style31"/>
    <w:link w:val="style4100"/>
    <w:pPr>
      <w:tabs>
        <w:tab w:val="center" w:leader="none" w:pos="4677"/>
        <w:tab w:val="right" w:leader="none" w:pos="9355"/>
      </w:tabs>
    </w:pPr>
    <w:rPr/>
  </w:style>
  <w:style w:type="character" w:customStyle="1" w:styleId="style4100">
    <w:name w:val="Верхний колонтитул Знак"/>
    <w:basedOn w:val="style65"/>
    <w:next w:val="style4100"/>
    <w:link w:val="style31"/>
    <w:rPr>
      <w:rFonts w:ascii="Arial" w:hAnsi="Arial"/>
      <w:sz w:val="24"/>
      <w:szCs w:val="24"/>
    </w:rPr>
  </w:style>
  <w:style w:type="paragraph" w:styleId="style32">
    <w:name w:val="footer"/>
    <w:basedOn w:val="style0"/>
    <w:next w:val="style32"/>
    <w:link w:val="style4101"/>
    <w:uiPriority w:val="99"/>
    <w:pPr>
      <w:tabs>
        <w:tab w:val="center" w:leader="none" w:pos="4677"/>
        <w:tab w:val="right" w:leader="none" w:pos="9355"/>
      </w:tabs>
    </w:pPr>
    <w:rPr/>
  </w:style>
  <w:style w:type="character" w:customStyle="1" w:styleId="style4101">
    <w:name w:val="Нижний колонтитул Знак"/>
    <w:basedOn w:val="style65"/>
    <w:next w:val="style4101"/>
    <w:link w:val="style32"/>
    <w:uiPriority w:val="99"/>
    <w:rPr>
      <w:rFonts w:ascii="Arial" w:hAnsi="Arial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before="60"/>
      <w:ind w:firstLine="567"/>
      <w:jc w:val="both"/>
    </w:pPr>
    <w:rPr>
      <w:rFonts w:ascii="Arial" w:eastAsia="Calibri" w:hAnsi="Arial"/>
      <w:color w:val="404040"/>
      <w:szCs w:val="22"/>
      <w:lang w:eastAsia="en-US"/>
    </w:rPr>
  </w:style>
  <w:style w:type="numbering" w:customStyle="1" w:styleId="style4102">
    <w:name w:val="Стиль1311325"/>
    <w:next w:val="style4102"/>
    <w:pPr>
      <w:numPr>
        <w:ilvl w:val="0"/>
        <w:numId w:val="3"/>
      </w:numPr>
    </w:pPr>
  </w:style>
  <w:style w:type="paragraph" w:styleId="style29">
    <w:name w:val="footnote text"/>
    <w:basedOn w:val="style0"/>
    <w:next w:val="style29"/>
    <w:link w:val="style4103"/>
    <w:pPr/>
    <w:rPr>
      <w:sz w:val="20"/>
      <w:szCs w:val="20"/>
    </w:rPr>
  </w:style>
  <w:style w:type="character" w:customStyle="1" w:styleId="style4103">
    <w:name w:val="Текст сноски Знак"/>
    <w:basedOn w:val="style65"/>
    <w:next w:val="style4103"/>
    <w:link w:val="style29"/>
    <w:rPr>
      <w:rFonts w:ascii="Arial" w:hAnsi="Arial"/>
    </w:rPr>
  </w:style>
  <w:style w:type="character" w:styleId="style38">
    <w:name w:val="footnote reference"/>
    <w:basedOn w:val="style65"/>
    <w:next w:val="style38"/>
    <w:rPr>
      <w:vertAlign w:val="superscript"/>
    </w:rPr>
  </w:style>
  <w:style w:type="paragraph" w:customStyle="1" w:styleId="style4104">
    <w:name w:val="Default"/>
    <w:next w:val="style4104"/>
    <w:pPr>
      <w:autoSpaceDE w:val="false"/>
      <w:autoSpaceDN w:val="false"/>
      <w:adjustRightInd w:val="false"/>
    </w:pPr>
    <w:rPr>
      <w:rFonts w:ascii="Tahoma" w:cs="Tahoma" w:hAnsi="Tahoma"/>
      <w:color w:val="000000"/>
      <w:sz w:val="24"/>
      <w:szCs w:val="24"/>
    </w:rPr>
  </w:style>
  <w:style w:type="paragraph" w:styleId="style153">
    <w:name w:val="Balloon Text"/>
    <w:basedOn w:val="style0"/>
    <w:next w:val="style153"/>
    <w:link w:val="style4105"/>
    <w:pPr/>
    <w:rPr>
      <w:rFonts w:ascii="Segoe UI" w:cs="Segoe UI" w:hAnsi="Segoe UI"/>
      <w:sz w:val="18"/>
      <w:szCs w:val="18"/>
    </w:rPr>
  </w:style>
  <w:style w:type="character" w:customStyle="1" w:styleId="style4105">
    <w:name w:val="Текст выноски Знак"/>
    <w:basedOn w:val="style65"/>
    <w:next w:val="style4105"/>
    <w:link w:val="style153"/>
    <w:rPr>
      <w:rFonts w:ascii="Segoe UI" w:cs="Segoe UI" w:hAnsi="Segoe UI"/>
      <w:sz w:val="18"/>
      <w:szCs w:val="18"/>
    </w:rPr>
  </w:style>
  <w:style w:type="character" w:styleId="style39">
    <w:name w:val="annotation reference"/>
    <w:basedOn w:val="style65"/>
    <w:next w:val="style39"/>
    <w:rPr>
      <w:sz w:val="16"/>
      <w:szCs w:val="16"/>
    </w:rPr>
  </w:style>
  <w:style w:type="paragraph" w:styleId="style30">
    <w:name w:val="annotation text"/>
    <w:basedOn w:val="style0"/>
    <w:next w:val="style30"/>
    <w:link w:val="style4106"/>
    <w:pPr/>
    <w:rPr>
      <w:sz w:val="20"/>
      <w:szCs w:val="20"/>
    </w:rPr>
  </w:style>
  <w:style w:type="character" w:customStyle="1" w:styleId="style4106">
    <w:name w:val="Текст примечания Знак"/>
    <w:basedOn w:val="style65"/>
    <w:next w:val="style4106"/>
    <w:link w:val="style30"/>
    <w:rPr>
      <w:rFonts w:ascii="Arial" w:hAnsi="Arial"/>
    </w:rPr>
  </w:style>
  <w:style w:type="paragraph" w:styleId="style106">
    <w:name w:val="annotation subject"/>
    <w:basedOn w:val="style30"/>
    <w:next w:val="style30"/>
    <w:link w:val="style4107"/>
    <w:pPr/>
    <w:rPr>
      <w:b/>
      <w:bCs/>
    </w:rPr>
  </w:style>
  <w:style w:type="character" w:customStyle="1" w:styleId="style4107">
    <w:name w:val="Тема примечания Знак"/>
    <w:basedOn w:val="style4106"/>
    <w:next w:val="style4107"/>
    <w:link w:val="style106"/>
    <w:rPr>
      <w:rFonts w:ascii="Arial" w:hAnsi="Arial"/>
      <w:b/>
      <w:bCs/>
    </w:rPr>
  </w:style>
  <w:style w:type="table" w:styleId="style154">
    <w:name w:val="Table Grid"/>
    <w:basedOn w:val="style105"/>
    <w:next w:val="style154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E43E85-BE40-4F5C-8E48-922048188E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691</Words>
  <Pages>3</Pages>
  <Characters>4426</Characters>
  <Application>WPS Office</Application>
  <DocSecurity>0</DocSecurity>
  <Paragraphs>71</Paragraphs>
  <ScaleCrop>false</ScaleCrop>
  <Company>Внешэкономбанк</Company>
  <LinksUpToDate>false</LinksUpToDate>
  <CharactersWithSpaces>5081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2026-07-28T13:53:54Z</dcterms:created>
  <dc:creator>user</dc:creator>
  <lastModifiedBy>25100RA69G</lastModifiedBy>
  <lastPrinted>2023-05-30T08:40:00Z</lastPrinted>
  <dcterms:modified xsi:type="dcterms:W3CDTF">2026-07-28T13:53:54Z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e41fce85e11e4a3b958812d516e2e5f7_23</vt:lpwstr>
  </property>
</Properties>
</file>