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5E215" w14:textId="098CCE8A" w:rsidR="00D37B9B" w:rsidRPr="00D71FF2" w:rsidRDefault="00A94654" w:rsidP="00CD67D4">
      <w:pPr>
        <w:pStyle w:val="1"/>
      </w:pPr>
      <w:r>
        <w:t>A Statistical Evaluation Protocol for Inferring Missing Contextual Labels from Dietary Survey Data: Multi-Dimensional Validation in the China Health and Nutrition Survey</w:t>
      </w:r>
    </w:p>
    <w:p w14:paraId="4F193407" w14:textId="27774561" w:rsidR="00CD67D4" w:rsidRPr="00D71FF2" w:rsidRDefault="00CD67D4" w:rsidP="00CD67D4">
      <w:pPr>
        <w:pStyle w:val="2"/>
      </w:pPr>
      <w:r w:rsidRPr="00D71FF2">
        <w:t>Abstract</w:t>
      </w:r>
    </w:p>
    <w:p w14:paraId="5FB99B49" w14:textId="0DA634F6" w:rsidR="00CD67D4" w:rsidRPr="00D71FF2" w:rsidRDefault="00CD67D4" w:rsidP="00CD67D4">
      <w:pPr>
        <w:rPr>
          <w:rFonts w:ascii="Times New Roman" w:hAnsi="Times New Roman" w:cs="Times New Roman"/>
        </w:rPr>
      </w:pPr>
      <w:r>
        <w:t>Objective:</w:t>
        <w:br/>
        <w:t>We propose a reproducible statistical evaluation protocol for assessing inference of missing administrative contextual labels in dietary surveys, using macronutrient composition and spatiotemporal covariates as predictors.</w:t>
      </w:r>
    </w:p>
    <w:p w14:paraId="6E872725" w14:textId="480C2B2B" w:rsidR="00CD67D4" w:rsidRPr="00D71FF2" w:rsidRDefault="00CD67D4" w:rsidP="00CD67D4">
      <w:pPr>
        <w:rPr>
          <w:rFonts w:ascii="Times New Roman" w:hAnsi="Times New Roman" w:cs="Times New Roman"/>
        </w:rPr>
      </w:pPr>
      <w:r>
        <w:t>Design:</w:t>
        <w:br/>
        <w:t>Using the China Health and Nutrition Survey (1991–2011; n = 101,926) as an illustrative cohort with complete administrative labels (T2), we defined a three-category outcome combining administrative urban–rural classification with a transitional dietary stratum (fat energy ratio 23–30%). A class-weighted XGBoost classifier was evaluated under simulated label missingness (10%–70%), leave-one-year-out temporal holdout, comparator imputation methods, calibration analysis, and downstream effect-preservation assessment.</w:t>
      </w:r>
    </w:p>
    <w:p w14:paraId="51F5984C" w14:textId="77777777" w:rsidR="00CD67D4" w:rsidRPr="00D71FF2" w:rsidRDefault="00CD67D4" w:rsidP="00CD67D4">
      <w:pPr>
        <w:rPr>
          <w:rFonts w:ascii="Times New Roman" w:hAnsi="Times New Roman" w:cs="Times New Roman"/>
        </w:rPr>
      </w:pPr>
      <w:r w:rsidRPr="00D71FF2">
        <w:rPr>
          <w:rFonts w:ascii="Times New Roman" w:hAnsi="Times New Roman" w:cs="Times New Roman"/>
          <w:b/>
          <w:bCs/>
        </w:rPr>
        <w:t>Setting:</w:t>
      </w:r>
      <w:r w:rsidRPr="00D71FF2">
        <w:rPr>
          <w:rFonts w:ascii="Times New Roman" w:hAnsi="Times New Roman" w:cs="Times New Roman"/>
        </w:rPr>
        <w:br/>
        <w:t>China Health and Nutrition Survey (1991–2011).</w:t>
      </w:r>
    </w:p>
    <w:p w14:paraId="55E07E24" w14:textId="7220D48A" w:rsidR="00CD67D4" w:rsidRPr="00D71FF2" w:rsidRDefault="00CD67D4" w:rsidP="00CD67D4">
      <w:pPr>
        <w:rPr>
          <w:rFonts w:ascii="Times New Roman" w:hAnsi="Times New Roman" w:cs="Times New Roman"/>
        </w:rPr>
      </w:pPr>
      <w:r w:rsidRPr="00D71FF2">
        <w:rPr>
          <w:rFonts w:ascii="Times New Roman" w:hAnsi="Times New Roman" w:cs="Times New Roman"/>
          <w:b/>
          <w:bCs/>
        </w:rPr>
        <w:t>Participants:</w:t>
      </w:r>
      <w:r w:rsidRPr="00D71FF2">
        <w:rPr>
          <w:rFonts w:ascii="Times New Roman" w:hAnsi="Times New Roman" w:cs="Times New Roman"/>
        </w:rPr>
        <w:br/>
      </w:r>
      <w:r w:rsidR="00E728FC" w:rsidRPr="00D71FF2">
        <w:rPr>
          <w:rFonts w:ascii="Times New Roman" w:hAnsi="Times New Roman" w:cs="Times New Roman"/>
        </w:rPr>
        <w:t>101,926 observations from Chinese adults across multiple provinces and survey waves</w:t>
      </w:r>
      <w:r w:rsidRPr="00D71FF2">
        <w:rPr>
          <w:rFonts w:ascii="Times New Roman" w:hAnsi="Times New Roman" w:cs="Times New Roman"/>
        </w:rPr>
        <w:t>.</w:t>
      </w:r>
    </w:p>
    <w:p w14:paraId="2053FF73" w14:textId="30DB6BA5" w:rsidR="00CD67D4" w:rsidRPr="00D71FF2" w:rsidRDefault="00CD67D4" w:rsidP="00CD67D4">
      <w:pPr>
        <w:rPr>
          <w:rFonts w:ascii="Times New Roman" w:hAnsi="Times New Roman" w:cs="Times New Roman"/>
        </w:rPr>
      </w:pPr>
      <w:r>
        <w:t>Results:</w:t>
        <w:br/>
        <w:t>For the primary binary task (Rural vs. Urban, excluding the transitional stratum, n=15,790), masked-label accuracy was 0.716 (macro-F1 0.505; weighted-F1 0.698). Exploratory three-class accuracy was 0.786, although this reflects partial definitional overlap for the Transitional stratum; the primary binary task accuracy was 0.716. Transitional accuracy was 0.993 (partially definitional), while Urban accuracy was 0.421. The gradient-boosted classifier showed incremental improvements over KNN (0.721) and corrected multinomial-logistic MICE (0.673). Downstream contrasts preserved statistical significance with moderate Cohen's d inflation (25% on average).</w:t>
      </w:r>
    </w:p>
    <w:p w14:paraId="517BA67C" w14:textId="5794BB7F" w:rsidR="00CD67D4" w:rsidRPr="00D71FF2" w:rsidRDefault="00CD67D4" w:rsidP="00CD67D4">
      <w:pPr>
        <w:rPr>
          <w:rFonts w:ascii="Times New Roman" w:hAnsi="Times New Roman" w:cs="Times New Roman"/>
        </w:rPr>
      </w:pPr>
      <w:r>
        <w:t>Conclusions:</w:t>
        <w:br/>
        <w:t>Macronutrient profiles together with survey year and province provide non-trivial information for inferring missing administrative contextual labels under a statistically principled evaluation protocol. The framework offers a template for assessing label-imputation methods when ground-truth contextual variables are available for internal validation.</w:t>
      </w:r>
    </w:p>
    <w:p w14:paraId="1F3E8C9C" w14:textId="774B6C7B" w:rsidR="00CD67D4" w:rsidRPr="00D71FF2" w:rsidRDefault="00CD67D4" w:rsidP="00CD67D4">
      <w:pPr>
        <w:pStyle w:val="2"/>
      </w:pPr>
      <w:bookmarkStart w:id="0" w:name="OLE_LINK2"/>
      <w:r w:rsidRPr="00D71FF2">
        <w:t>Introduction</w:t>
      </w:r>
    </w:p>
    <w:p w14:paraId="7B3E93BC" w14:textId="787DE1E1" w:rsidR="00052344" w:rsidRPr="00D71FF2" w:rsidRDefault="00E728FC" w:rsidP="00052344">
      <w:pPr>
        <w:rPr>
          <w:rFonts w:ascii="Times New Roman" w:hAnsi="Times New Roman" w:cs="Times New Roman"/>
        </w:rPr>
      </w:pPr>
      <w:r>
        <w:t>Large-scale dietary surveys underpin monitoring of population health, yet analyses are often constrained by incomplete contextual information. Variables such as urban–rural residence, neighbourhood deprivation, or harmonised geographic classification are essential for confounding control, subgroup analysis, and interpretation of temporal trends, but are frequently unavailable for part or all of the analytic sample. In the National Health and Nutrition Examination Survey (NHANES), urban–rural indicators may be restricted or require linkage to external geocodes. Similar challenges arise in the UK National Diet and Nutrition Survey (NDNS) and in multi-country harmonisation efforts, where administrative reclassifications and confidentiality rules create gaps in usable contextual data. When observations with missing contextual labels are excluded, analyses suffer reduced power, selection bias, and limited comparability across study periods. The present work addresses this data usability problem—how to recover missing contextual labels from information routinely collected in dietary surveys—rather than estimating contemporary population dietary trends.</w:t>
      </w:r>
    </w:p>
    <w:p w14:paraId="0DCA42F0" w14:textId="2E06D508" w:rsidR="00052344" w:rsidRPr="00D71FF2" w:rsidRDefault="00511164" w:rsidP="009061BA">
      <w:pPr>
        <w:rPr>
          <w:rFonts w:ascii="Times New Roman" w:hAnsi="Times New Roman" w:cs="Times New Roman"/>
        </w:rPr>
      </w:pPr>
      <w:r>
        <w:t>Standard missing-data methods—including KNN imputation, MICE, and RF-based iterative imputation—were developed primarily for covariate missingness in regression models, not for contextual label missingness where the target variable itself encodes population structure. These approaches typically optimise predictive accuracy or Rubin's rules for parameter estimation, but do not evaluate whether imputed labels preserve population-level category distributions or downstream epidemiological conclusions (e.g., effect sizes and hypothesis-test decisions). Moreover, relationships between dietary composition and contextual setting are nonlinear and interaction-rich; linear or locality-based imputers may fail when dietary transitions create overlapping macronutrient profiles across contextual groups. A method intended for nutritional surveys must therefore be evaluated on dimensions relevant to applied epidemiology: temporal transportability, distributional fidelity under increasing missingness, probabilistic calibration, and inferential preservation—not classification accuracy alone.</w:t>
      </w:r>
    </w:p>
    <w:p>
      <w:pPr>
        <w:spacing w:after="120"/>
      </w:pPr>
      <w:r>
        <w:t>We formalise a reusable statistical evaluation protocol for contextual-label imputation with three pillars. Pillar 1 — Simulated missingness for internal validation: when a survey provides complete labels for a reference cohort, labels can be masked under MCAR/MAR/spatially structured mechanisms to stress-test imputation methods before deployment. Pillar 2 — Separate predictive accuracy from downstream inferential preservation: high classification accuracy does not guarantee that exposure contrasts, regression coefficients, or standard errors remain usable for epidemiology. Pillar 3 — Spatiotemporal generalisability: leave-one-year-out and leave-one-province-out holdouts quantify transportability across survey waves and regions. These pillars matter because missing contextual labels threaten both prediction and causal/associational analyses in nutritional epidemiology; a protocol that only optimises accuracy can mislead.</w:t>
      </w:r>
    </w:p>
    <w:p w14:paraId="33823BD7" w14:textId="4E9B83AC" w:rsidR="002A5F5A" w:rsidRPr="00D71FF2" w:rsidRDefault="002A5F5A" w:rsidP="002A5F5A">
      <w:pPr>
        <w:rPr>
          <w:rFonts w:ascii="Times New Roman" w:hAnsi="Times New Roman" w:cs="Times New Roman"/>
        </w:rPr>
      </w:pPr>
      <w:r>
        <w:t>We propose a gradient-boosted inference framework for missing contextual labels in dietary surveys, with three methodological contributions. First, we treat macronutrient energy ratios and fat-to-carbohydrate balance—together with survey year and province—as a feature set for contextual inference, exploiting the encoding of social and food-environment signals in dietary composition. Second, we specify a joint validation protocol combining LOYO temporal holdout (eight survey waves, 1991–2011) with graded random label masking (10%–70%) and structured missingness scenarios (MAR and spatial), providing a stress-test of generalisability that single-split cross-validation cannot offer. Third, we introduce a downstream effect-preservation evaluation comparing urban–rural contrasts computed with true versus inferred labels, quantifying relative change in Cohen's d and consistency of t-test significance—an inferential criterion absent from conventional imputation benchmarks. The China Health and Nutrition Survey is used solely as an illustrative validation cohort with known labels masked to simulate missingness; the 20-year span is leveraged for temporal stress-testing, not for describing post-2011 nutrition transition. External application to newer survey waves requires retraining and is discussed as future work.</w:t>
      </w:r>
    </w:p>
    <w:bookmarkEnd w:id="0"/>
    <w:p w14:paraId="0D4BEB60" w14:textId="77777777" w:rsidR="006B25CB" w:rsidRPr="00D71FF2" w:rsidRDefault="006B25CB" w:rsidP="006B25CB">
      <w:pPr>
        <w:pStyle w:val="2"/>
      </w:pPr>
      <w:r w:rsidRPr="00D71FF2">
        <w:t>Methods</w:t>
      </w:r>
    </w:p>
    <w:p w14:paraId="7BB2D4B0" w14:textId="3A2E3504" w:rsidR="00692FA0" w:rsidRPr="00D71FF2" w:rsidRDefault="00B63BC3" w:rsidP="00692FA0">
      <w:pPr>
        <w:rPr>
          <w:rFonts w:ascii="Times New Roman" w:hAnsi="Times New Roman" w:cs="Times New Roman"/>
        </w:rPr>
      </w:pPr>
      <w:r>
        <w:t>The proposed framework recovers missing contextual labels from dietary and spatiotemporal predictors and evaluates them under a multi-dimensional statistical protocol (Figure 1). Stages include: data preparation and quality control; dietary pattern representation; predictive modelling (primary binary T2 Rural/Urban, with three-class descriptive stratification); and evaluation under simulated label missingness, temporal holdout, distributional fidelity, calibration, comparator methods, and downstream effect preservation.</w:t>
      </w:r>
    </w:p>
    <w:p>
      <w:pPr>
        <w:jc w:val="center"/>
      </w:pPr>
      <w:r>
        <w:drawing>
          <wp:inline xmlns:a="http://schemas.openxmlformats.org/drawingml/2006/main" xmlns:pic="http://schemas.openxmlformats.org/drawingml/2006/picture">
            <wp:extent cx="5669280" cy="3094975"/>
            <wp:docPr id="1" name="Picture 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094975"/>
                    </a:xfrm>
                    <a:prstGeom prst="rect"/>
                  </pic:spPr>
                </pic:pic>
              </a:graphicData>
            </a:graphic>
          </wp:inline>
        </w:drawing>
      </w:r>
    </w:p>
    <w:p w14:paraId="71625B62" w14:textId="519E4CA7" w:rsidR="00B63BC3" w:rsidRPr="00D71FF2" w:rsidRDefault="00B63BC3" w:rsidP="00B63BC3">
      <w:pPr>
        <w:rPr>
          <w:rFonts w:ascii="Times New Roman" w:hAnsi="Times New Roman" w:cs="Times New Roman"/>
        </w:rPr>
      </w:pPr>
      <w:r>
        <w:t>Figure 1. Overview of the statistical evaluation protocol for inferring missing contextual labels. CHNS provides complete T2 ground truth for internal validation; primary reporting focuses on binary Rural vs Urban discrimination under simulated label missingness, with multi-dimensional checks (missing-rate robustness, leave-one-year-out, distributional fidelity, calibration, comparators, and downstream effect preservation).</w:t>
      </w:r>
    </w:p>
    <w:p w14:paraId="6558BE81" w14:textId="5C56FBE4" w:rsidR="00B63BC3" w:rsidRPr="00D71FF2" w:rsidRDefault="00B63BC3" w:rsidP="00B63BC3">
      <w:pPr>
        <w:rPr>
          <w:rFonts w:ascii="Times New Roman" w:hAnsi="Times New Roman" w:cs="Times New Roman"/>
        </w:rPr>
      </w:pPr>
      <w:r>
        <w:t>(1) Cohort and outcome: CHNS with complete T2 ground truth; primary binary Rural/Urban; transitional FatER 23–30% retained for descriptive stratification only.</w:t>
      </w:r>
    </w:p>
    <w:p w14:paraId="1891371A" w14:textId="381811B6" w:rsidR="00B63BC3" w:rsidRPr="00D71FF2" w:rsidRDefault="00B63BC3" w:rsidP="00B63BC3">
      <w:pPr>
        <w:rPr>
          <w:rFonts w:ascii="Times New Roman" w:hAnsi="Times New Roman" w:cs="Times New Roman"/>
        </w:rPr>
      </w:pPr>
      <w:r>
        <w:t>(2) Predictors: macronutrient energy ratios (FatER, CarbER, ProtER), fat-to-carbohydrate ratio, survey year, and province.</w:t>
      </w:r>
    </w:p>
    <w:p w14:paraId="15FBAAED" w14:textId="7DB85F0C" w:rsidR="00B63BC3" w:rsidRPr="00D71FF2" w:rsidRDefault="00B63BC3" w:rsidP="00B63BC3">
      <w:pPr>
        <w:rPr>
          <w:rFonts w:ascii="Times New Roman" w:hAnsi="Times New Roman" w:cs="Times New Roman"/>
        </w:rPr>
      </w:pPr>
      <w:r>
        <w:t>(3) Inference model: class-weighted XGBoost under simulated label missingness (MCAR 10–70%; MAR/spatial sensitivity).</w:t>
      </w:r>
    </w:p>
    <w:p w14:paraId="72D90EB3" w14:textId="77777777" w:rsidR="00B63BC3" w:rsidRPr="00D71FF2" w:rsidRDefault="00B63BC3" w:rsidP="00B63BC3">
      <w:pPr>
        <w:rPr>
          <w:rFonts w:ascii="Times New Roman" w:hAnsi="Times New Roman" w:cs="Times New Roman"/>
        </w:rPr>
      </w:pPr>
      <w:r>
        <w:t>(4) Evaluation protocol: missing-rate robustness, leave-one-year-out, Jensen–Shannon fidelity, calibration, comparator imputation (KNN/MICE/RF/LDA), and downstream effect preservation.</w:t>
      </w:r>
    </w:p>
    <w:p w14:paraId="74EC2024" w14:textId="0C15E99C" w:rsidR="00583786" w:rsidRPr="00D71FF2" w:rsidRDefault="00B63BC3" w:rsidP="00B63BC3">
      <w:pPr>
        <w:rPr>
          <w:rFonts w:ascii="Times New Roman" w:hAnsi="Times New Roman" w:cs="Times New Roman"/>
        </w:rPr>
      </w:pPr>
      <w:r>
        <w:t>The output is a three-category contextual classification: Rural and Urban follow the CHNS administrative indicator (T2), with a Transitional stratum defined by fat energy ratio between 23% and 30% to capture intermediate dietary composition within either administrative group.</w:t>
      </w:r>
    </w:p>
    <w:p w14:paraId="34918B61" w14:textId="77777777" w:rsidR="006B25CB" w:rsidRPr="00D71FF2" w:rsidRDefault="006B25CB" w:rsidP="006B25CB">
      <w:pPr>
        <w:pStyle w:val="3"/>
      </w:pPr>
      <w:r w:rsidRPr="00D71FF2">
        <w:t>Study Design and Data Source</w:t>
      </w:r>
    </w:p>
    <w:p w14:paraId="55720DD4" w14:textId="77777777" w:rsidR="00B63BC3" w:rsidRPr="00D71FF2" w:rsidRDefault="00B63BC3" w:rsidP="006B25CB">
      <w:pPr>
        <w:rPr>
          <w:rFonts w:ascii="Times New Roman" w:hAnsi="Times New Roman" w:cs="Times New Roman"/>
        </w:rPr>
      </w:pPr>
      <w:r w:rsidRPr="00D71FF2">
        <w:rPr>
          <w:rFonts w:ascii="Times New Roman" w:hAnsi="Times New Roman" w:cs="Times New Roman"/>
        </w:rPr>
        <w:t>We conducted a methodological study to develop and evaluate a data-driven approach for inferring urban–rural classification from routinely collected dietary data. The analysis used data from the China Health and Nutrition Survey (CHNS), an ongoing longitudinal cohort examining the effects of social and economic change on nutrition and health in China</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{"citationID":"g2xC9LMZ","properties":{"unsorted":false,"formattedCitation":"\\super (24)\\nosupersub{}","plainCitation":"(24)","noteIndex":0},"citationItems":[{"id":1113,"uris":["http://zotero.org/users/12575705/items/NF8EDG29"],"itemData":{"id":1113,"type":"article-journal","container-title":"International Journal of Epidemiology","DOI":"10.1093/ije/dyp322","ISSN":"0300-5771","issue":"6","journalAbbreviation":"International Journal of Epidemiology","page":"1435-1440","title":"Cohort Profile: The China Health and Nutrition Survey—monitoring and understanding socio-economic and health change in China, 1989–2011","URL":"https://doi.org/10.1093/ije/dyp322","volume":"39","author":[{"family":"Popkin","given":"Barry M"},{"family":"Du","given":"Shufa"},{"family":"Zhai","given":"Fengying"},{"family":"Zhang","given":"Bing"}],"accessed":{"date-parts":[["2026",3,28]]},"issued":{"date-parts":[["2010",12,1]]}}}],"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(24)</w:t>
      </w:r>
      <w:r w:rsidR="00D44546" w:rsidRPr="00D71FF2">
        <w:rPr>
          <w:rFonts w:ascii="Times New Roman" w:hAnsi="Times New Roman" w:cs="Times New Roman"/>
        </w:rPr>
        <w:fldChar w:fldCharType="end"/>
      </w:r>
      <w:r w:rsidR="006B25CB" w:rsidRPr="00D71FF2">
        <w:rPr>
          <w:rFonts w:ascii="Times New Roman" w:hAnsi="Times New Roman" w:cs="Times New Roman"/>
        </w:rPr>
        <w:t xml:space="preserve">. </w:t>
      </w:r>
    </w:p>
    <w:p w14:paraId="74B0BE64" w14:textId="4F3B51EC" w:rsidR="006B25CB" w:rsidRPr="00D71FF2" w:rsidRDefault="00B63BC3" w:rsidP="006B25CB">
      <w:pPr>
        <w:rPr>
          <w:rFonts w:ascii="Times New Roman" w:hAnsi="Times New Roman" w:cs="Times New Roman"/>
        </w:rPr>
      </w:pPr>
      <w:r w:rsidRPr="00D71FF2">
        <w:rPr>
          <w:rFonts w:ascii="Times New Roman" w:hAnsi="Times New Roman" w:cs="Times New Roman"/>
        </w:rPr>
        <w:t>The CHNS employs a multistage, random cluster sampling design across diverse provinces and municipalities that vary in geography and economic development. For this study, we used eight survey waves (1991–2011). Dietary intake was assessed using three consecutive 24-hour recalls, from which average daily nutrient intakes were calculated using the China Food Composition Tables</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{"citationID":"2DZQKKce","properties":{"unsorted":false,"formattedCitation":"\\super (25)\\nosupersub{}","plainCitation":"(25)","noteIndex":0},"citationItems":[{"id":1165,"uris":["http://zotero.org/users/12575705/items/TRU7I9V3"],"itemData":{"id":1165,"type":"book","edition":"6th","publisher":"Peking University Medical Press","publisher-place":"Beijing, China","title":"China Food Composition Tables, Book 1: Standard Edition","editor":[{"family":"Yang","given":"Yuexin"}],"issued":{"date-parts":[["2018"]]}}}],"schema":"https://github.com/citation-style-language/schema/raw/master/csl-citation.json"}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(25)</w:t>
      </w:r>
      <w:r w:rsidR="00D44546" w:rsidRPr="00D71FF2">
        <w:rPr>
          <w:rFonts w:ascii="Times New Roman" w:hAnsi="Times New Roman" w:cs="Times New Roman"/>
        </w:rPr>
        <w:fldChar w:fldCharType="end"/>
      </w:r>
      <w:r w:rsidR="006B25CB" w:rsidRPr="00D71FF2">
        <w:rPr>
          <w:rFonts w:ascii="Times New Roman" w:hAnsi="Times New Roman" w:cs="Times New Roman"/>
        </w:rPr>
        <w:t>. The analytic sample was restricted to adults aged 18 years and older with complete data on key nutrient variables.</w:t>
      </w:r>
    </w:p>
    <w:p w14:paraId="3B84F1F9" w14:textId="77777777" w:rsidR="006B25CB" w:rsidRPr="00D71FF2" w:rsidRDefault="006B25CB" w:rsidP="006B25CB">
      <w:pPr>
        <w:pStyle w:val="3"/>
      </w:pPr>
      <w:r w:rsidRPr="00D71FF2">
        <w:t>Data Quality Control</w:t>
      </w:r>
    </w:p>
    <w:p w14:paraId="7643A9CE" w14:textId="7F820F92" w:rsidR="006B25CB" w:rsidRPr="00D71FF2" w:rsidRDefault="00B63BC3" w:rsidP="006B25CB">
      <w:pPr>
        <w:rPr>
          <w:rFonts w:ascii="Times New Roman" w:hAnsi="Times New Roman" w:cs="Times New Roman"/>
        </w:rPr>
      </w:pPr>
      <w:r w:rsidRPr="00D71FF2">
        <w:rPr>
          <w:rFonts w:ascii="Times New Roman" w:hAnsi="Times New Roman" w:cs="Times New Roman"/>
        </w:rPr>
        <w:t>Two criteria were applied. First, observations with missing values in key nutrient variables were excluded. Second, total energy intake was restricted to 500–5,000 kcal/day to remove implausible values</w:t>
      </w:r>
      <w:r w:rsidR="00391A25" w:rsidRPr="00D71FF2">
        <w:rPr>
          <w:rFonts w:ascii="Times New Roman" w:hAnsi="Times New Roman" w:cs="Times New Roman"/>
        </w:rPr>
        <w:fldChar w:fldCharType="begin"/>
      </w:r>
      <w:r w:rsidR="00391A25" w:rsidRPr="00D71FF2">
        <w:rPr>
          <w:rFonts w:ascii="Times New Roman" w:hAnsi="Times New Roman" w:cs="Times New Roman"/>
        </w:rPr>
        <w:instrText xml:space="preserve"> ADDIN ZOTERO_ITEM CSL_CITATION {"citationID":"i0B0BsrG","properties":{"unsorted":false,"formattedCitation":"\\super (26)\\nosupersub{}","plainCitation":"(26)","noteIndex":0},"citationItems":[{"id":1166,"uris":["http://zotero.org/users/12575705/items/WNHIKTKE"],"itemData":{"id":1166,"type":"article-journal","abstract":"BackgroundLow carbohydrate diets, which restrict carbohydrate in favour of increased protein or fat intake, or both, are a popular weight-loss strategy. However, the long-term effect of carbohydrate restriction on mortality is controversial and could depend on whether dietary carbohydrate is replaced by plant-based or animal-based fat and protein. We aimed to investigate the association between carbohydrate intake and mortality.","container-title":"The Lancet Public Health","DOI":"10.1016/S2468-2667(18)30135-X","ISSN":"2468-2667","issue":"9","page":"e419-e428","publisher":"Elsevier","title":"Dietary carbohydrate intake and mortality: a prospective cohort study and meta-analysis","URL":"https://doi.org/10.1016/S2468-2667(18)30135-X","volume":"3","author":[{"family":"Seidelmann","given":"Sara B"},{"family":"Claggett","given":"Brian"},{"family":"Cheng","given":"Susan"},{"family":"Henglin","given":"Mir"},{"family":"Shah","given":"Amil"},{"family":"Steffen","given":"Lyn M"},{"family":"Folsom","given":"Aaron R"},{"family":"Rimm","given":"Eric B"},{"family":"Willett","given":"Walter C"},{"family":"Solomon","given":"Scott D"}],"accessed":{"date-parts":[["2026",4,22]]},"issued":{"date-parts":[["2018",9,1]]}}}],"schema":"https://github.com/citation-style-language/schema/raw/master/csl-citation.json"} </w:instrText>
      </w:r>
      <w:r w:rsidR="00391A25" w:rsidRPr="00D71FF2">
        <w:rPr>
          <w:rFonts w:ascii="Times New Roman" w:hAnsi="Times New Roman" w:cs="Times New Roman"/>
        </w:rPr>
        <w:fldChar w:fldCharType="separate"/>
      </w:r>
      <w:r w:rsidR="00391A25" w:rsidRPr="00D71FF2">
        <w:rPr>
          <w:rFonts w:ascii="Times New Roman" w:eastAsia="DengXian" w:hAnsi="Times New Roman" w:cs="Times New Roman"/>
          <w:kern w:val="0"/>
          <w:vertAlign w:val="superscript"/>
        </w:rPr>
        <w:t>(26)</w:t>
      </w:r>
      <w:r w:rsidR="00391A25" w:rsidRPr="00D71FF2">
        <w:rPr>
          <w:rFonts w:ascii="Times New Roman" w:hAnsi="Times New Roman" w:cs="Times New Roman"/>
        </w:rPr>
        <w:fldChar w:fldCharType="end"/>
      </w:r>
      <w:r w:rsidR="006B25CB" w:rsidRPr="00D71FF2">
        <w:rPr>
          <w:rFonts w:ascii="Times New Roman" w:hAnsi="Times New Roman" w:cs="Times New Roman"/>
        </w:rPr>
        <w:t xml:space="preserve">. </w:t>
      </w:r>
      <w:r w:rsidRPr="00D71FF2">
        <w:rPr>
          <w:rFonts w:ascii="Times New Roman" w:hAnsi="Times New Roman" w:cs="Times New Roman"/>
        </w:rPr>
        <w:t>The final sample included 101,926 observations</w:t>
      </w:r>
      <w:r w:rsidR="006B25CB" w:rsidRPr="00D71FF2">
        <w:rPr>
          <w:rFonts w:ascii="Times New Roman" w:hAnsi="Times New Roman" w:cs="Times New Roman"/>
        </w:rPr>
        <w:t>.</w:t>
      </w:r>
    </w:p>
    <w:p w14:paraId="1CD64790" w14:textId="77777777" w:rsidR="006B25CB" w:rsidRPr="00D71FF2" w:rsidRDefault="006B25CB" w:rsidP="006B25CB">
      <w:pPr>
        <w:pStyle w:val="3"/>
      </w:pPr>
      <w:r w:rsidRPr="00D71FF2">
        <w:t>Outcome Definition: Three-Category Urban–Rural Classification</w:t>
      </w:r>
    </w:p>
    <w:p w14:paraId="1142024B" w14:textId="77777777" w:rsidR="00B63BC3" w:rsidRPr="00D71FF2" w:rsidRDefault="00B63BC3" w:rsidP="006B25CB">
      <w:pPr>
        <w:rPr>
          <w:rFonts w:ascii="Times New Roman" w:hAnsi="Times New Roman" w:cs="Times New Roman"/>
        </w:rPr>
      </w:pPr>
      <w:r>
        <w:t>Rural: T2 = rural (2), unless FatER is 23–30% (Transitional)</w:t>
      </w:r>
    </w:p>
    <w:p w14:paraId="17D8F34D" w14:textId="77777777" w:rsidR="00B63BC3" w:rsidRPr="00D71FF2" w:rsidRDefault="00B63BC3" w:rsidP="00B63BC3">
      <w:pPr>
        <w:rPr>
          <w:rFonts w:ascii="Times New Roman" w:hAnsi="Times New Roman" w:cs="Times New Roman"/>
        </w:rPr>
      </w:pPr>
      <w:r w:rsidRPr="00D71FF2">
        <w:rPr>
          <w:rFonts w:ascii="Times New Roman" w:hAnsi="Times New Roman" w:cs="Times New Roman"/>
        </w:rPr>
        <w:t>Categories were defined as:</w:t>
      </w:r>
    </w:p>
    <w:p w14:paraId="403BE47B" w14:textId="77777777" w:rsidR="00B63BC3" w:rsidRPr="00D71FF2" w:rsidRDefault="00B63BC3" w:rsidP="000708C3">
      <w:pPr>
        <w:pStyle w:val="a9"/>
        <w:numPr>
          <w:ilvl w:val="0"/>
          <w:numId w:val="3"/>
        </w:numPr>
        <w:rPr>
          <w:rFonts w:ascii="Times New Roman" w:hAnsi="Times New Roman" w:cs="Times New Roman"/>
        </w:rPr>
      </w:pPr>
      <w:r>
        <w:t>Rural: T2 = rural (2), unless FatER is 23–30% (Transitional)</w:t>
      </w:r>
    </w:p>
    <w:p w14:paraId="54B919D3" w14:textId="77777777" w:rsidR="00B63BC3" w:rsidRPr="00D71FF2" w:rsidRDefault="00B63BC3" w:rsidP="000708C3">
      <w:pPr>
        <w:pStyle w:val="a9"/>
        <w:numPr>
          <w:ilvl w:val="0"/>
          <w:numId w:val="3"/>
        </w:numPr>
        <w:rPr>
          <w:rFonts w:ascii="Times New Roman" w:hAnsi="Times New Roman" w:cs="Times New Roman"/>
        </w:rPr>
      </w:pPr>
      <w:r>
        <w:t>Transitional: FatER 23–30%</w:t>
      </w:r>
    </w:p>
    <w:p w14:paraId="5C209702" w14:textId="77777777" w:rsidR="00B63BC3" w:rsidRPr="00D71FF2" w:rsidRDefault="00B63BC3" w:rsidP="000708C3">
      <w:pPr>
        <w:pStyle w:val="a9"/>
        <w:numPr>
          <w:ilvl w:val="0"/>
          <w:numId w:val="3"/>
        </w:numPr>
        <w:rPr>
          <w:rFonts w:ascii="Times New Roman" w:hAnsi="Times New Roman" w:cs="Times New Roman"/>
        </w:rPr>
      </w:pPr>
      <w:r>
        <w:t>Urban: FatER &gt; 30%</w:t>
      </w:r>
    </w:p>
    <w:p w14:paraId="4F51ED1B" w14:textId="197C79EA" w:rsidR="006B25CB" w:rsidRPr="00D71FF2" w:rsidRDefault="00730E7D" w:rsidP="006B25CB">
      <w:pPr>
        <w:pStyle w:val="3"/>
      </w:pPr>
      <w:r w:rsidRPr="00D71FF2">
        <w:t>Dietary Pattern Representation</w:t>
      </w:r>
    </w:p>
    <w:p w14:paraId="15020B9D" w14:textId="4A073627" w:rsidR="006B25CB" w:rsidRPr="00D71FF2" w:rsidRDefault="000708C3" w:rsidP="006B25CB">
      <w:pPr>
        <w:rPr>
          <w:rFonts w:ascii="Times New Roman" w:hAnsi="Times New Roman" w:cs="Times New Roman"/>
        </w:rPr>
      </w:pPr>
      <w:r w:rsidRPr="00D71FF2">
        <w:rPr>
          <w:rFonts w:ascii="Times New Roman" w:hAnsi="Times New Roman" w:cs="Times New Roman"/>
        </w:rPr>
        <w:t>Dietary patterns were represented using macronutrient composition measures independent of total energy intake, facilitating comparability across individuals.</w:t>
      </w:r>
      <w:r w:rsidR="000622CB" w:rsidRPr="00D71FF2">
        <w:rPr>
          <w:rFonts w:ascii="Times New Roman" w:hAnsi="Times New Roman" w:cs="Times New Roman"/>
        </w:rPr>
        <w:t xml:space="preserve"> The following indicators were calculated:</w:t>
      </w:r>
    </w:p>
    <w:p w14:paraId="0A84419B"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 Energy Ratio (</w:t>
      </w:r>
      <w:proofErr w:type="spellStart"/>
      <w:r w:rsidRPr="00D71FF2">
        <w:rPr>
          <w:rFonts w:ascii="Times New Roman" w:hAnsi="Times New Roman" w:cs="Times New Roman"/>
          <w:b/>
          <w:bCs/>
        </w:rPr>
        <w:t>FatER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dietary fat:</w:t>
      </w:r>
    </w:p>
    <w:p w14:paraId="29F8CE92" w14:textId="546FB790" w:rsidR="006B25CB" w:rsidRPr="00D71FF2" w:rsidRDefault="006B25CB" w:rsidP="006B25CB">
      <w:pPr>
        <w:rPr>
          <w:rFonts w:ascii="Times New Roman" w:hAnsi="Times New Roman" w:cs="Times New Roman"/>
          <w:b/>
          <w:bCs/>
        </w:rPr>
      </w:pPr>
      <w:proofErr w:type="spellStart"/>
      <m:oMathPara>
        <m:oMathParaPr>
          <m:jc m:val="right"/>
        </m:oMathParaPr>
        <m:oMath>
          <m:r>
            <m:rPr>
              <m:nor/>
            </m:rPr>
            <w:rPr>
              <w:rFonts w:ascii="Times New Roman" w:hAnsi="Times New Roman" w:cs="Times New Roman"/>
            </w:rPr>
            <m:t>FatER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r>
                <w:rPr>
                  <w:rFonts w:ascii="Cambria Math" w:hAnsi="Cambria Math" w:cs="Times New Roman"/>
                </w:rPr>
                <m:t>×9</m:t>
              </m:r>
            </m:num>
            <m:den>
              <m:r>
                <m:rPr>
                  <m:nor/>
                </m:rPr>
                <w:rPr>
                  <w:rFonts w:ascii="Times New Roman" w:hAnsi="Times New Roman" w:cs="Times New Roman"/>
                </w:rPr>
                <m:t>Total Energy (kcal)</m:t>
              </m:r>
            </m:den>
          </m:f>
          <m:r>
            <w:rPr>
              <w:rFonts w:ascii="Cambria Math" w:hAnsi="Cambria Math" w:cs="Times New Roman"/>
            </w:rPr>
            <m:t xml:space="preserve">                                                               (1)</m:t>
          </m:r>
        </m:oMath>
      </m:oMathPara>
    </w:p>
    <w:p w14:paraId="338D17EC" w14:textId="3A675A1D" w:rsidR="006B25CB" w:rsidRPr="00D71FF2" w:rsidRDefault="006B25CB" w:rsidP="006B25CB">
      <w:pPr>
        <w:rPr>
          <w:rFonts w:ascii="Times New Roman" w:hAnsi="Times New Roman" w:cs="Times New Roman"/>
        </w:rPr>
      </w:pPr>
      <w:r w:rsidRPr="00D71FF2">
        <w:rPr>
          <w:rFonts w:ascii="Times New Roman" w:hAnsi="Times New Roman" w:cs="Times New Roman"/>
          <w:b/>
          <w:bCs/>
        </w:rPr>
        <w:t>Carbohydrate Energy Ratio (</w:t>
      </w:r>
      <w:proofErr w:type="spellStart"/>
      <w:r w:rsidRPr="00D71FF2">
        <w:rPr>
          <w:rFonts w:ascii="Times New Roman" w:hAnsi="Times New Roman" w:cs="Times New Roman"/>
          <w:b/>
          <w:bCs/>
        </w:rPr>
        <w:t>CarbER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carbohydrates:</w:t>
      </w:r>
    </w:p>
    <w:p w14:paraId="46DB890F" w14:textId="71EBAC1C"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w:lastRenderedPageBreak/>
            <m:t>CarbER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Carbohydrate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(2)</m:t>
          </m:r>
        </m:oMath>
      </m:oMathPara>
    </w:p>
    <w:p w14:paraId="6F25D37F"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Protein Energy Ratio (</w:t>
      </w:r>
      <w:proofErr w:type="spellStart"/>
      <w:r w:rsidRPr="00D71FF2">
        <w:rPr>
          <w:rFonts w:ascii="Times New Roman" w:hAnsi="Times New Roman" w:cs="Times New Roman"/>
          <w:b/>
          <w:bCs/>
        </w:rPr>
        <w:t>ProtER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protein:</w:t>
      </w:r>
    </w:p>
    <w:p w14:paraId="192FA12E" w14:textId="2890A1D3"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m:t>ProtER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Protein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(3)</m:t>
          </m:r>
        </m:oMath>
      </m:oMathPara>
    </w:p>
    <w:p w14:paraId="534726DE"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Fat-to-Carbohydrate Ratio (FCR)</w:t>
      </w:r>
      <w:r w:rsidRPr="00D71FF2">
        <w:rPr>
          <w:rFonts w:ascii="Times New Roman" w:hAnsi="Times New Roman" w:cs="Times New Roman"/>
        </w:rPr>
        <w:t xml:space="preserve"> captures the balance between fat and carbohydrate intake, reflecting the macronutrient substitution that </w:t>
      </w:r>
      <w:proofErr w:type="spellStart"/>
      <w:r w:rsidRPr="00D71FF2">
        <w:rPr>
          <w:rFonts w:ascii="Times New Roman" w:hAnsi="Times New Roman" w:cs="Times New Roman"/>
        </w:rPr>
        <w:t>characterises</w:t>
      </w:r>
      <w:proofErr w:type="spellEnd"/>
      <w:r w:rsidRPr="00D71FF2">
        <w:rPr>
          <w:rFonts w:ascii="Times New Roman" w:hAnsi="Times New Roman" w:cs="Times New Roman"/>
        </w:rPr>
        <w:t xml:space="preserve"> the nutrition transition:</w:t>
      </w:r>
    </w:p>
    <w:p w14:paraId="6BAB0596" w14:textId="76EADD7A" w:rsidR="006B25CB" w:rsidRPr="00D71FF2" w:rsidRDefault="006B25CB" w:rsidP="006B25CB">
      <w:pPr>
        <w:rPr>
          <w:rFonts w:ascii="Times New Roman" w:hAnsi="Times New Roman" w:cs="Times New Roman"/>
        </w:rPr>
      </w:pPr>
      <m:oMathPara>
        <m:oMathParaPr>
          <m:jc m:val="right"/>
        </m:oMathParaPr>
        <m:oMath>
          <m:r>
            <m:rPr>
              <m:nor/>
            </m:rPr>
            <w:rPr>
              <w:rFonts w:ascii="Times New Roman" w:hAnsi="Times New Roman" w:cs="Times New Roman"/>
            </w:rPr>
            <m:t>FCR</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num>
            <m:den>
              <m:r>
                <m:rPr>
                  <m:nor/>
                </m:rPr>
                <w:rPr>
                  <w:rFonts w:ascii="Times New Roman" w:hAnsi="Times New Roman" w:cs="Times New Roman"/>
                </w:rPr>
                <m:t>Carbohydrate (g)</m:t>
              </m:r>
              <m:r>
                <w:rPr>
                  <w:rFonts w:ascii="Cambria Math" w:hAnsi="Cambria Math" w:cs="Times New Roman"/>
                </w:rPr>
                <m:t>+ϵ</m:t>
              </m:r>
            </m:den>
          </m:f>
          <m:r>
            <w:rPr>
              <w:rFonts w:ascii="Cambria Math" w:hAnsi="Cambria Math" w:cs="Times New Roman"/>
            </w:rPr>
            <m:t xml:space="preserve">                                                              (4)</m:t>
          </m:r>
        </m:oMath>
      </m:oMathPara>
    </w:p>
    <w:p w14:paraId="1B023DC3" w14:textId="17B4ED51" w:rsidR="006B25CB" w:rsidRPr="00D71FF2" w:rsidRDefault="006B25CB" w:rsidP="006B25CB">
      <w:pPr>
        <w:rPr>
          <w:rFonts w:ascii="Times New Roman" w:hAnsi="Times New Roman" w:cs="Times New Roman"/>
        </w:rPr>
      </w:pPr>
      <w:r w:rsidRPr="00D71FF2">
        <w:rPr>
          <w:rFonts w:ascii="Times New Roman" w:hAnsi="Times New Roman" w:cs="Times New Roman"/>
        </w:rPr>
        <w:t>where </w:t>
      </w:r>
      <m:oMath>
        <m:r>
          <w:rPr>
            <w:rFonts w:ascii="Cambria Math" w:hAnsi="Cambria Math" w:cs="Times New Roman"/>
          </w:rPr>
          <m:t>ϵ=</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oMath>
      <w:r w:rsidRPr="00D71FF2">
        <w:rPr>
          <w:rFonts w:ascii="Times New Roman" w:hAnsi="Times New Roman" w:cs="Times New Roman"/>
        </w:rPr>
        <w:t> is a small constant to prevent division by zero in cases where carbohydrate intake is recorded as zero.</w:t>
      </w:r>
    </w:p>
    <w:p w14:paraId="40081577" w14:textId="4CCB5DC2" w:rsidR="006B25CB" w:rsidRPr="00D71FF2" w:rsidRDefault="000622CB" w:rsidP="006B25CB">
      <w:pPr>
        <w:rPr>
          <w:rFonts w:ascii="Times New Roman" w:hAnsi="Times New Roman" w:cs="Times New Roman"/>
        </w:rPr>
      </w:pPr>
      <w:r w:rsidRPr="00D71FF2">
        <w:rPr>
          <w:rFonts w:ascii="Times New Roman" w:hAnsi="Times New Roman" w:cs="Times New Roman"/>
        </w:rPr>
        <w:t xml:space="preserve">In addition, survey year and province were included to capture temporal and geographic variation. Continuous variables were </w:t>
      </w:r>
      <w:proofErr w:type="spellStart"/>
      <w:r w:rsidRPr="00D71FF2">
        <w:rPr>
          <w:rFonts w:ascii="Times New Roman" w:hAnsi="Times New Roman" w:cs="Times New Roman"/>
        </w:rPr>
        <w:t>standardised</w:t>
      </w:r>
      <w:proofErr w:type="spellEnd"/>
      <w:r w:rsidRPr="00D71FF2">
        <w:rPr>
          <w:rFonts w:ascii="Times New Roman" w:hAnsi="Times New Roman" w:cs="Times New Roman"/>
        </w:rPr>
        <w:t xml:space="preserve"> prior to modelling.</w:t>
      </w:r>
    </w:p>
    <w:p>
      <w:pPr>
        <w:spacing w:after="120"/>
      </w:pPr>
      <w:r>
        <w:t>Statistical Rationale. Gradient boosting was selected because relationships between macronutrient composition and contextual strata are nonlinear and interaction-dominated. Class weighting addressed imbalance in the analytic sample (Rural 37.2%, Transitional 22.5%, Urban 40.2%). Hyperparameter settings for the balanced XGBoost classifier are reported in Supplementary Table S6.</w:t>
      </w:r>
    </w:p>
    <w:p w14:paraId="112C55D8" w14:textId="6765F212" w:rsidR="006B25CB" w:rsidRPr="00D71FF2" w:rsidRDefault="00730E7D" w:rsidP="006B25CB">
      <w:pPr>
        <w:pStyle w:val="3"/>
      </w:pPr>
      <w:r w:rsidRPr="00D71FF2">
        <w:t>Predictive Modelling</w:t>
      </w:r>
    </w:p>
    <w:p w14:paraId="3B46407B" w14:textId="77777777" w:rsidR="000622CB" w:rsidRPr="00D71FF2" w:rsidRDefault="000622CB" w:rsidP="000622CB">
      <w:pPr>
        <w:rPr>
          <w:rFonts w:ascii="Times New Roman" w:hAnsi="Times New Roman" w:cs="Times New Roman"/>
        </w:rPr>
      </w:pPr>
      <w:r w:rsidRPr="00D71FF2">
        <w:rPr>
          <w:rFonts w:ascii="Times New Roman" w:hAnsi="Times New Roman" w:cs="Times New Roman"/>
        </w:rPr>
        <w:t>We applied a gradient-boosted decision tree approach to model the relationship between dietary patterns and urban–rural classification. This method was selected for its ability to capture complex, non-linear relationships in high-dimensional data.</w:t>
      </w:r>
    </w:p>
    <w:p w14:paraId="4B7F864C" w14:textId="0F869B2C" w:rsidR="000622CB" w:rsidRPr="00D71FF2" w:rsidRDefault="000622CB" w:rsidP="000622CB">
      <w:pPr>
        <w:rPr>
          <w:rFonts w:ascii="Times New Roman" w:hAnsi="Times New Roman" w:cs="Times New Roman"/>
        </w:rPr>
      </w:pPr>
      <w:r w:rsidRPr="00D71FF2">
        <w:rPr>
          <w:rFonts w:ascii="Times New Roman" w:hAnsi="Times New Roman" w:cs="Times New Roman"/>
        </w:rPr>
        <w:t>To address class imbalance, category weights were incorporated during model training. The dataset was split into training (80%) and test (20%) sets using stratified sampling. Model parameters were selected using five-fold cross-validation.</w:t>
      </w:r>
      <w:r w:rsidR="00150E3E" w:rsidRPr="00D71FF2">
        <w:rPr>
          <w:rFonts w:ascii="Times New Roman" w:hAnsi="Times New Roman" w:cs="Times New Roman"/>
        </w:rPr>
        <w:t xml:space="preserve"> </w:t>
      </w:r>
      <w:r w:rsidRPr="00D71FF2">
        <w:rPr>
          <w:rFonts w:ascii="Times New Roman" w:hAnsi="Times New Roman" w:cs="Times New Roman"/>
        </w:rPr>
        <w:t>The full configuration is provided in </w:t>
      </w:r>
      <w:r w:rsidRPr="00D71FF2">
        <w:rPr>
          <w:rFonts w:ascii="Times New Roman" w:hAnsi="Times New Roman" w:cs="Times New Roman"/>
          <w:b/>
          <w:bCs/>
        </w:rPr>
        <w:t>Supplementary Table S</w:t>
      </w:r>
      <w:r w:rsidR="00B61E6E" w:rsidRPr="00D71FF2">
        <w:rPr>
          <w:rFonts w:ascii="Times New Roman" w:hAnsi="Times New Roman" w:cs="Times New Roman"/>
          <w:b/>
          <w:bCs/>
        </w:rPr>
        <w:t>6</w:t>
      </w:r>
      <w:r w:rsidRPr="00D71FF2">
        <w:rPr>
          <w:rFonts w:ascii="Times New Roman" w:hAnsi="Times New Roman" w:cs="Times New Roman"/>
        </w:rPr>
        <w:t>.</w:t>
      </w:r>
    </w:p>
    <w:p>
      <w:pPr>
        <w:spacing w:after="120"/>
      </w:pPr>
      <w:r>
        <w:t>For the primary binary inferential task, we additionally trained a separate XGBoost classifier on non-transitional observations only (Rural vs. Urban, excluding FatER 23–30%). The same hyperparameter configuration, class weighting, and evaluation protocol (including 30% simulated label missingness) were applied. This model provides the basis for primary performance reporting; the three-class model is retained for descriptive epidemiological stratification.</w:t>
      </w:r>
    </w:p>
    <w:p w14:paraId="7B40FEB2" w14:textId="77777777" w:rsidR="006B25CB" w:rsidRPr="00D71FF2" w:rsidRDefault="006B25CB" w:rsidP="006B25CB">
      <w:pPr>
        <w:pStyle w:val="3"/>
      </w:pPr>
      <w:r w:rsidRPr="00D71FF2">
        <w:t>Baseline Methods for Comparison</w:t>
      </w:r>
    </w:p>
    <w:p w14:paraId="0777F3FE" w14:textId="6C7AE9A4" w:rsidR="006B25CB" w:rsidRPr="00D71FF2" w:rsidRDefault="005110A2" w:rsidP="006B25CB">
      <w:pPr>
        <w:rPr>
          <w:rFonts w:ascii="Times New Roman" w:hAnsi="Times New Roman" w:cs="Times New Roman"/>
        </w:rPr>
      </w:pPr>
      <w:r w:rsidRPr="00D71FF2">
        <w:rPr>
          <w:rFonts w:ascii="Times New Roman" w:hAnsi="Times New Roman" w:cs="Times New Roman"/>
        </w:rPr>
        <w:t>We compared the proposed approach with commonly used methods:</w:t>
      </w:r>
    </w:p>
    <w:p w14:paraId="1FD81E88" w14:textId="77777777" w:rsidR="006B25CB" w:rsidRPr="00D71FF2" w:rsidRDefault="006B25CB" w:rsidP="006B25CB">
      <w:pPr>
        <w:rPr>
          <w:rFonts w:ascii="Times New Roman" w:hAnsi="Times New Roman" w:cs="Times New Roman"/>
        </w:rPr>
      </w:pPr>
      <w:bookmarkStart w:id="2" w:name="OLE_LINK5"/>
      <w:r w:rsidRPr="00D71FF2">
        <w:rPr>
          <w:rFonts w:ascii="Times New Roman" w:hAnsi="Times New Roman" w:cs="Times New Roman"/>
          <w:b/>
          <w:bCs/>
        </w:rPr>
        <w:t>Majority Category Imputation</w:t>
      </w:r>
      <w:r w:rsidRPr="00D71FF2">
        <w:rPr>
          <w:rFonts w:ascii="Times New Roman" w:hAnsi="Times New Roman" w:cs="Times New Roman"/>
        </w:rPr>
        <w:t> assigns all unobserved values to the most frequent category (Rural), representing the simplest possible strategy and providing a lower bound on acceptable performance.</w:t>
      </w:r>
    </w:p>
    <w:p w14:paraId="41181748" w14:textId="4540E18C" w:rsidR="006B25CB" w:rsidRPr="00D71FF2" w:rsidRDefault="006B25CB" w:rsidP="006B25CB">
      <w:pPr>
        <w:rPr>
          <w:rFonts w:ascii="Times New Roman" w:hAnsi="Times New Roman" w:cs="Times New Roman"/>
        </w:rPr>
      </w:pPr>
      <w:r w:rsidRPr="00D71FF2">
        <w:rPr>
          <w:rFonts w:ascii="Times New Roman" w:hAnsi="Times New Roman" w:cs="Times New Roman"/>
          <w:b/>
          <w:bCs/>
        </w:rPr>
        <w:t xml:space="preserve">k-Nearest </w:t>
      </w:r>
      <w:proofErr w:type="spellStart"/>
      <w:r w:rsidRPr="00D71FF2">
        <w:rPr>
          <w:rFonts w:ascii="Times New Roman" w:hAnsi="Times New Roman" w:cs="Times New Roman"/>
          <w:b/>
          <w:bCs/>
        </w:rPr>
        <w:t>Neighbours</w:t>
      </w:r>
      <w:proofErr w:type="spellEnd"/>
      <w:r w:rsidRPr="00D71FF2">
        <w:rPr>
          <w:rFonts w:ascii="Times New Roman" w:hAnsi="Times New Roman" w:cs="Times New Roman"/>
          <w:b/>
          <w:bCs/>
        </w:rPr>
        <w:t xml:space="preserve"> (KNN) Imputation</w:t>
      </w:r>
      <w:r w:rsidRPr="00D71FF2">
        <w:rPr>
          <w:rFonts w:ascii="Times New Roman" w:hAnsi="Times New Roman" w:cs="Times New Roman"/>
        </w:rPr>
        <w:t> identifies the </w:t>
      </w:r>
      <m:oMath>
        <m:r>
          <w:rPr>
            <w:rFonts w:ascii="Cambria Math" w:hAnsi="Cambria Math" w:cs="Times New Roman"/>
          </w:rPr>
          <m:t>k=5</m:t>
        </m:r>
      </m:oMath>
      <w:r w:rsidRPr="00D71FF2">
        <w:rPr>
          <w:rFonts w:ascii="Times New Roman" w:hAnsi="Times New Roman" w:cs="Times New Roman"/>
        </w:rPr>
        <w:t> most similar complete cases in feature space and assigns the modal category among those neighbours. KNN is widely used in food-frequency questionnaire missing data handling</w:t>
      </w:r>
      <w:r w:rsidR="00B40B22" w:rsidRPr="00D71FF2">
        <w:rPr>
          <w:rFonts w:ascii="Times New Roman" w:hAnsi="Times New Roman" w:cs="Times New Roman"/>
        </w:rPr>
        <w:fldChar w:fldCharType="begin"/>
      </w:r>
      <w:r w:rsidR="00B40B22" w:rsidRPr="00D71FF2">
        <w:rPr>
          <w:rFonts w:ascii="Times New Roman" w:hAnsi="Times New Roman" w:cs="Times New Roman"/>
        </w:rPr>
        <w:instrText xml:space="preserve"> ADDIN ZOTERO_ITEM CSL_CITATION {"citationID":"QSKhSObh","properties":{"unsorted":false,"formattedCitation":"\\super (17)\\nosupersub{}","plainCitation":"(17)","noteIndex":0},"citationItems":[{"id":1160,"uris":["http://zotero.org/users/12575705/items/Q8MS54DW"],"itemData":{"id":1160,"type":"article-journal","abstract":"Nearest neighbor (NN) imputation algorithms are efficient methods to fill in missing data where each missing value on some records is replaced by a value obtained from related cases in the whole set of records. Besides the capability to substitute the missing data with plausible values that are as close as possible to the true value, imputation algorithms should preserve the original data structure and avoid to distort the distribution of the imputed variable. Despite the efficiency of NN algorithms little is known about the effect of these methods on data structure.","container-title":"BMC Medical Informatics and Decision Making","DOI":"10.1186/s12911-016-0318-z","ISSN":"1472-6947","issue":"3","journalAbbreviation":"BMC Medical Informatics and Decision Making","page":"74","title":"Nearest neighbor imputation algorithms: a critical evaluation","URL":"https://doi.org/10.1186/s12911-016-0318-z","volume":"16","author":[{"family":"Beretta","given":"Lorenzo"},{"family":"Santaniello","given":"Alessandro"}],"issued":{"date-parts":[["2016",7,25]]}}}],"schema":"https://github.com/citation-style-language/schema/raw/master/csl-citation.json"} </w:instrText>
      </w:r>
      <w:r w:rsidR="00B40B22" w:rsidRPr="00D71FF2">
        <w:rPr>
          <w:rFonts w:ascii="Times New Roman" w:hAnsi="Times New Roman" w:cs="Times New Roman"/>
        </w:rPr>
        <w:fldChar w:fldCharType="separate"/>
      </w:r>
      <w:r w:rsidR="00B40B22" w:rsidRPr="00D71FF2">
        <w:rPr>
          <w:rFonts w:ascii="Times New Roman" w:eastAsia="DengXian" w:hAnsi="Times New Roman" w:cs="Times New Roman"/>
          <w:kern w:val="0"/>
          <w:vertAlign w:val="superscript"/>
        </w:rPr>
        <w:t>(17)</w:t>
      </w:r>
      <w:r w:rsidR="00B40B22" w:rsidRPr="00D71FF2">
        <w:rPr>
          <w:rFonts w:ascii="Times New Roman" w:hAnsi="Times New Roman" w:cs="Times New Roman"/>
        </w:rPr>
        <w:fldChar w:fldCharType="end"/>
      </w:r>
      <w:r w:rsidRPr="00D71FF2">
        <w:rPr>
          <w:rFonts w:ascii="Times New Roman" w:hAnsi="Times New Roman" w:cs="Times New Roman"/>
        </w:rPr>
        <w:t xml:space="preserve"> and provides a non-parametric baseline that requires no distributional assumptions.</w:t>
      </w:r>
    </w:p>
    <w:p w14:paraId="5441F0C2" w14:textId="4C2DCA0C" w:rsidR="006B25CB" w:rsidRPr="00D71FF2" w:rsidRDefault="006B25CB" w:rsidP="006B25CB">
      <w:pPr>
        <w:rPr>
          <w:rFonts w:ascii="Times New Roman" w:hAnsi="Times New Roman" w:cs="Times New Roman"/>
        </w:rPr>
      </w:pPr>
      <w:r>
        <w:t>Multiple Imputation by Chained Equations (MICE) was implemented via iterative multinomial logistic regression for the categorical outcome (10 iterations), with continuous macronutrient and spatiotemporal predictors standardised prior to each imputation cycle. This specification avoids treating the outcome as a continuous variable, which would be inappropriate for administrative residence labels.</w:t>
      </w:r>
    </w:p>
    <w:p>
      <w:r>
        <w:t>Linear Discriminant Analysis (LDA) Imputation fits a linear classifier on observed labels and predicts masked labels, providing a simple linear baseline for categorical recovery.</w:t>
      </w:r>
    </w:p>
    <w:p w14:paraId="00BE26E2"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Random Forest Imputation (RF-Imputer)</w:t>
      </w:r>
      <w:r w:rsidRPr="00D71FF2">
        <w:rPr>
          <w:rFonts w:ascii="Times New Roman" w:hAnsi="Times New Roman" w:cs="Times New Roman"/>
        </w:rPr>
        <w:t xml:space="preserve"> uses an ensemble of decision trees to iteratively predict missing values. This method shares the ensemble structure of the proposed framework but lacks category-balancing and the specific </w:t>
      </w:r>
      <w:proofErr w:type="spellStart"/>
      <w:r w:rsidRPr="00D71FF2">
        <w:rPr>
          <w:rFonts w:ascii="Times New Roman" w:hAnsi="Times New Roman" w:cs="Times New Roman"/>
        </w:rPr>
        <w:t>regularisation</w:t>
      </w:r>
      <w:proofErr w:type="spellEnd"/>
      <w:r w:rsidRPr="00D71FF2">
        <w:rPr>
          <w:rFonts w:ascii="Times New Roman" w:hAnsi="Times New Roman" w:cs="Times New Roman"/>
        </w:rPr>
        <w:t xml:space="preserve"> strategy, providing a direct test of whether the proposed architectural modifications confer meaningful performance advantages.</w:t>
      </w:r>
    </w:p>
    <w:p w14:paraId="71D7FFF9" w14:textId="405610EE" w:rsidR="005110A2" w:rsidRPr="00D71FF2" w:rsidRDefault="005110A2" w:rsidP="006B25CB">
      <w:pPr>
        <w:rPr>
          <w:rFonts w:ascii="Times New Roman" w:hAnsi="Times New Roman" w:cs="Times New Roman"/>
        </w:rPr>
      </w:pPr>
      <w:r w:rsidRPr="00D71FF2">
        <w:rPr>
          <w:rFonts w:ascii="Times New Roman" w:hAnsi="Times New Roman" w:cs="Times New Roman"/>
        </w:rPr>
        <w:t>These methods represent standard approaches for handling categorical missing data in epidemiological research.</w:t>
      </w:r>
    </w:p>
    <w:bookmarkEnd w:id="2"/>
    <w:p>
      <w:pPr>
        <w:spacing w:before="200" w:after="80"/>
      </w:pPr>
      <w:r>
        <w:rPr>
          <w:b/>
        </w:rPr>
        <w:t>Missing Data Mechanisms and Simulation</w:t>
      </w:r>
    </w:p>
    <w:p>
      <w:pPr>
        <w:spacing w:after="120"/>
      </w:pPr>
      <w:r>
        <w:t>MCAR. On the held-out test set, each observation's contextual label is masked independently with probability π = 0.30 (primary scenario; robustness also uses π ∈ {0.10,…,0.70}). Masking is independent of covariates and of the true label. Predictors remain fully observed.</w:t>
        <w:br/>
        <w:br/>
        <w:t>MAR. We generate missingness depending on observed FatER via a logistic propensity model: logit{P(R=1 | FatER)} = β₀ + β₁ z(FatER), where z(FatER) is the standardised FatER on the test set, β₁ = 2.0, and β₀ is calibrated so that E[P(R=1)] ≈ 0.30 (fitted β₀ = -1.354; realised rate 0.300). Larger FatER therefore increases the probability of label missingness, approximating settings where more urbanised dietary profiles are differentially incomplete.</w:t>
        <w:br/>
        <w:br/>
        <w:t>Spatially structured missingness. Labels are masked at the observation level with province-specific rates: 0.50 in Beijing, Shanghai, and Chongqing and 0.20 elsewhere (not whole-province deletion). This sensitivity check is reported alongside MCAR/MAR; primary conclusions rely on MCAR with MAR as the main departure-from-randomness stress test.</w:t>
      </w:r>
    </w:p>
    <w:p w14:paraId="19E66EDE" w14:textId="77777777" w:rsidR="006B25CB" w:rsidRPr="00D71FF2" w:rsidRDefault="006B25CB" w:rsidP="006B25CB">
      <w:pPr>
        <w:pStyle w:val="3"/>
      </w:pPr>
      <w:r w:rsidRPr="00D71FF2">
        <w:t>Evaluation Framework</w:t>
      </w:r>
    </w:p>
    <w:p w14:paraId="3837E80F" w14:textId="27ED73BF" w:rsidR="006B25CB" w:rsidRPr="00D71FF2" w:rsidRDefault="00886075" w:rsidP="006B25CB">
      <w:pPr>
        <w:rPr>
          <w:rFonts w:ascii="Times New Roman" w:hAnsi="Times New Roman" w:cs="Times New Roman"/>
        </w:rPr>
      </w:pPr>
      <w:r w:rsidRPr="00D71FF2">
        <w:rPr>
          <w:rFonts w:ascii="Times New Roman" w:hAnsi="Times New Roman" w:cs="Times New Roman"/>
        </w:rPr>
        <w:t xml:space="preserve">We evaluated performance under simulated missingness, leveraging the complete CHNS labels as </w:t>
      </w:r>
      <w:r w:rsidRPr="00D71FF2">
        <w:rPr>
          <w:rFonts w:ascii="Times New Roman" w:hAnsi="Times New Roman" w:cs="Times New Roman"/>
        </w:rPr>
        <w:lastRenderedPageBreak/>
        <w:t>ground truth.</w:t>
      </w:r>
      <w:r w:rsidR="00DF6FA6" w:rsidRPr="00D71FF2">
        <w:rPr>
          <w:rFonts w:ascii="Times New Roman" w:hAnsi="Times New Roman" w:cs="Times New Roman"/>
        </w:rPr>
        <w:t xml:space="preserve"> Key components:</w:t>
      </w:r>
    </w:p>
    <w:p w14:paraId="53CE4946" w14:textId="1D2742CE" w:rsidR="006B25CB" w:rsidRPr="00D71FF2" w:rsidRDefault="00DD49D2" w:rsidP="008128CB">
      <w:pPr>
        <w:pStyle w:val="4"/>
      </w:pPr>
      <w:r w:rsidRPr="00D71FF2">
        <w:t xml:space="preserve">Inference </w:t>
      </w:r>
      <w:r w:rsidR="00730E7D" w:rsidRPr="00D71FF2">
        <w:t>Accuracy Under Simulated Missingness</w:t>
      </w:r>
    </w:p>
    <w:p w14:paraId="2BDDDF0B" w14:textId="7B44D543" w:rsidR="006B25CB" w:rsidRPr="00D71FF2" w:rsidRDefault="00730E7D" w:rsidP="006B25CB">
      <w:pPr>
        <w:rPr>
          <w:rFonts w:ascii="Times New Roman" w:hAnsi="Times New Roman" w:cs="Times New Roman"/>
        </w:rPr>
      </w:pPr>
      <w:r w:rsidRPr="00D71FF2">
        <w:rPr>
          <w:rFonts w:ascii="Times New Roman" w:hAnsi="Times New Roman" w:cs="Times New Roman"/>
        </w:rPr>
        <w:t xml:space="preserve">To evaluate </w:t>
      </w:r>
      <w:r w:rsidR="004A32A1" w:rsidRPr="00D71FF2">
        <w:rPr>
          <w:rFonts w:ascii="Times New Roman" w:hAnsi="Times New Roman" w:cs="Times New Roman"/>
        </w:rPr>
        <w:t>inference</w:t>
      </w:r>
      <w:r w:rsidRPr="00D71FF2">
        <w:rPr>
          <w:rFonts w:ascii="Times New Roman" w:hAnsi="Times New Roman" w:cs="Times New Roman"/>
        </w:rPr>
        <w:t xml:space="preserve"> accuracy, </w:t>
      </w:r>
      <w:r w:rsidR="006B25CB" w:rsidRPr="00D71FF2">
        <w:rPr>
          <w:rFonts w:ascii="Times New Roman" w:hAnsi="Times New Roman" w:cs="Times New Roman"/>
        </w:rPr>
        <w:t xml:space="preserve">we randomly masked 30% of urban–rural labels in the held-out test set, simulating a scenario where geographic context is unavailable for a substantial proportion of observations. </w:t>
      </w:r>
      <w:r w:rsidR="00656DE6" w:rsidRPr="00D71FF2">
        <w:rPr>
          <w:rFonts w:ascii="Times New Roman" w:hAnsi="Times New Roman" w:cs="Times New Roman"/>
        </w:rPr>
        <w:t xml:space="preserve">Inference </w:t>
      </w:r>
      <w:r w:rsidR="006B25CB" w:rsidRPr="00D71FF2">
        <w:rPr>
          <w:rFonts w:ascii="Times New Roman" w:hAnsi="Times New Roman" w:cs="Times New Roman"/>
        </w:rPr>
        <w:t>accuracy, macro-averaged F1 score, and Cohen's </w:t>
      </w:r>
      <m:oMath>
        <m:r>
          <w:rPr>
            <w:rFonts w:ascii="Cambria Math" w:hAnsi="Cambria Math" w:cs="Times New Roman"/>
          </w:rPr>
          <m:t>κ</m:t>
        </m:r>
      </m:oMath>
      <w:r w:rsidR="006B25CB" w:rsidRPr="00D71FF2">
        <w:rPr>
          <w:rFonts w:ascii="Times New Roman" w:hAnsi="Times New Roman" w:cs="Times New Roman"/>
        </w:rPr>
        <w:t> were computed by comparing inferred labels against the known true labels. This simulation was repeated across missing rates ranging from 10% to 70% (in 10-percentage-point increments) to assess sensitivity to the degree of missingness.</w:t>
      </w:r>
    </w:p>
    <w:p w14:paraId="79C26FF3" w14:textId="446E4BAF" w:rsidR="006B25CB" w:rsidRPr="00D71FF2" w:rsidRDefault="006B25CB" w:rsidP="008128CB">
      <w:pPr>
        <w:pStyle w:val="4"/>
      </w:pPr>
      <w:r w:rsidRPr="00D71FF2">
        <w:t xml:space="preserve">Distributional </w:t>
      </w:r>
      <w:r w:rsidR="00730E7D" w:rsidRPr="00D71FF2">
        <w:t>Agreement</w:t>
      </w:r>
    </w:p>
    <w:p w14:paraId="4C79C66C" w14:textId="126615FC" w:rsidR="006B25CB" w:rsidRPr="00D71FF2" w:rsidRDefault="006B25CB" w:rsidP="006B25CB">
      <w:pPr>
        <w:rPr>
          <w:rFonts w:ascii="Times New Roman" w:hAnsi="Times New Roman" w:cs="Times New Roman"/>
        </w:rPr>
      </w:pPr>
      <w:r w:rsidRPr="00D71FF2">
        <w:rPr>
          <w:rFonts w:ascii="Times New Roman" w:hAnsi="Times New Roman" w:cs="Times New Roman"/>
        </w:rPr>
        <w:t>Preserving population-level dietary distributions is critical for epidemiological analyses, as distortion of category proportions could bias prevalence estimates and subsequent inferences. We quantified distributional fidelity using Jensen–Shannon (JS) divergence between the true and inferred category distributions</w:t>
      </w:r>
      <w:r w:rsidR="00DF6FA6" w:rsidRPr="00D71FF2">
        <w:rPr>
          <w:rFonts w:ascii="Times New Roman" w:hAnsi="Times New Roman" w:cs="Times New Roman"/>
        </w:rPr>
        <w:t xml:space="preserve">. </w:t>
      </w:r>
      <w:r w:rsidRPr="00D71FF2">
        <w:rPr>
          <w:rFonts w:ascii="Times New Roman" w:hAnsi="Times New Roman" w:cs="Times New Roman"/>
        </w:rPr>
        <w:t>We also report the maximum absolute difference between true and inferred category proportions as an interpretable summary measure.</w:t>
      </w:r>
    </w:p>
    <w:p w14:paraId="76BE0C33" w14:textId="3FDF6ADD" w:rsidR="006B25CB" w:rsidRPr="00D71FF2" w:rsidRDefault="006B25CB" w:rsidP="008128CB">
      <w:pPr>
        <w:pStyle w:val="4"/>
      </w:pPr>
      <w:r w:rsidRPr="00D71FF2">
        <w:t xml:space="preserve">Temporal </w:t>
      </w:r>
      <w:proofErr w:type="spellStart"/>
      <w:r w:rsidR="00187036" w:rsidRPr="00D71FF2">
        <w:t>Generalisability</w:t>
      </w:r>
      <w:proofErr w:type="spellEnd"/>
      <w:r w:rsidRPr="00D71FF2">
        <w:t>: Leave-One-Year-Out</w:t>
      </w:r>
    </w:p>
    <w:p w14:paraId="73E7011A" w14:textId="6B60B60B"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To assess </w:t>
      </w:r>
      <w:proofErr w:type="spellStart"/>
      <w:r w:rsidRPr="00D71FF2">
        <w:rPr>
          <w:rFonts w:ascii="Times New Roman" w:hAnsi="Times New Roman" w:cs="Times New Roman"/>
        </w:rPr>
        <w:t>generalisability</w:t>
      </w:r>
      <w:proofErr w:type="spellEnd"/>
      <w:r w:rsidRPr="00D71FF2">
        <w:rPr>
          <w:rFonts w:ascii="Times New Roman" w:hAnsi="Times New Roman" w:cs="Times New Roman"/>
        </w:rPr>
        <w:t xml:space="preserve"> to unseen time periods—a critical requirement for application to future survey waves or other datasets spanning different time frames—we conducted leave-one-year-out (LOYO) validation. In each of eight iterations, the framework was trained on observations from seven survey waves and evaluated on the held-out eighth wave. This design simulates the real-world scenario of applying the framework to newly collected dietary data from periods not represented in the training sample. Mean accuracy, macro-F1, and Cohen's </w:t>
      </w:r>
      <m:oMath>
        <m:r>
          <w:rPr>
            <w:rFonts w:ascii="Cambria Math" w:hAnsi="Cambria Math" w:cs="Times New Roman"/>
          </w:rPr>
          <m:t>κ</m:t>
        </m:r>
      </m:oMath>
      <w:r w:rsidRPr="00D71FF2">
        <w:rPr>
          <w:rFonts w:ascii="Times New Roman" w:hAnsi="Times New Roman" w:cs="Times New Roman"/>
        </w:rPr>
        <w:t> were computed across the eight held-out waves.</w:t>
      </w:r>
    </w:p>
    <w:p w14:paraId="002236F7" w14:textId="7C99DFC6" w:rsidR="006B25CB" w:rsidRPr="00D71FF2" w:rsidRDefault="006B25CB" w:rsidP="008128CB">
      <w:pPr>
        <w:pStyle w:val="4"/>
      </w:pPr>
      <w:r w:rsidRPr="00D71FF2">
        <w:t>Calibration</w:t>
      </w:r>
    </w:p>
    <w:p w14:paraId="3BA3403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For the framework to support probabilistic inference (e.g., assigning fractional weights rather than deterministic labels in sensitivity analyses), predicted probabilities must be well-calibrated—that is, a predicted probability of 0.8 should correspond to an empirical success rate of approximately 80%. We assessed calibration using the Expected Calibration Error (ECE) and Brier score for each outcome category. ECE measures the weighted average difference between predicted confidence and observed accuracy across probability bins, with lower values indicating better calibration. Brier score quantifies the mean squared difference between predicted probabilities and binary outcomes, where 0 represents perfect calibration and 0.25 represents an uninformative model for three-category prediction. Calibration curves comparing predicted probabilities against observed frequencies were constructed for visual assessment.</w:t>
      </w:r>
    </w:p>
    <w:p>
      <w:pPr>
        <w:spacing w:after="120"/>
      </w:pPr>
      <w:r>
        <w:t>Having established the framework's inferential performance, we next examine its practical utility for downstream epidemiological analyses—the ultimate test of any imputation strategy in applied research.</w:t>
      </w:r>
    </w:p>
    <w:p w14:paraId="00E3C825" w14:textId="6C3BC58B" w:rsidR="006B25CB" w:rsidRPr="00D71FF2" w:rsidRDefault="00187036" w:rsidP="008128CB">
      <w:pPr>
        <w:pStyle w:val="4"/>
      </w:pPr>
      <w:r w:rsidRPr="00D71FF2">
        <w:t>Preservation of Downstream Epidemiological Associations</w:t>
      </w:r>
    </w:p>
    <w:p w14:paraId="3D81D17D" w14:textId="5672A194" w:rsidR="006B25CB" w:rsidRPr="00D71FF2" w:rsidRDefault="006B25CB" w:rsidP="006B25CB">
      <w:pPr>
        <w:rPr>
          <w:rFonts w:ascii="Times New Roman" w:hAnsi="Times New Roman" w:cs="Times New Roman"/>
        </w:rPr>
      </w:pPr>
      <w:r w:rsidRPr="00D71FF2">
        <w:rPr>
          <w:rFonts w:ascii="Times New Roman" w:hAnsi="Times New Roman" w:cs="Times New Roman"/>
        </w:rPr>
        <w:t>The ultimate test of inference quality is whether it preserves epidemiological conclusions. We compared effect size estimates for urban–rural dietary differences computed using true labels versus inferred labels (under 30% simulated missingness). For each macronutrient feature, we calculated the mean difference between Urban and Rural categories, Cohen's </w:t>
      </w:r>
      <m:oMath>
        <m:r>
          <w:rPr>
            <w:rFonts w:ascii="Cambria Math" w:hAnsi="Cambria Math" w:cs="Times New Roman"/>
          </w:rPr>
          <m:t>d</m:t>
        </m:r>
      </m:oMath>
      <w:r w:rsidRPr="00D71FF2">
        <w:rPr>
          <w:rFonts w:ascii="Times New Roman" w:hAnsi="Times New Roman" w:cs="Times New Roman"/>
        </w:rPr>
        <w:t> as a standardised effect size measure, and associated </w:t>
      </w:r>
      <w:r w:rsidRPr="00D71FF2">
        <w:rPr>
          <w:rFonts w:ascii="Times New Roman" w:hAnsi="Times New Roman" w:cs="Times New Roman"/>
          <w:i/>
          <w:iCs/>
        </w:rPr>
        <w:t>P</w:t>
      </w:r>
      <w:r w:rsidRPr="00D71FF2">
        <w:rPr>
          <w:rFonts w:ascii="Times New Roman" w:hAnsi="Times New Roman" w:cs="Times New Roman"/>
        </w:rPr>
        <w:t>-values from independent samples </w:t>
      </w:r>
      <w:r w:rsidRPr="00D71FF2">
        <w:rPr>
          <w:rFonts w:ascii="Times New Roman" w:hAnsi="Times New Roman" w:cs="Times New Roman"/>
          <w:i/>
          <w:iCs/>
        </w:rPr>
        <w:t>t</w:t>
      </w:r>
      <w:r w:rsidRPr="00D71FF2">
        <w:rPr>
          <w:rFonts w:ascii="Times New Roman" w:hAnsi="Times New Roman" w:cs="Times New Roman"/>
        </w:rPr>
        <w:t>-tests. Bias was quantified as the absolute and relative difference between true and inferred effect sizes. Consistency of statistical significance (whether both analyses yielded </w:t>
      </w:r>
      <w:r w:rsidRPr="00D71FF2">
        <w:rPr>
          <w:rFonts w:ascii="Times New Roman" w:hAnsi="Times New Roman" w:cs="Times New Roman"/>
          <w:i/>
          <w:iCs/>
        </w:rPr>
        <w:t>P</w:t>
      </w:r>
      <w:r w:rsidRPr="00D71FF2">
        <w:rPr>
          <w:rFonts w:ascii="Times New Roman" w:hAnsi="Times New Roman" w:cs="Times New Roman"/>
        </w:rPr>
        <w:t> &lt; 0.05 with the same direction of effect) was recorded as a binary indicator of inferential preservation.</w:t>
      </w:r>
    </w:p>
    <w:p w14:paraId="384E7C08" w14:textId="77777777" w:rsidR="006B25CB" w:rsidRPr="00D71FF2" w:rsidRDefault="006B25CB" w:rsidP="008128CB">
      <w:pPr>
        <w:pStyle w:val="4"/>
      </w:pPr>
      <w:r w:rsidRPr="00D71FF2">
        <w:lastRenderedPageBreak/>
        <w:t>Statistical Significance of Performance Differences</w:t>
      </w:r>
    </w:p>
    <w:p w14:paraId="35F9191F"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To formally test whether observed performance differences between methods were statistically significant, we conducted a paired bootstrap difference test with 2,000 resamples. For each bootstrap sample, both the proposed framework and the best-performing baseline were evaluated on the identical set of simulated missing values, and the within-sample difference in accuracy and macro-F1 was recorded. The null hypothesis of no difference was rejected if the 95% confidence interval of the difference excluded zero. Bootstrap 95% confidence intervals for all primary performance metrics were also computed to quantify estimation uncertainty.</w:t>
      </w:r>
    </w:p>
    <w:p w14:paraId="3045886A" w14:textId="77777777" w:rsidR="006B25CB" w:rsidRPr="00D71FF2" w:rsidRDefault="006B25CB" w:rsidP="006B25CB">
      <w:pPr>
        <w:pStyle w:val="3"/>
      </w:pPr>
      <w:r w:rsidRPr="00D71FF2">
        <w:t>Software and Reproducibility</w:t>
      </w:r>
    </w:p>
    <w:p w14:paraId="768F0F4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All analyses were performed using Python version 3.11 with the following open-source libraries: </w:t>
      </w:r>
      <w:proofErr w:type="spellStart"/>
      <w:r w:rsidRPr="00D71FF2">
        <w:rPr>
          <w:rFonts w:ascii="Times New Roman" w:hAnsi="Times New Roman" w:cs="Times New Roman"/>
        </w:rPr>
        <w:t>XGBoost</w:t>
      </w:r>
      <w:proofErr w:type="spellEnd"/>
      <w:r w:rsidRPr="00D71FF2">
        <w:rPr>
          <w:rFonts w:ascii="Times New Roman" w:hAnsi="Times New Roman" w:cs="Times New Roman"/>
        </w:rPr>
        <w:t xml:space="preserve"> (version 1.7) for gradient boosting, scikit-learn (version 1.3) for baseline methods and evaluation metrics, and SHAP (version 0.42) for model interpretation. Data processing scripts, model training code, and evaluation pipelines are publicly available at </w:t>
      </w:r>
      <w:hyperlink r:id="rId8" w:tgtFrame="_blank" w:history="1">
        <w:r w:rsidRPr="00D71FF2">
          <w:rPr>
            <w:rStyle w:val="af"/>
            <w:rFonts w:ascii="Times New Roman" w:hAnsi="Times New Roman" w:cs="Times New Roman"/>
          </w:rPr>
          <w:t>https://github.com/tyrone1979/nutri2-urban</w:t>
        </w:r>
      </w:hyperlink>
      <w:r w:rsidRPr="00D71FF2">
        <w:rPr>
          <w:rFonts w:ascii="Times New Roman" w:hAnsi="Times New Roman" w:cs="Times New Roman"/>
        </w:rPr>
        <w:t> to facilitate reproducibility and adoption by other researchers. The pre-trained model is also available for direct application to new datasets without requiring retraining.</w:t>
      </w:r>
    </w:p>
    <w:p w14:paraId="5EFE0F01" w14:textId="77777777" w:rsidR="00265CF1" w:rsidRPr="00D71FF2" w:rsidRDefault="00265CF1" w:rsidP="00265CF1">
      <w:pPr>
        <w:pStyle w:val="2"/>
      </w:pPr>
      <w:r w:rsidRPr="00D71FF2">
        <w:t>Results</w:t>
      </w:r>
    </w:p>
    <w:p w14:paraId="53928CFA" w14:textId="77777777" w:rsidR="00265CF1" w:rsidRPr="00D71FF2" w:rsidRDefault="00265CF1" w:rsidP="00265CF1">
      <w:pPr>
        <w:pStyle w:val="3"/>
      </w:pPr>
      <w:r w:rsidRPr="00D71FF2">
        <w:t>Sample Characteristics</w:t>
      </w:r>
    </w:p>
    <w:p w14:paraId="013212C2" w14:textId="77777777" w:rsidR="00603380" w:rsidRPr="00603380" w:rsidRDefault="00603380" w:rsidP="00603380">
      <w:pPr>
        <w:rPr>
          <w:rFonts w:ascii="Times New Roman" w:hAnsi="Times New Roman" w:cs="Times New Roman"/>
        </w:rPr>
      </w:pPr>
      <w:r>
        <w:t>The analytic sample comprised 101,926 dietary recall observations from eight survey waves (1991–2011). Overall, 51.3% were classified as Rural, 22.5% as Transitional, and 26.2% as Urban (Table 1), using the T2 administrative indicator with transitional FatER overlay. The proportion of Urban-classified observations increased over time, from 22.6% in 1991 to 33.3% in 2011.</w:t>
      </w:r>
    </w:p>
    <w:p w14:paraId="79064203" w14:textId="77777777" w:rsidR="00603380" w:rsidRPr="00603380" w:rsidRDefault="00603380" w:rsidP="00603380">
      <w:pPr>
        <w:rPr>
          <w:rFonts w:ascii="Times New Roman" w:hAnsi="Times New Roman" w:cs="Times New Roman"/>
        </w:rPr>
      </w:pPr>
      <w:r w:rsidRPr="00603380">
        <w:rPr>
          <w:rFonts w:ascii="Times New Roman" w:hAnsi="Times New Roman" w:cs="Times New Roman"/>
        </w:rPr>
        <w:t>Transitional observations were consistently observed across all survey waves and provinces, comprising between 18.8% and 29.5% of observations across waves. This indicates that intermediate dietary patterns are a persistent feature rather than a transient or isolated phenomenon.</w:t>
      </w:r>
    </w:p>
    <w:bookmarkEnd w:id="3"/>
    <w:p w14:paraId="3948AF17"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1. </w:t>
      </w:r>
      <w:r w:rsidRPr="00D71FF2">
        <w:rPr>
          <w:rFonts w:ascii="Times New Roman" w:hAnsi="Times New Roman" w:cs="Times New Roman"/>
        </w:rPr>
        <w:t>Sample Characteristics by Survey Wave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86"/>
        <w:gridCol w:w="950"/>
        <w:gridCol w:w="1228"/>
        <w:gridCol w:w="1709"/>
        <w:gridCol w:w="2086"/>
        <w:gridCol w:w="1547"/>
      </w:tblGrid>
      <w:tr w:rsidR="00265CF1" w:rsidRPr="00D71FF2" w14:paraId="0E9E441D" w14:textId="77777777" w:rsidTr="00603380">
        <w:trPr>
          <w:tblHeader/>
        </w:trPr>
        <w:tc>
          <w:tcPr>
            <w:tcW w:w="473" w:type="pct"/>
            <w:tcBorders>
              <w:top w:val="single" w:sz="8" w:space="0" w:color="auto"/>
              <w:bottom w:val="single" w:sz="4" w:space="0" w:color="auto"/>
            </w:tcBorders>
            <w:tcMar>
              <w:top w:w="150" w:type="dxa"/>
              <w:left w:w="0" w:type="dxa"/>
              <w:bottom w:w="150" w:type="dxa"/>
              <w:right w:w="240" w:type="dxa"/>
            </w:tcMar>
            <w:vAlign w:val="center"/>
            <w:hideMark/>
          </w:tcPr>
          <w:p w14:paraId="3471E15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Wave</w:t>
            </w:r>
          </w:p>
        </w:tc>
        <w:tc>
          <w:tcPr>
            <w:tcW w:w="572" w:type="pct"/>
            <w:tcBorders>
              <w:top w:val="single" w:sz="8" w:space="0" w:color="auto"/>
              <w:bottom w:val="single" w:sz="4" w:space="0" w:color="auto"/>
            </w:tcBorders>
            <w:tcMar>
              <w:top w:w="150" w:type="dxa"/>
              <w:left w:w="240" w:type="dxa"/>
              <w:bottom w:w="150" w:type="dxa"/>
              <w:right w:w="240" w:type="dxa"/>
            </w:tcMar>
            <w:vAlign w:val="center"/>
            <w:hideMark/>
          </w:tcPr>
          <w:p w14:paraId="0FDFAF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Year</w:t>
            </w:r>
          </w:p>
        </w:tc>
        <w:tc>
          <w:tcPr>
            <w:tcW w:w="739" w:type="pct"/>
            <w:tcBorders>
              <w:top w:val="single" w:sz="8" w:space="0" w:color="auto"/>
              <w:bottom w:val="single" w:sz="4" w:space="0" w:color="auto"/>
            </w:tcBorders>
            <w:tcMar>
              <w:top w:w="150" w:type="dxa"/>
              <w:left w:w="240" w:type="dxa"/>
              <w:bottom w:w="150" w:type="dxa"/>
              <w:right w:w="240" w:type="dxa"/>
            </w:tcMar>
            <w:vAlign w:val="center"/>
            <w:hideMark/>
          </w:tcPr>
          <w:p w14:paraId="134CB3F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1029" w:type="pct"/>
            <w:tcBorders>
              <w:top w:val="single" w:sz="8" w:space="0" w:color="auto"/>
              <w:bottom w:val="single" w:sz="4" w:space="0" w:color="auto"/>
            </w:tcBorders>
            <w:tcMar>
              <w:top w:w="150" w:type="dxa"/>
              <w:left w:w="240" w:type="dxa"/>
              <w:bottom w:w="150" w:type="dxa"/>
              <w:right w:w="240" w:type="dxa"/>
            </w:tcMar>
            <w:vAlign w:val="center"/>
            <w:hideMark/>
          </w:tcPr>
          <w:p w14:paraId="00A0BD7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Rural (%)</w:t>
            </w:r>
          </w:p>
        </w:tc>
        <w:tc>
          <w:tcPr>
            <w:tcW w:w="1256" w:type="pct"/>
            <w:tcBorders>
              <w:top w:val="single" w:sz="8" w:space="0" w:color="auto"/>
              <w:bottom w:val="single" w:sz="4" w:space="0" w:color="auto"/>
            </w:tcBorders>
            <w:tcMar>
              <w:top w:w="150" w:type="dxa"/>
              <w:left w:w="240" w:type="dxa"/>
              <w:bottom w:w="150" w:type="dxa"/>
              <w:right w:w="240" w:type="dxa"/>
            </w:tcMar>
            <w:vAlign w:val="center"/>
            <w:hideMark/>
          </w:tcPr>
          <w:p w14:paraId="31910A38"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Transitional (%)</w:t>
            </w:r>
          </w:p>
        </w:tc>
        <w:tc>
          <w:tcPr>
            <w:tcW w:w="932" w:type="pct"/>
            <w:tcBorders>
              <w:top w:val="single" w:sz="8" w:space="0" w:color="auto"/>
              <w:bottom w:val="single" w:sz="4" w:space="0" w:color="auto"/>
            </w:tcBorders>
            <w:tcMar>
              <w:top w:w="150" w:type="dxa"/>
              <w:left w:w="240" w:type="dxa"/>
              <w:bottom w:w="150" w:type="dxa"/>
              <w:right w:w="240" w:type="dxa"/>
            </w:tcMar>
            <w:vAlign w:val="center"/>
            <w:hideMark/>
          </w:tcPr>
          <w:p w14:paraId="2441E29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Urban (%)</w:t>
            </w:r>
          </w:p>
        </w:tc>
      </w:tr>
      <w:tr w:rsidR="00265CF1" w:rsidRPr="00D71FF2" w14:paraId="3C29E787" w14:textId="77777777" w:rsidTr="00603380">
        <w:tc>
          <w:tcPr>
            <w:tcW w:w="473" w:type="pct"/>
            <w:tcBorders>
              <w:top w:val="single" w:sz="4" w:space="0" w:color="auto"/>
            </w:tcBorders>
            <w:tcMar>
              <w:top w:w="150" w:type="dxa"/>
              <w:left w:w="0" w:type="dxa"/>
              <w:bottom w:w="150" w:type="dxa"/>
              <w:right w:w="240" w:type="dxa"/>
            </w:tcMar>
            <w:vAlign w:val="center"/>
            <w:hideMark/>
          </w:tcPr>
          <w:p w14:paraId="68A7BD6C" w14:textId="77777777" w:rsidR="00265CF1" w:rsidRPr="00D71FF2" w:rsidRDefault="00265CF1" w:rsidP="00265CF1">
            <w:pPr>
              <w:rPr>
                <w:rFonts w:ascii="Times New Roman" w:hAnsi="Times New Roman" w:cs="Times New Roman"/>
                <w:sz w:val="18"/>
                <w:szCs w:val="18"/>
              </w:rPr>
            </w:pPr>
            <w:r>
              <w:t>1</w:t>
            </w:r>
          </w:p>
        </w:tc>
        <w:tc>
          <w:tcPr>
            <w:tcW w:w="572" w:type="pct"/>
            <w:tcBorders>
              <w:top w:val="single" w:sz="4" w:space="0" w:color="auto"/>
            </w:tcBorders>
            <w:tcMar>
              <w:top w:w="150" w:type="dxa"/>
              <w:left w:w="240" w:type="dxa"/>
              <w:bottom w:w="150" w:type="dxa"/>
              <w:right w:w="240" w:type="dxa"/>
            </w:tcMar>
            <w:vAlign w:val="center"/>
            <w:hideMark/>
          </w:tcPr>
          <w:p w14:paraId="061AD93A" w14:textId="77777777" w:rsidR="00265CF1" w:rsidRPr="00D71FF2" w:rsidRDefault="00265CF1" w:rsidP="00265CF1">
            <w:pPr>
              <w:rPr>
                <w:rFonts w:ascii="Times New Roman" w:hAnsi="Times New Roman" w:cs="Times New Roman"/>
                <w:sz w:val="18"/>
                <w:szCs w:val="18"/>
              </w:rPr>
            </w:pPr>
            <w:r>
              <w:t>1991</w:t>
            </w:r>
          </w:p>
        </w:tc>
        <w:tc>
          <w:tcPr>
            <w:tcW w:w="739" w:type="pct"/>
            <w:tcBorders>
              <w:top w:val="single" w:sz="4" w:space="0" w:color="auto"/>
            </w:tcBorders>
            <w:tcMar>
              <w:top w:w="150" w:type="dxa"/>
              <w:left w:w="240" w:type="dxa"/>
              <w:bottom w:w="150" w:type="dxa"/>
              <w:right w:w="240" w:type="dxa"/>
            </w:tcMar>
            <w:vAlign w:val="center"/>
            <w:hideMark/>
          </w:tcPr>
          <w:p w14:paraId="4F0C40F7" w14:textId="77777777" w:rsidR="00265CF1" w:rsidRPr="00D71FF2" w:rsidRDefault="00265CF1" w:rsidP="00265CF1">
            <w:pPr>
              <w:rPr>
                <w:rFonts w:ascii="Times New Roman" w:hAnsi="Times New Roman" w:cs="Times New Roman"/>
                <w:sz w:val="18"/>
                <w:szCs w:val="18"/>
              </w:rPr>
            </w:pPr>
            <w:r>
              <w:t>13,446</w:t>
            </w:r>
          </w:p>
        </w:tc>
        <w:tc>
          <w:tcPr>
            <w:tcW w:w="1029" w:type="pct"/>
            <w:tcBorders>
              <w:top w:val="single" w:sz="4" w:space="0" w:color="auto"/>
            </w:tcBorders>
            <w:tcMar>
              <w:top w:w="150" w:type="dxa"/>
              <w:left w:w="240" w:type="dxa"/>
              <w:bottom w:w="150" w:type="dxa"/>
              <w:right w:w="240" w:type="dxa"/>
            </w:tcMar>
            <w:vAlign w:val="center"/>
            <w:hideMark/>
          </w:tcPr>
          <w:p w14:paraId="242514BB" w14:textId="77777777" w:rsidR="00265CF1" w:rsidRPr="00D71FF2" w:rsidRDefault="00265CF1" w:rsidP="00265CF1">
            <w:pPr>
              <w:rPr>
                <w:rFonts w:ascii="Times New Roman" w:hAnsi="Times New Roman" w:cs="Times New Roman"/>
                <w:sz w:val="18"/>
                <w:szCs w:val="18"/>
              </w:rPr>
            </w:pPr>
            <w:r>
              <w:t>7,629 (56.7)</w:t>
            </w:r>
          </w:p>
        </w:tc>
        <w:tc>
          <w:tcPr>
            <w:tcW w:w="1256" w:type="pct"/>
            <w:tcBorders>
              <w:top w:val="single" w:sz="4" w:space="0" w:color="auto"/>
            </w:tcBorders>
            <w:tcMar>
              <w:top w:w="150" w:type="dxa"/>
              <w:left w:w="240" w:type="dxa"/>
              <w:bottom w:w="150" w:type="dxa"/>
              <w:right w:w="240" w:type="dxa"/>
            </w:tcMar>
            <w:vAlign w:val="center"/>
            <w:hideMark/>
          </w:tcPr>
          <w:p w14:paraId="3D990AF9" w14:textId="77777777" w:rsidR="00265CF1" w:rsidRPr="00D71FF2" w:rsidRDefault="00265CF1" w:rsidP="00265CF1">
            <w:pPr>
              <w:rPr>
                <w:rFonts w:ascii="Times New Roman" w:hAnsi="Times New Roman" w:cs="Times New Roman"/>
                <w:sz w:val="18"/>
                <w:szCs w:val="18"/>
              </w:rPr>
            </w:pPr>
            <w:r>
              <w:t>2,774 (20.6)</w:t>
            </w:r>
          </w:p>
        </w:tc>
        <w:tc>
          <w:tcPr>
            <w:tcW w:w="932" w:type="pct"/>
            <w:tcBorders>
              <w:top w:val="single" w:sz="4" w:space="0" w:color="auto"/>
            </w:tcBorders>
            <w:tcMar>
              <w:top w:w="150" w:type="dxa"/>
              <w:left w:w="240" w:type="dxa"/>
              <w:bottom w:w="150" w:type="dxa"/>
              <w:right w:w="0" w:type="dxa"/>
            </w:tcMar>
            <w:vAlign w:val="center"/>
            <w:hideMark/>
          </w:tcPr>
          <w:p w14:paraId="3346BF69" w14:textId="77777777" w:rsidR="00265CF1" w:rsidRPr="00D71FF2" w:rsidRDefault="00265CF1" w:rsidP="00265CF1">
            <w:pPr>
              <w:rPr>
                <w:rFonts w:ascii="Times New Roman" w:hAnsi="Times New Roman" w:cs="Times New Roman"/>
                <w:sz w:val="18"/>
                <w:szCs w:val="18"/>
              </w:rPr>
            </w:pPr>
            <w:r>
              <w:t>3,043 (22.6)</w:t>
            </w:r>
          </w:p>
        </w:tc>
      </w:tr>
      <w:tr w:rsidR="00265CF1" w:rsidRPr="00D71FF2" w14:paraId="45F2FAFF" w14:textId="77777777" w:rsidTr="00603380">
        <w:tc>
          <w:tcPr>
            <w:tcW w:w="473" w:type="pct"/>
            <w:tcMar>
              <w:top w:w="150" w:type="dxa"/>
              <w:left w:w="0" w:type="dxa"/>
              <w:bottom w:w="150" w:type="dxa"/>
              <w:right w:w="240" w:type="dxa"/>
            </w:tcMar>
            <w:vAlign w:val="center"/>
            <w:hideMark/>
          </w:tcPr>
          <w:p w14:paraId="2EA3EB5A" w14:textId="77777777" w:rsidR="00265CF1" w:rsidRPr="00D71FF2" w:rsidRDefault="00265CF1" w:rsidP="00265CF1">
            <w:pPr>
              <w:rPr>
                <w:rFonts w:ascii="Times New Roman" w:hAnsi="Times New Roman" w:cs="Times New Roman"/>
                <w:sz w:val="18"/>
                <w:szCs w:val="18"/>
              </w:rPr>
            </w:pPr>
            <w:r>
              <w:t>2</w:t>
            </w:r>
          </w:p>
        </w:tc>
        <w:tc>
          <w:tcPr>
            <w:tcW w:w="572" w:type="pct"/>
            <w:tcMar>
              <w:top w:w="150" w:type="dxa"/>
              <w:left w:w="240" w:type="dxa"/>
              <w:bottom w:w="150" w:type="dxa"/>
              <w:right w:w="240" w:type="dxa"/>
            </w:tcMar>
            <w:vAlign w:val="center"/>
            <w:hideMark/>
          </w:tcPr>
          <w:p w14:paraId="6188B635" w14:textId="77777777" w:rsidR="00265CF1" w:rsidRPr="00D71FF2" w:rsidRDefault="00265CF1" w:rsidP="00265CF1">
            <w:pPr>
              <w:rPr>
                <w:rFonts w:ascii="Times New Roman" w:hAnsi="Times New Roman" w:cs="Times New Roman"/>
                <w:sz w:val="18"/>
                <w:szCs w:val="18"/>
              </w:rPr>
            </w:pPr>
            <w:r>
              <w:t>1993</w:t>
            </w:r>
          </w:p>
        </w:tc>
        <w:tc>
          <w:tcPr>
            <w:tcW w:w="739" w:type="pct"/>
            <w:tcMar>
              <w:top w:w="150" w:type="dxa"/>
              <w:left w:w="240" w:type="dxa"/>
              <w:bottom w:w="150" w:type="dxa"/>
              <w:right w:w="240" w:type="dxa"/>
            </w:tcMar>
            <w:vAlign w:val="center"/>
            <w:hideMark/>
          </w:tcPr>
          <w:p w14:paraId="54C2F947" w14:textId="77777777" w:rsidR="00265CF1" w:rsidRPr="00D71FF2" w:rsidRDefault="00265CF1" w:rsidP="00265CF1">
            <w:pPr>
              <w:rPr>
                <w:rFonts w:ascii="Times New Roman" w:hAnsi="Times New Roman" w:cs="Times New Roman"/>
                <w:sz w:val="18"/>
                <w:szCs w:val="18"/>
              </w:rPr>
            </w:pPr>
            <w:r>
              <w:t>12,632</w:t>
            </w:r>
          </w:p>
        </w:tc>
        <w:tc>
          <w:tcPr>
            <w:tcW w:w="1029" w:type="pct"/>
            <w:tcMar>
              <w:top w:w="150" w:type="dxa"/>
              <w:left w:w="240" w:type="dxa"/>
              <w:bottom w:w="150" w:type="dxa"/>
              <w:right w:w="240" w:type="dxa"/>
            </w:tcMar>
            <w:vAlign w:val="center"/>
            <w:hideMark/>
          </w:tcPr>
          <w:p w14:paraId="56E1F375" w14:textId="77777777" w:rsidR="00265CF1" w:rsidRPr="00D71FF2" w:rsidRDefault="00265CF1" w:rsidP="00265CF1">
            <w:pPr>
              <w:rPr>
                <w:rFonts w:ascii="Times New Roman" w:hAnsi="Times New Roman" w:cs="Times New Roman"/>
                <w:sz w:val="18"/>
                <w:szCs w:val="18"/>
              </w:rPr>
            </w:pPr>
            <w:r>
              <w:t>7,108 (56.3)</w:t>
            </w:r>
          </w:p>
        </w:tc>
        <w:tc>
          <w:tcPr>
            <w:tcW w:w="1256" w:type="pct"/>
            <w:tcMar>
              <w:top w:w="150" w:type="dxa"/>
              <w:left w:w="240" w:type="dxa"/>
              <w:bottom w:w="150" w:type="dxa"/>
              <w:right w:w="240" w:type="dxa"/>
            </w:tcMar>
            <w:vAlign w:val="center"/>
            <w:hideMark/>
          </w:tcPr>
          <w:p w14:paraId="3545A11A" w14:textId="77777777" w:rsidR="00265CF1" w:rsidRPr="00D71FF2" w:rsidRDefault="00265CF1" w:rsidP="00265CF1">
            <w:pPr>
              <w:rPr>
                <w:rFonts w:ascii="Times New Roman" w:hAnsi="Times New Roman" w:cs="Times New Roman"/>
                <w:sz w:val="18"/>
                <w:szCs w:val="18"/>
              </w:rPr>
            </w:pPr>
            <w:r>
              <w:t>2,755 (21.8)</w:t>
            </w:r>
          </w:p>
        </w:tc>
        <w:tc>
          <w:tcPr>
            <w:tcW w:w="932" w:type="pct"/>
            <w:tcMar>
              <w:top w:w="150" w:type="dxa"/>
              <w:left w:w="240" w:type="dxa"/>
              <w:bottom w:w="150" w:type="dxa"/>
              <w:right w:w="0" w:type="dxa"/>
            </w:tcMar>
            <w:vAlign w:val="center"/>
            <w:hideMark/>
          </w:tcPr>
          <w:p w14:paraId="4B4234DE" w14:textId="77777777" w:rsidR="00265CF1" w:rsidRPr="00D71FF2" w:rsidRDefault="00265CF1" w:rsidP="00265CF1">
            <w:pPr>
              <w:rPr>
                <w:rFonts w:ascii="Times New Roman" w:hAnsi="Times New Roman" w:cs="Times New Roman"/>
                <w:sz w:val="18"/>
                <w:szCs w:val="18"/>
              </w:rPr>
            </w:pPr>
            <w:r>
              <w:t>2,769 (21.9)</w:t>
            </w:r>
          </w:p>
        </w:tc>
      </w:tr>
      <w:tr w:rsidR="00265CF1" w:rsidRPr="00D71FF2" w14:paraId="0604685A" w14:textId="77777777" w:rsidTr="00603380">
        <w:tc>
          <w:tcPr>
            <w:tcW w:w="473" w:type="pct"/>
            <w:tcMar>
              <w:top w:w="150" w:type="dxa"/>
              <w:left w:w="0" w:type="dxa"/>
              <w:bottom w:w="150" w:type="dxa"/>
              <w:right w:w="240" w:type="dxa"/>
            </w:tcMar>
            <w:vAlign w:val="center"/>
            <w:hideMark/>
          </w:tcPr>
          <w:p w14:paraId="1593D404" w14:textId="77777777" w:rsidR="00265CF1" w:rsidRPr="00D71FF2" w:rsidRDefault="00265CF1" w:rsidP="00265CF1">
            <w:pPr>
              <w:rPr>
                <w:rFonts w:ascii="Times New Roman" w:hAnsi="Times New Roman" w:cs="Times New Roman"/>
                <w:sz w:val="18"/>
                <w:szCs w:val="18"/>
              </w:rPr>
            </w:pPr>
            <w:r>
              <w:t>3</w:t>
            </w:r>
          </w:p>
        </w:tc>
        <w:tc>
          <w:tcPr>
            <w:tcW w:w="572" w:type="pct"/>
            <w:tcMar>
              <w:top w:w="150" w:type="dxa"/>
              <w:left w:w="240" w:type="dxa"/>
              <w:bottom w:w="150" w:type="dxa"/>
              <w:right w:w="240" w:type="dxa"/>
            </w:tcMar>
            <w:vAlign w:val="center"/>
            <w:hideMark/>
          </w:tcPr>
          <w:p w14:paraId="63396CF3" w14:textId="77777777" w:rsidR="00265CF1" w:rsidRPr="00D71FF2" w:rsidRDefault="00265CF1" w:rsidP="00265CF1">
            <w:pPr>
              <w:rPr>
                <w:rFonts w:ascii="Times New Roman" w:hAnsi="Times New Roman" w:cs="Times New Roman"/>
                <w:sz w:val="18"/>
                <w:szCs w:val="18"/>
              </w:rPr>
            </w:pPr>
            <w:r>
              <w:t>1997</w:t>
            </w:r>
          </w:p>
        </w:tc>
        <w:tc>
          <w:tcPr>
            <w:tcW w:w="739" w:type="pct"/>
            <w:tcMar>
              <w:top w:w="150" w:type="dxa"/>
              <w:left w:w="240" w:type="dxa"/>
              <w:bottom w:w="150" w:type="dxa"/>
              <w:right w:w="240" w:type="dxa"/>
            </w:tcMar>
            <w:vAlign w:val="center"/>
            <w:hideMark/>
          </w:tcPr>
          <w:p w14:paraId="2D159BC4" w14:textId="77777777" w:rsidR="00265CF1" w:rsidRPr="00D71FF2" w:rsidRDefault="00265CF1" w:rsidP="00265CF1">
            <w:pPr>
              <w:rPr>
                <w:rFonts w:ascii="Times New Roman" w:hAnsi="Times New Roman" w:cs="Times New Roman"/>
                <w:sz w:val="18"/>
                <w:szCs w:val="18"/>
              </w:rPr>
            </w:pPr>
            <w:r>
              <w:t>12,743</w:t>
            </w:r>
          </w:p>
        </w:tc>
        <w:tc>
          <w:tcPr>
            <w:tcW w:w="1029" w:type="pct"/>
            <w:tcMar>
              <w:top w:w="150" w:type="dxa"/>
              <w:left w:w="240" w:type="dxa"/>
              <w:bottom w:w="150" w:type="dxa"/>
              <w:right w:w="240" w:type="dxa"/>
            </w:tcMar>
            <w:vAlign w:val="center"/>
            <w:hideMark/>
          </w:tcPr>
          <w:p w14:paraId="310580DA" w14:textId="77777777" w:rsidR="00265CF1" w:rsidRPr="00D71FF2" w:rsidRDefault="00265CF1" w:rsidP="00265CF1">
            <w:pPr>
              <w:rPr>
                <w:rFonts w:ascii="Times New Roman" w:hAnsi="Times New Roman" w:cs="Times New Roman"/>
                <w:sz w:val="18"/>
                <w:szCs w:val="18"/>
              </w:rPr>
            </w:pPr>
            <w:r>
              <w:t>6,624 (52.0)</w:t>
            </w:r>
          </w:p>
        </w:tc>
        <w:tc>
          <w:tcPr>
            <w:tcW w:w="1256" w:type="pct"/>
            <w:tcMar>
              <w:top w:w="150" w:type="dxa"/>
              <w:left w:w="240" w:type="dxa"/>
              <w:bottom w:w="150" w:type="dxa"/>
              <w:right w:w="240" w:type="dxa"/>
            </w:tcMar>
            <w:vAlign w:val="center"/>
            <w:hideMark/>
          </w:tcPr>
          <w:p w14:paraId="3B2CEC15" w14:textId="77777777" w:rsidR="00265CF1" w:rsidRPr="00D71FF2" w:rsidRDefault="00265CF1" w:rsidP="00265CF1">
            <w:pPr>
              <w:rPr>
                <w:rFonts w:ascii="Times New Roman" w:hAnsi="Times New Roman" w:cs="Times New Roman"/>
                <w:sz w:val="18"/>
                <w:szCs w:val="18"/>
              </w:rPr>
            </w:pPr>
            <w:r>
              <w:t>2,866 (22.5)</w:t>
            </w:r>
          </w:p>
        </w:tc>
        <w:tc>
          <w:tcPr>
            <w:tcW w:w="932" w:type="pct"/>
            <w:tcMar>
              <w:top w:w="150" w:type="dxa"/>
              <w:left w:w="240" w:type="dxa"/>
              <w:bottom w:w="150" w:type="dxa"/>
              <w:right w:w="0" w:type="dxa"/>
            </w:tcMar>
            <w:vAlign w:val="center"/>
            <w:hideMark/>
          </w:tcPr>
          <w:p w14:paraId="4569C702" w14:textId="77777777" w:rsidR="00265CF1" w:rsidRPr="00D71FF2" w:rsidRDefault="00265CF1" w:rsidP="00265CF1">
            <w:pPr>
              <w:rPr>
                <w:rFonts w:ascii="Times New Roman" w:hAnsi="Times New Roman" w:cs="Times New Roman"/>
                <w:sz w:val="18"/>
                <w:szCs w:val="18"/>
              </w:rPr>
            </w:pPr>
            <w:r>
              <w:t>3,253 (25.5)</w:t>
            </w:r>
          </w:p>
        </w:tc>
      </w:tr>
      <w:tr w:rsidR="00265CF1" w:rsidRPr="00D71FF2" w14:paraId="38DF26B3" w14:textId="77777777" w:rsidTr="00603380">
        <w:tc>
          <w:tcPr>
            <w:tcW w:w="473" w:type="pct"/>
            <w:tcMar>
              <w:top w:w="150" w:type="dxa"/>
              <w:left w:w="0" w:type="dxa"/>
              <w:bottom w:w="150" w:type="dxa"/>
              <w:right w:w="240" w:type="dxa"/>
            </w:tcMar>
            <w:vAlign w:val="center"/>
            <w:hideMark/>
          </w:tcPr>
          <w:p w14:paraId="72240941" w14:textId="77777777" w:rsidR="00265CF1" w:rsidRPr="00D71FF2" w:rsidRDefault="00265CF1" w:rsidP="00265CF1">
            <w:pPr>
              <w:rPr>
                <w:rFonts w:ascii="Times New Roman" w:hAnsi="Times New Roman" w:cs="Times New Roman"/>
                <w:sz w:val="18"/>
                <w:szCs w:val="18"/>
              </w:rPr>
            </w:pPr>
            <w:r>
              <w:t>4</w:t>
            </w:r>
          </w:p>
        </w:tc>
        <w:tc>
          <w:tcPr>
            <w:tcW w:w="572" w:type="pct"/>
            <w:tcMar>
              <w:top w:w="150" w:type="dxa"/>
              <w:left w:w="240" w:type="dxa"/>
              <w:bottom w:w="150" w:type="dxa"/>
              <w:right w:w="240" w:type="dxa"/>
            </w:tcMar>
            <w:vAlign w:val="center"/>
            <w:hideMark/>
          </w:tcPr>
          <w:p w14:paraId="6B83E42B" w14:textId="77777777" w:rsidR="00265CF1" w:rsidRPr="00D71FF2" w:rsidRDefault="00265CF1" w:rsidP="00265CF1">
            <w:pPr>
              <w:rPr>
                <w:rFonts w:ascii="Times New Roman" w:hAnsi="Times New Roman" w:cs="Times New Roman"/>
                <w:sz w:val="18"/>
                <w:szCs w:val="18"/>
              </w:rPr>
            </w:pPr>
            <w:r>
              <w:t>2000</w:t>
            </w:r>
          </w:p>
        </w:tc>
        <w:tc>
          <w:tcPr>
            <w:tcW w:w="739" w:type="pct"/>
            <w:tcMar>
              <w:top w:w="150" w:type="dxa"/>
              <w:left w:w="240" w:type="dxa"/>
              <w:bottom w:w="150" w:type="dxa"/>
              <w:right w:w="240" w:type="dxa"/>
            </w:tcMar>
            <w:vAlign w:val="center"/>
            <w:hideMark/>
          </w:tcPr>
          <w:p w14:paraId="3DD532A4" w14:textId="77777777" w:rsidR="00265CF1" w:rsidRPr="00D71FF2" w:rsidRDefault="00265CF1" w:rsidP="00265CF1">
            <w:pPr>
              <w:rPr>
                <w:rFonts w:ascii="Times New Roman" w:hAnsi="Times New Roman" w:cs="Times New Roman"/>
                <w:sz w:val="18"/>
                <w:szCs w:val="18"/>
              </w:rPr>
            </w:pPr>
            <w:r>
              <w:t>13,530</w:t>
            </w:r>
          </w:p>
        </w:tc>
        <w:tc>
          <w:tcPr>
            <w:tcW w:w="1029" w:type="pct"/>
            <w:tcMar>
              <w:top w:w="150" w:type="dxa"/>
              <w:left w:w="240" w:type="dxa"/>
              <w:bottom w:w="150" w:type="dxa"/>
              <w:right w:w="240" w:type="dxa"/>
            </w:tcMar>
            <w:vAlign w:val="center"/>
            <w:hideMark/>
          </w:tcPr>
          <w:p w14:paraId="3704A282" w14:textId="77777777" w:rsidR="00265CF1" w:rsidRPr="00D71FF2" w:rsidRDefault="00265CF1" w:rsidP="00265CF1">
            <w:pPr>
              <w:rPr>
                <w:rFonts w:ascii="Times New Roman" w:hAnsi="Times New Roman" w:cs="Times New Roman"/>
                <w:sz w:val="18"/>
                <w:szCs w:val="18"/>
              </w:rPr>
            </w:pPr>
            <w:r>
              <w:t>6,916 (51.1)</w:t>
            </w:r>
          </w:p>
        </w:tc>
        <w:tc>
          <w:tcPr>
            <w:tcW w:w="1256" w:type="pct"/>
            <w:tcMar>
              <w:top w:w="150" w:type="dxa"/>
              <w:left w:w="240" w:type="dxa"/>
              <w:bottom w:w="150" w:type="dxa"/>
              <w:right w:w="240" w:type="dxa"/>
            </w:tcMar>
            <w:vAlign w:val="center"/>
            <w:hideMark/>
          </w:tcPr>
          <w:p w14:paraId="47DB2267" w14:textId="77777777" w:rsidR="00265CF1" w:rsidRPr="00D71FF2" w:rsidRDefault="00265CF1" w:rsidP="00265CF1">
            <w:pPr>
              <w:rPr>
                <w:rFonts w:ascii="Times New Roman" w:hAnsi="Times New Roman" w:cs="Times New Roman"/>
                <w:sz w:val="18"/>
                <w:szCs w:val="18"/>
              </w:rPr>
            </w:pPr>
            <w:r>
              <w:t>3,199 (23.6)</w:t>
            </w:r>
          </w:p>
        </w:tc>
        <w:tc>
          <w:tcPr>
            <w:tcW w:w="932" w:type="pct"/>
            <w:tcMar>
              <w:top w:w="150" w:type="dxa"/>
              <w:left w:w="240" w:type="dxa"/>
              <w:bottom w:w="150" w:type="dxa"/>
              <w:right w:w="0" w:type="dxa"/>
            </w:tcMar>
            <w:vAlign w:val="center"/>
            <w:hideMark/>
          </w:tcPr>
          <w:p w14:paraId="3CC3A6B4" w14:textId="77777777" w:rsidR="00265CF1" w:rsidRPr="00D71FF2" w:rsidRDefault="00265CF1" w:rsidP="00265CF1">
            <w:pPr>
              <w:rPr>
                <w:rFonts w:ascii="Times New Roman" w:hAnsi="Times New Roman" w:cs="Times New Roman"/>
                <w:sz w:val="18"/>
                <w:szCs w:val="18"/>
              </w:rPr>
            </w:pPr>
            <w:r>
              <w:t>3,415 (25.2)</w:t>
            </w:r>
          </w:p>
        </w:tc>
      </w:tr>
      <w:tr w:rsidR="00265CF1" w:rsidRPr="00D71FF2" w14:paraId="57776BA2" w14:textId="77777777" w:rsidTr="00603380">
        <w:tc>
          <w:tcPr>
            <w:tcW w:w="473" w:type="pct"/>
            <w:tcMar>
              <w:top w:w="150" w:type="dxa"/>
              <w:left w:w="0" w:type="dxa"/>
              <w:bottom w:w="150" w:type="dxa"/>
              <w:right w:w="240" w:type="dxa"/>
            </w:tcMar>
            <w:vAlign w:val="center"/>
            <w:hideMark/>
          </w:tcPr>
          <w:p w14:paraId="63DC7CAA" w14:textId="77777777" w:rsidR="00265CF1" w:rsidRPr="00D71FF2" w:rsidRDefault="00265CF1" w:rsidP="00265CF1">
            <w:pPr>
              <w:rPr>
                <w:rFonts w:ascii="Times New Roman" w:hAnsi="Times New Roman" w:cs="Times New Roman"/>
                <w:sz w:val="18"/>
                <w:szCs w:val="18"/>
              </w:rPr>
            </w:pPr>
            <w:r>
              <w:t>5</w:t>
            </w:r>
          </w:p>
        </w:tc>
        <w:tc>
          <w:tcPr>
            <w:tcW w:w="572" w:type="pct"/>
            <w:tcMar>
              <w:top w:w="150" w:type="dxa"/>
              <w:left w:w="240" w:type="dxa"/>
              <w:bottom w:w="150" w:type="dxa"/>
              <w:right w:w="240" w:type="dxa"/>
            </w:tcMar>
            <w:vAlign w:val="center"/>
            <w:hideMark/>
          </w:tcPr>
          <w:p w14:paraId="1CA76538" w14:textId="77777777" w:rsidR="00265CF1" w:rsidRPr="00D71FF2" w:rsidRDefault="00265CF1" w:rsidP="00265CF1">
            <w:pPr>
              <w:rPr>
                <w:rFonts w:ascii="Times New Roman" w:hAnsi="Times New Roman" w:cs="Times New Roman"/>
                <w:sz w:val="18"/>
                <w:szCs w:val="18"/>
              </w:rPr>
            </w:pPr>
            <w:r>
              <w:t>2004</w:t>
            </w:r>
          </w:p>
        </w:tc>
        <w:tc>
          <w:tcPr>
            <w:tcW w:w="739" w:type="pct"/>
            <w:tcMar>
              <w:top w:w="150" w:type="dxa"/>
              <w:left w:w="240" w:type="dxa"/>
              <w:bottom w:w="150" w:type="dxa"/>
              <w:right w:w="240" w:type="dxa"/>
            </w:tcMar>
            <w:vAlign w:val="center"/>
            <w:hideMark/>
          </w:tcPr>
          <w:p w14:paraId="5CE2D88E" w14:textId="77777777" w:rsidR="00265CF1" w:rsidRPr="00D71FF2" w:rsidRDefault="00265CF1" w:rsidP="00265CF1">
            <w:pPr>
              <w:rPr>
                <w:rFonts w:ascii="Times New Roman" w:hAnsi="Times New Roman" w:cs="Times New Roman"/>
                <w:sz w:val="18"/>
                <w:szCs w:val="18"/>
              </w:rPr>
            </w:pPr>
            <w:r>
              <w:t>11,783</w:t>
            </w:r>
          </w:p>
        </w:tc>
        <w:tc>
          <w:tcPr>
            <w:tcW w:w="1029" w:type="pct"/>
            <w:tcMar>
              <w:top w:w="150" w:type="dxa"/>
              <w:left w:w="240" w:type="dxa"/>
              <w:bottom w:w="150" w:type="dxa"/>
              <w:right w:w="240" w:type="dxa"/>
            </w:tcMar>
            <w:vAlign w:val="center"/>
            <w:hideMark/>
          </w:tcPr>
          <w:p w14:paraId="059A96CE" w14:textId="77777777" w:rsidR="00265CF1" w:rsidRPr="00D71FF2" w:rsidRDefault="00265CF1" w:rsidP="00265CF1">
            <w:pPr>
              <w:rPr>
                <w:rFonts w:ascii="Times New Roman" w:hAnsi="Times New Roman" w:cs="Times New Roman"/>
                <w:sz w:val="18"/>
                <w:szCs w:val="18"/>
              </w:rPr>
            </w:pPr>
            <w:r>
              <w:t>5,776 (49.0)</w:t>
            </w:r>
          </w:p>
        </w:tc>
        <w:tc>
          <w:tcPr>
            <w:tcW w:w="1256" w:type="pct"/>
            <w:tcMar>
              <w:top w:w="150" w:type="dxa"/>
              <w:left w:w="240" w:type="dxa"/>
              <w:bottom w:w="150" w:type="dxa"/>
              <w:right w:w="240" w:type="dxa"/>
            </w:tcMar>
            <w:vAlign w:val="center"/>
            <w:hideMark/>
          </w:tcPr>
          <w:p w14:paraId="169820CC" w14:textId="77777777" w:rsidR="00265CF1" w:rsidRPr="00D71FF2" w:rsidRDefault="00265CF1" w:rsidP="00265CF1">
            <w:pPr>
              <w:rPr>
                <w:rFonts w:ascii="Times New Roman" w:hAnsi="Times New Roman" w:cs="Times New Roman"/>
                <w:sz w:val="18"/>
                <w:szCs w:val="18"/>
              </w:rPr>
            </w:pPr>
            <w:r>
              <w:t>2,921 (24.8)</w:t>
            </w:r>
          </w:p>
        </w:tc>
        <w:tc>
          <w:tcPr>
            <w:tcW w:w="932" w:type="pct"/>
            <w:tcMar>
              <w:top w:w="150" w:type="dxa"/>
              <w:left w:w="240" w:type="dxa"/>
              <w:bottom w:w="150" w:type="dxa"/>
              <w:right w:w="0" w:type="dxa"/>
            </w:tcMar>
            <w:vAlign w:val="center"/>
            <w:hideMark/>
          </w:tcPr>
          <w:p w14:paraId="652F0248" w14:textId="77777777" w:rsidR="00265CF1" w:rsidRPr="00D71FF2" w:rsidRDefault="00265CF1" w:rsidP="00265CF1">
            <w:pPr>
              <w:rPr>
                <w:rFonts w:ascii="Times New Roman" w:hAnsi="Times New Roman" w:cs="Times New Roman"/>
                <w:sz w:val="18"/>
                <w:szCs w:val="18"/>
              </w:rPr>
            </w:pPr>
            <w:r>
              <w:t>3,086 (26.2)</w:t>
            </w:r>
          </w:p>
        </w:tc>
      </w:tr>
      <w:tr w:rsidR="00265CF1" w:rsidRPr="00D71FF2" w14:paraId="10618455" w14:textId="77777777" w:rsidTr="00603380">
        <w:tc>
          <w:tcPr>
            <w:tcW w:w="473" w:type="pct"/>
            <w:tcMar>
              <w:top w:w="150" w:type="dxa"/>
              <w:left w:w="0" w:type="dxa"/>
              <w:bottom w:w="150" w:type="dxa"/>
              <w:right w:w="240" w:type="dxa"/>
            </w:tcMar>
            <w:vAlign w:val="center"/>
            <w:hideMark/>
          </w:tcPr>
          <w:p w14:paraId="1B68F9C6" w14:textId="77777777" w:rsidR="00265CF1" w:rsidRPr="00D71FF2" w:rsidRDefault="00265CF1" w:rsidP="00265CF1">
            <w:pPr>
              <w:rPr>
                <w:rFonts w:ascii="Times New Roman" w:hAnsi="Times New Roman" w:cs="Times New Roman"/>
                <w:sz w:val="18"/>
                <w:szCs w:val="18"/>
              </w:rPr>
            </w:pPr>
            <w:r>
              <w:t>6</w:t>
            </w:r>
          </w:p>
        </w:tc>
        <w:tc>
          <w:tcPr>
            <w:tcW w:w="572" w:type="pct"/>
            <w:tcMar>
              <w:top w:w="150" w:type="dxa"/>
              <w:left w:w="240" w:type="dxa"/>
              <w:bottom w:w="150" w:type="dxa"/>
              <w:right w:w="240" w:type="dxa"/>
            </w:tcMar>
            <w:vAlign w:val="center"/>
            <w:hideMark/>
          </w:tcPr>
          <w:p w14:paraId="2542E531" w14:textId="77777777" w:rsidR="00265CF1" w:rsidRPr="00D71FF2" w:rsidRDefault="00265CF1" w:rsidP="00265CF1">
            <w:pPr>
              <w:rPr>
                <w:rFonts w:ascii="Times New Roman" w:hAnsi="Times New Roman" w:cs="Times New Roman"/>
                <w:sz w:val="18"/>
                <w:szCs w:val="18"/>
              </w:rPr>
            </w:pPr>
            <w:r>
              <w:t>2006</w:t>
            </w:r>
          </w:p>
        </w:tc>
        <w:tc>
          <w:tcPr>
            <w:tcW w:w="739" w:type="pct"/>
            <w:tcMar>
              <w:top w:w="150" w:type="dxa"/>
              <w:left w:w="240" w:type="dxa"/>
              <w:bottom w:w="150" w:type="dxa"/>
              <w:right w:w="240" w:type="dxa"/>
            </w:tcMar>
            <w:vAlign w:val="center"/>
            <w:hideMark/>
          </w:tcPr>
          <w:p w14:paraId="125F4E7D" w14:textId="77777777" w:rsidR="00265CF1" w:rsidRPr="00D71FF2" w:rsidRDefault="00265CF1" w:rsidP="00265CF1">
            <w:pPr>
              <w:rPr>
                <w:rFonts w:ascii="Times New Roman" w:hAnsi="Times New Roman" w:cs="Times New Roman"/>
                <w:sz w:val="18"/>
                <w:szCs w:val="18"/>
              </w:rPr>
            </w:pPr>
            <w:r>
              <w:t>11,328</w:t>
            </w:r>
          </w:p>
        </w:tc>
        <w:tc>
          <w:tcPr>
            <w:tcW w:w="1029" w:type="pct"/>
            <w:tcMar>
              <w:top w:w="150" w:type="dxa"/>
              <w:left w:w="240" w:type="dxa"/>
              <w:bottom w:w="150" w:type="dxa"/>
              <w:right w:w="240" w:type="dxa"/>
            </w:tcMar>
            <w:vAlign w:val="center"/>
            <w:hideMark/>
          </w:tcPr>
          <w:p w14:paraId="6D52C209" w14:textId="77777777" w:rsidR="00265CF1" w:rsidRPr="00D71FF2" w:rsidRDefault="00265CF1" w:rsidP="00265CF1">
            <w:pPr>
              <w:rPr>
                <w:rFonts w:ascii="Times New Roman" w:hAnsi="Times New Roman" w:cs="Times New Roman"/>
                <w:sz w:val="18"/>
                <w:szCs w:val="18"/>
              </w:rPr>
            </w:pPr>
            <w:r>
              <w:t>5,730 (50.6)</w:t>
            </w:r>
          </w:p>
        </w:tc>
        <w:tc>
          <w:tcPr>
            <w:tcW w:w="1256" w:type="pct"/>
            <w:tcMar>
              <w:top w:w="150" w:type="dxa"/>
              <w:left w:w="240" w:type="dxa"/>
              <w:bottom w:w="150" w:type="dxa"/>
              <w:right w:w="240" w:type="dxa"/>
            </w:tcMar>
            <w:vAlign w:val="center"/>
            <w:hideMark/>
          </w:tcPr>
          <w:p w14:paraId="1AEACF0E" w14:textId="77777777" w:rsidR="00265CF1" w:rsidRPr="00D71FF2" w:rsidRDefault="00265CF1" w:rsidP="00265CF1">
            <w:pPr>
              <w:rPr>
                <w:rFonts w:ascii="Times New Roman" w:hAnsi="Times New Roman" w:cs="Times New Roman"/>
                <w:sz w:val="18"/>
                <w:szCs w:val="18"/>
              </w:rPr>
            </w:pPr>
            <w:r>
              <w:t>2,493 (22.0)</w:t>
            </w:r>
          </w:p>
        </w:tc>
        <w:tc>
          <w:tcPr>
            <w:tcW w:w="932" w:type="pct"/>
            <w:tcMar>
              <w:top w:w="150" w:type="dxa"/>
              <w:left w:w="240" w:type="dxa"/>
              <w:bottom w:w="150" w:type="dxa"/>
              <w:right w:w="0" w:type="dxa"/>
            </w:tcMar>
            <w:vAlign w:val="center"/>
            <w:hideMark/>
          </w:tcPr>
          <w:p w14:paraId="3D160242" w14:textId="77777777" w:rsidR="00265CF1" w:rsidRPr="00D71FF2" w:rsidRDefault="00265CF1" w:rsidP="00265CF1">
            <w:pPr>
              <w:rPr>
                <w:rFonts w:ascii="Times New Roman" w:hAnsi="Times New Roman" w:cs="Times New Roman"/>
                <w:sz w:val="18"/>
                <w:szCs w:val="18"/>
              </w:rPr>
            </w:pPr>
            <w:r>
              <w:t>3,105 (27.4)</w:t>
            </w:r>
          </w:p>
        </w:tc>
      </w:tr>
      <w:tr w:rsidR="00265CF1" w:rsidRPr="00D71FF2" w14:paraId="22146AFF" w14:textId="77777777" w:rsidTr="00603380">
        <w:tc>
          <w:tcPr>
            <w:tcW w:w="473" w:type="pct"/>
            <w:tcMar>
              <w:top w:w="150" w:type="dxa"/>
              <w:left w:w="0" w:type="dxa"/>
              <w:bottom w:w="150" w:type="dxa"/>
              <w:right w:w="240" w:type="dxa"/>
            </w:tcMar>
            <w:vAlign w:val="center"/>
            <w:hideMark/>
          </w:tcPr>
          <w:p w14:paraId="081E6901" w14:textId="77777777" w:rsidR="00265CF1" w:rsidRPr="00D71FF2" w:rsidRDefault="00265CF1" w:rsidP="00265CF1">
            <w:pPr>
              <w:rPr>
                <w:rFonts w:ascii="Times New Roman" w:hAnsi="Times New Roman" w:cs="Times New Roman"/>
                <w:sz w:val="18"/>
                <w:szCs w:val="18"/>
              </w:rPr>
            </w:pPr>
            <w:r>
              <w:t>7</w:t>
            </w:r>
          </w:p>
        </w:tc>
        <w:tc>
          <w:tcPr>
            <w:tcW w:w="572" w:type="pct"/>
            <w:tcMar>
              <w:top w:w="150" w:type="dxa"/>
              <w:left w:w="240" w:type="dxa"/>
              <w:bottom w:w="150" w:type="dxa"/>
              <w:right w:w="240" w:type="dxa"/>
            </w:tcMar>
            <w:vAlign w:val="center"/>
            <w:hideMark/>
          </w:tcPr>
          <w:p w14:paraId="11AF00B7" w14:textId="77777777" w:rsidR="00265CF1" w:rsidRPr="00D71FF2" w:rsidRDefault="00265CF1" w:rsidP="00265CF1">
            <w:pPr>
              <w:rPr>
                <w:rFonts w:ascii="Times New Roman" w:hAnsi="Times New Roman" w:cs="Times New Roman"/>
                <w:sz w:val="18"/>
                <w:szCs w:val="18"/>
              </w:rPr>
            </w:pPr>
            <w:r>
              <w:t>2009</w:t>
            </w:r>
          </w:p>
        </w:tc>
        <w:tc>
          <w:tcPr>
            <w:tcW w:w="739" w:type="pct"/>
            <w:tcMar>
              <w:top w:w="150" w:type="dxa"/>
              <w:left w:w="240" w:type="dxa"/>
              <w:bottom w:w="150" w:type="dxa"/>
              <w:right w:w="240" w:type="dxa"/>
            </w:tcMar>
            <w:vAlign w:val="center"/>
            <w:hideMark/>
          </w:tcPr>
          <w:p w14:paraId="01BB2C8C" w14:textId="77777777" w:rsidR="00265CF1" w:rsidRPr="00D71FF2" w:rsidRDefault="00265CF1" w:rsidP="00265CF1">
            <w:pPr>
              <w:rPr>
                <w:rFonts w:ascii="Times New Roman" w:hAnsi="Times New Roman" w:cs="Times New Roman"/>
                <w:sz w:val="18"/>
                <w:szCs w:val="18"/>
              </w:rPr>
            </w:pPr>
            <w:r>
              <w:t>11,566</w:t>
            </w:r>
          </w:p>
        </w:tc>
        <w:tc>
          <w:tcPr>
            <w:tcW w:w="1029" w:type="pct"/>
            <w:tcMar>
              <w:top w:w="150" w:type="dxa"/>
              <w:left w:w="240" w:type="dxa"/>
              <w:bottom w:w="150" w:type="dxa"/>
              <w:right w:w="240" w:type="dxa"/>
            </w:tcMar>
            <w:vAlign w:val="center"/>
            <w:hideMark/>
          </w:tcPr>
          <w:p w14:paraId="04A8B5F4" w14:textId="77777777" w:rsidR="00265CF1" w:rsidRPr="00D71FF2" w:rsidRDefault="00265CF1" w:rsidP="00265CF1">
            <w:pPr>
              <w:rPr>
                <w:rFonts w:ascii="Times New Roman" w:hAnsi="Times New Roman" w:cs="Times New Roman"/>
                <w:sz w:val="18"/>
                <w:szCs w:val="18"/>
              </w:rPr>
            </w:pPr>
            <w:r>
              <w:t>5,702 (49.3)</w:t>
            </w:r>
          </w:p>
        </w:tc>
        <w:tc>
          <w:tcPr>
            <w:tcW w:w="1256" w:type="pct"/>
            <w:tcMar>
              <w:top w:w="150" w:type="dxa"/>
              <w:left w:w="240" w:type="dxa"/>
              <w:bottom w:w="150" w:type="dxa"/>
              <w:right w:w="240" w:type="dxa"/>
            </w:tcMar>
            <w:vAlign w:val="center"/>
            <w:hideMark/>
          </w:tcPr>
          <w:p w14:paraId="575902DF" w14:textId="77777777" w:rsidR="00265CF1" w:rsidRPr="00D71FF2" w:rsidRDefault="00265CF1" w:rsidP="00265CF1">
            <w:pPr>
              <w:rPr>
                <w:rFonts w:ascii="Times New Roman" w:hAnsi="Times New Roman" w:cs="Times New Roman"/>
                <w:sz w:val="18"/>
                <w:szCs w:val="18"/>
              </w:rPr>
            </w:pPr>
            <w:r>
              <w:t>2,802 (24.2)</w:t>
            </w:r>
          </w:p>
        </w:tc>
        <w:tc>
          <w:tcPr>
            <w:tcW w:w="932" w:type="pct"/>
            <w:tcMar>
              <w:top w:w="150" w:type="dxa"/>
              <w:left w:w="240" w:type="dxa"/>
              <w:bottom w:w="150" w:type="dxa"/>
              <w:right w:w="0" w:type="dxa"/>
            </w:tcMar>
            <w:vAlign w:val="center"/>
            <w:hideMark/>
          </w:tcPr>
          <w:p w14:paraId="0CCFFC72" w14:textId="77777777" w:rsidR="00265CF1" w:rsidRPr="00D71FF2" w:rsidRDefault="00265CF1" w:rsidP="00265CF1">
            <w:pPr>
              <w:rPr>
                <w:rFonts w:ascii="Times New Roman" w:hAnsi="Times New Roman" w:cs="Times New Roman"/>
                <w:sz w:val="18"/>
                <w:szCs w:val="18"/>
              </w:rPr>
            </w:pPr>
            <w:r>
              <w:t>3,062 (26.5)</w:t>
            </w:r>
          </w:p>
        </w:tc>
      </w:tr>
      <w:tr w:rsidR="00265CF1" w:rsidRPr="00D71FF2" w14:paraId="642A14A0" w14:textId="77777777" w:rsidTr="00603380">
        <w:tc>
          <w:tcPr>
            <w:tcW w:w="473" w:type="pct"/>
            <w:tcMar>
              <w:top w:w="150" w:type="dxa"/>
              <w:left w:w="0" w:type="dxa"/>
              <w:bottom w:w="150" w:type="dxa"/>
              <w:right w:w="240" w:type="dxa"/>
            </w:tcMar>
            <w:vAlign w:val="center"/>
            <w:hideMark/>
          </w:tcPr>
          <w:p w14:paraId="04597A5A" w14:textId="77777777" w:rsidR="00265CF1" w:rsidRPr="00D71FF2" w:rsidRDefault="00265CF1" w:rsidP="00265CF1">
            <w:pPr>
              <w:rPr>
                <w:rFonts w:ascii="Times New Roman" w:hAnsi="Times New Roman" w:cs="Times New Roman"/>
                <w:sz w:val="18"/>
                <w:szCs w:val="18"/>
              </w:rPr>
            </w:pPr>
            <w:r>
              <w:t>8</w:t>
            </w:r>
          </w:p>
        </w:tc>
        <w:tc>
          <w:tcPr>
            <w:tcW w:w="572" w:type="pct"/>
            <w:tcMar>
              <w:top w:w="150" w:type="dxa"/>
              <w:left w:w="240" w:type="dxa"/>
              <w:bottom w:w="150" w:type="dxa"/>
              <w:right w:w="240" w:type="dxa"/>
            </w:tcMar>
            <w:vAlign w:val="center"/>
            <w:hideMark/>
          </w:tcPr>
          <w:p w14:paraId="77B78DA2" w14:textId="77777777" w:rsidR="00265CF1" w:rsidRPr="00D71FF2" w:rsidRDefault="00265CF1" w:rsidP="00265CF1">
            <w:pPr>
              <w:rPr>
                <w:rFonts w:ascii="Times New Roman" w:hAnsi="Times New Roman" w:cs="Times New Roman"/>
                <w:sz w:val="18"/>
                <w:szCs w:val="18"/>
              </w:rPr>
            </w:pPr>
            <w:r>
              <w:t>2011</w:t>
            </w:r>
          </w:p>
        </w:tc>
        <w:tc>
          <w:tcPr>
            <w:tcW w:w="739" w:type="pct"/>
            <w:tcMar>
              <w:top w:w="150" w:type="dxa"/>
              <w:left w:w="240" w:type="dxa"/>
              <w:bottom w:w="150" w:type="dxa"/>
              <w:right w:w="240" w:type="dxa"/>
            </w:tcMar>
            <w:vAlign w:val="center"/>
            <w:hideMark/>
          </w:tcPr>
          <w:p w14:paraId="57C16FDE" w14:textId="77777777" w:rsidR="00265CF1" w:rsidRPr="00D71FF2" w:rsidRDefault="00265CF1" w:rsidP="00265CF1">
            <w:pPr>
              <w:rPr>
                <w:rFonts w:ascii="Times New Roman" w:hAnsi="Times New Roman" w:cs="Times New Roman"/>
                <w:sz w:val="18"/>
                <w:szCs w:val="18"/>
              </w:rPr>
            </w:pPr>
            <w:r>
              <w:t>14,898</w:t>
            </w:r>
          </w:p>
        </w:tc>
        <w:tc>
          <w:tcPr>
            <w:tcW w:w="1029" w:type="pct"/>
            <w:tcMar>
              <w:top w:w="150" w:type="dxa"/>
              <w:left w:w="240" w:type="dxa"/>
              <w:bottom w:w="150" w:type="dxa"/>
              <w:right w:w="240" w:type="dxa"/>
            </w:tcMar>
            <w:vAlign w:val="center"/>
            <w:hideMark/>
          </w:tcPr>
          <w:p w14:paraId="32ED86C5" w14:textId="77777777" w:rsidR="00265CF1" w:rsidRPr="00D71FF2" w:rsidRDefault="00265CF1" w:rsidP="00265CF1">
            <w:pPr>
              <w:rPr>
                <w:rFonts w:ascii="Times New Roman" w:hAnsi="Times New Roman" w:cs="Times New Roman"/>
                <w:sz w:val="18"/>
                <w:szCs w:val="18"/>
              </w:rPr>
            </w:pPr>
            <w:r>
              <w:t>6,772 (45.5)</w:t>
            </w:r>
          </w:p>
        </w:tc>
        <w:tc>
          <w:tcPr>
            <w:tcW w:w="1256" w:type="pct"/>
            <w:tcMar>
              <w:top w:w="150" w:type="dxa"/>
              <w:left w:w="240" w:type="dxa"/>
              <w:bottom w:w="150" w:type="dxa"/>
              <w:right w:w="240" w:type="dxa"/>
            </w:tcMar>
            <w:vAlign w:val="center"/>
            <w:hideMark/>
          </w:tcPr>
          <w:p w14:paraId="5D57F55A" w14:textId="77777777" w:rsidR="00265CF1" w:rsidRPr="00D71FF2" w:rsidRDefault="00265CF1" w:rsidP="00265CF1">
            <w:pPr>
              <w:rPr>
                <w:rFonts w:ascii="Times New Roman" w:hAnsi="Times New Roman" w:cs="Times New Roman"/>
                <w:sz w:val="18"/>
                <w:szCs w:val="18"/>
              </w:rPr>
            </w:pPr>
            <w:r>
              <w:t>3,172 (21.3)</w:t>
            </w:r>
          </w:p>
        </w:tc>
        <w:tc>
          <w:tcPr>
            <w:tcW w:w="932" w:type="pct"/>
            <w:tcMar>
              <w:top w:w="150" w:type="dxa"/>
              <w:left w:w="240" w:type="dxa"/>
              <w:bottom w:w="150" w:type="dxa"/>
              <w:right w:w="0" w:type="dxa"/>
            </w:tcMar>
            <w:vAlign w:val="center"/>
            <w:hideMark/>
          </w:tcPr>
          <w:p w14:paraId="126C69F8" w14:textId="77777777" w:rsidR="00265CF1" w:rsidRPr="00D71FF2" w:rsidRDefault="00265CF1" w:rsidP="00265CF1">
            <w:pPr>
              <w:rPr>
                <w:rFonts w:ascii="Times New Roman" w:hAnsi="Times New Roman" w:cs="Times New Roman"/>
                <w:sz w:val="18"/>
                <w:szCs w:val="18"/>
              </w:rPr>
            </w:pPr>
            <w:r>
              <w:t>4,954 (33.3)</w:t>
            </w:r>
          </w:p>
        </w:tc>
      </w:tr>
      <w:tr w:rsidR="00265CF1" w:rsidRPr="00D71FF2" w14:paraId="5CEF3C00" w14:textId="77777777" w:rsidTr="00603380">
        <w:tc>
          <w:tcPr>
            <w:tcW w:w="473" w:type="pct"/>
            <w:tcMar>
              <w:top w:w="150" w:type="dxa"/>
              <w:left w:w="0" w:type="dxa"/>
              <w:bottom w:w="150" w:type="dxa"/>
              <w:right w:w="240" w:type="dxa"/>
            </w:tcMar>
            <w:vAlign w:val="center"/>
            <w:hideMark/>
          </w:tcPr>
          <w:p w14:paraId="3D662D8B" w14:textId="77777777" w:rsidR="00265CF1" w:rsidRPr="00D71FF2" w:rsidRDefault="00265CF1" w:rsidP="00265CF1">
            <w:pPr>
              <w:rPr>
                <w:rFonts w:ascii="Times New Roman" w:hAnsi="Times New Roman" w:cs="Times New Roman"/>
                <w:sz w:val="18"/>
                <w:szCs w:val="18"/>
              </w:rPr>
            </w:pPr>
            <w:r>
              <w:t>Total</w:t>
            </w:r>
          </w:p>
        </w:tc>
        <w:tc>
          <w:tcPr>
            <w:tcW w:w="572" w:type="pct"/>
            <w:tcMar>
              <w:top w:w="150" w:type="dxa"/>
              <w:left w:w="240" w:type="dxa"/>
              <w:bottom w:w="150" w:type="dxa"/>
              <w:right w:w="240" w:type="dxa"/>
            </w:tcMar>
            <w:vAlign w:val="center"/>
            <w:hideMark/>
          </w:tcPr>
          <w:p w14:paraId="13EE0B29" w14:textId="77777777" w:rsidR="00265CF1" w:rsidRPr="00D71FF2" w:rsidRDefault="00265CF1" w:rsidP="00265CF1">
            <w:pPr>
              <w:rPr>
                <w:rFonts w:ascii="Times New Roman" w:hAnsi="Times New Roman" w:cs="Times New Roman"/>
                <w:sz w:val="18"/>
                <w:szCs w:val="18"/>
              </w:rPr>
            </w:pPr>
            <w:r/>
          </w:p>
        </w:tc>
        <w:tc>
          <w:tcPr>
            <w:tcW w:w="739" w:type="pct"/>
            <w:tcMar>
              <w:top w:w="150" w:type="dxa"/>
              <w:left w:w="240" w:type="dxa"/>
              <w:bottom w:w="150" w:type="dxa"/>
              <w:right w:w="240" w:type="dxa"/>
            </w:tcMar>
            <w:vAlign w:val="center"/>
            <w:hideMark/>
          </w:tcPr>
          <w:p w14:paraId="2E2ED952" w14:textId="77777777" w:rsidR="00265CF1" w:rsidRPr="00D71FF2" w:rsidRDefault="00265CF1" w:rsidP="00265CF1">
            <w:pPr>
              <w:rPr>
                <w:rFonts w:ascii="Times New Roman" w:hAnsi="Times New Roman" w:cs="Times New Roman"/>
                <w:sz w:val="18"/>
                <w:szCs w:val="18"/>
              </w:rPr>
            </w:pPr>
            <w:r>
              <w:t>101,926</w:t>
            </w:r>
          </w:p>
        </w:tc>
        <w:tc>
          <w:tcPr>
            <w:tcW w:w="1029" w:type="pct"/>
            <w:tcMar>
              <w:top w:w="150" w:type="dxa"/>
              <w:left w:w="240" w:type="dxa"/>
              <w:bottom w:w="150" w:type="dxa"/>
              <w:right w:w="240" w:type="dxa"/>
            </w:tcMar>
            <w:vAlign w:val="center"/>
            <w:hideMark/>
          </w:tcPr>
          <w:p w14:paraId="5653E5D2" w14:textId="77777777" w:rsidR="00265CF1" w:rsidRPr="00D71FF2" w:rsidRDefault="00265CF1" w:rsidP="00265CF1">
            <w:pPr>
              <w:rPr>
                <w:rFonts w:ascii="Times New Roman" w:hAnsi="Times New Roman" w:cs="Times New Roman"/>
                <w:sz w:val="18"/>
                <w:szCs w:val="18"/>
              </w:rPr>
            </w:pPr>
            <w:r>
              <w:t>52,257 (51.3)</w:t>
            </w:r>
          </w:p>
        </w:tc>
        <w:tc>
          <w:tcPr>
            <w:tcW w:w="1256" w:type="pct"/>
            <w:tcMar>
              <w:top w:w="150" w:type="dxa"/>
              <w:left w:w="240" w:type="dxa"/>
              <w:bottom w:w="150" w:type="dxa"/>
              <w:right w:w="240" w:type="dxa"/>
            </w:tcMar>
            <w:vAlign w:val="center"/>
            <w:hideMark/>
          </w:tcPr>
          <w:p w14:paraId="6BA48A9E" w14:textId="77777777" w:rsidR="00265CF1" w:rsidRPr="00D71FF2" w:rsidRDefault="00265CF1" w:rsidP="00265CF1">
            <w:pPr>
              <w:rPr>
                <w:rFonts w:ascii="Times New Roman" w:hAnsi="Times New Roman" w:cs="Times New Roman"/>
                <w:sz w:val="18"/>
                <w:szCs w:val="18"/>
              </w:rPr>
            </w:pPr>
            <w:r>
              <w:t>22,982 (22.5)</w:t>
            </w:r>
          </w:p>
        </w:tc>
        <w:tc>
          <w:tcPr>
            <w:tcW w:w="932" w:type="pct"/>
            <w:tcMar>
              <w:top w:w="150" w:type="dxa"/>
              <w:left w:w="240" w:type="dxa"/>
              <w:bottom w:w="150" w:type="dxa"/>
              <w:right w:w="0" w:type="dxa"/>
            </w:tcMar>
            <w:vAlign w:val="center"/>
            <w:hideMark/>
          </w:tcPr>
          <w:p w14:paraId="2266CDBB" w14:textId="77777777" w:rsidR="00265CF1" w:rsidRPr="00D71FF2" w:rsidRDefault="00265CF1" w:rsidP="00265CF1">
            <w:pPr>
              <w:rPr>
                <w:rFonts w:ascii="Times New Roman" w:hAnsi="Times New Roman" w:cs="Times New Roman"/>
                <w:sz w:val="18"/>
                <w:szCs w:val="18"/>
              </w:rPr>
            </w:pPr>
            <w:r>
              <w:t>26,687 (26.2)</w:t>
            </w:r>
          </w:p>
        </w:tc>
      </w:tr>
    </w:tbl>
    <w:p w14:paraId="60DDA743" w14:textId="432C7590" w:rsidR="00265CF1" w:rsidRPr="00D71FF2" w:rsidRDefault="00603380" w:rsidP="00265CF1">
      <w:pPr>
        <w:rPr>
          <w:rFonts w:ascii="Times New Roman" w:hAnsi="Times New Roman" w:cs="Times New Roman"/>
        </w:rPr>
      </w:pPr>
      <w:r w:rsidRPr="00603380">
        <w:rPr>
          <w:rFonts w:ascii="Times New Roman" w:hAnsi="Times New Roman" w:cs="Times New Roman"/>
        </w:rPr>
        <w:t>Macronutrient composition differed substantially across the three categories (Table 2). Fat energy ratio increased progressively from Rural (mean 0.180) to Transitional (0.264) and Urban (0.357), while carbohydrate energy ratio showed the opposite trend. Protein energy ratio varied minimally across categories. All pairwise differences were statistically significant (P &lt; 0.001), supporting the construct validity of the three-category classification.</w:t>
      </w:r>
    </w:p>
    <w:p w14:paraId="3266985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2. </w:t>
      </w:r>
      <w:r w:rsidRPr="00D71FF2">
        <w:rPr>
          <w:rFonts w:ascii="Times New Roman" w:hAnsi="Times New Roman" w:cs="Times New Roman"/>
        </w:rPr>
        <w:t>Macronutrient Profiles by Urban–Rural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66"/>
        <w:gridCol w:w="969"/>
        <w:gridCol w:w="963"/>
        <w:gridCol w:w="968"/>
        <w:gridCol w:w="963"/>
        <w:gridCol w:w="688"/>
        <w:gridCol w:w="1289"/>
      </w:tblGrid>
      <w:tr w:rsidR="005A094C" w:rsidRPr="00D71FF2" w14:paraId="57742D2D" w14:textId="2F52EFF0" w:rsidTr="005B70FA">
        <w:trPr>
          <w:tblHeader/>
        </w:trPr>
        <w:tc>
          <w:tcPr>
            <w:tcW w:w="1484" w:type="pct"/>
            <w:tcBorders>
              <w:bottom w:val="nil"/>
            </w:tcBorders>
            <w:tcMar>
              <w:top w:w="150" w:type="dxa"/>
              <w:left w:w="0" w:type="dxa"/>
              <w:bottom w:w="150" w:type="dxa"/>
              <w:right w:w="240" w:type="dxa"/>
            </w:tcMar>
            <w:vAlign w:val="center"/>
            <w:hideMark/>
          </w:tcPr>
          <w:p w14:paraId="24EE599B" w14:textId="77777777" w:rsidR="005A094C" w:rsidRPr="00D71FF2" w:rsidRDefault="005A094C" w:rsidP="00265CF1">
            <w:pPr>
              <w:rPr>
                <w:rFonts w:ascii="Times New Roman" w:hAnsi="Times New Roman" w:cs="Times New Roman"/>
                <w:b/>
                <w:bCs/>
                <w:sz w:val="18"/>
                <w:szCs w:val="18"/>
              </w:rPr>
            </w:pPr>
            <w:r w:rsidRPr="00D71FF2">
              <w:rPr>
                <w:rFonts w:ascii="Times New Roman" w:hAnsi="Times New Roman" w:cs="Times New Roman"/>
                <w:b/>
                <w:bCs/>
                <w:sz w:val="18"/>
                <w:szCs w:val="18"/>
              </w:rPr>
              <w:t>Feature</w:t>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hideMark/>
          </w:tcPr>
          <w:p w14:paraId="0B16AF08" w14:textId="77777777" w:rsidR="005A094C" w:rsidRPr="00D71FF2" w:rsidRDefault="005A094C" w:rsidP="00265CF1">
            <w:pPr>
              <w:rPr>
                <w:rFonts w:ascii="Times New Roman" w:hAnsi="Times New Roman" w:cs="Times New Roman"/>
                <w:b/>
                <w:bCs/>
                <w:sz w:val="18"/>
                <w:szCs w:val="18"/>
              </w:rPr>
            </w:pPr>
            <w:r>
              <w:t>Rural</w:t>
              <w:br/>
              <w:t>(n=52,257)</w:t>
            </w:r>
          </w:p>
          <w:p w14:paraId="2F52303D" w14:textId="324B3AAC" w:rsidR="005A094C" w:rsidRPr="00D71FF2" w:rsidRDefault="005A094C" w:rsidP="00265CF1">
            <w:pPr>
              <w:rPr>
                <w:rFonts w:ascii="Times New Roman" w:hAnsi="Times New Roman" w:cs="Times New Roman"/>
                <w:b/>
                <w:bCs/>
                <w:sz w:val="18"/>
                <w:szCs w:val="18"/>
              </w:rPr>
            </w:pPr>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tcPr>
          <w:p w14:paraId="36BC33E6" w14:textId="77777777" w:rsidR="005A094C" w:rsidRPr="00D71FF2" w:rsidRDefault="005A094C" w:rsidP="00265CF1">
            <w:pPr>
              <w:rPr>
                <w:rFonts w:ascii="Times New Roman" w:hAnsi="Times New Roman" w:cs="Times New Roman"/>
                <w:b/>
                <w:bCs/>
                <w:sz w:val="18"/>
                <w:szCs w:val="18"/>
              </w:rPr>
            </w:pPr>
            <w:r>
              <w:t>Transitional</w:t>
              <w:br/>
              <w:t>(n=22,982)</w:t>
            </w:r>
          </w:p>
          <w:p w14:paraId="466FE79D" w14:textId="6D1FC7E8" w:rsidR="005A094C" w:rsidRPr="00D71FF2" w:rsidRDefault="005A094C" w:rsidP="00265CF1">
            <w:pPr>
              <w:widowControl/>
              <w:jc w:val="left"/>
              <w:rPr>
                <w:rFonts w:ascii="Times New Roman" w:hAnsi="Times New Roman" w:cs="Times New Roman"/>
                <w:b/>
                <w:bCs/>
                <w:sz w:val="18"/>
                <w:szCs w:val="18"/>
              </w:rPr>
            </w:pPr>
            <w:r/>
          </w:p>
        </w:tc>
        <w:tc>
          <w:tcPr>
            <w:tcW w:w="1190" w:type="pct"/>
            <w:gridSpan w:val="2"/>
            <w:tcBorders>
              <w:top w:val="single" w:sz="8" w:space="0" w:color="auto"/>
              <w:bottom w:val="single" w:sz="4" w:space="0" w:color="auto"/>
            </w:tcBorders>
          </w:tcPr>
          <w:p w14:paraId="4EB693E0" w14:textId="77777777" w:rsidR="005A094C" w:rsidRPr="00D71FF2" w:rsidRDefault="005A094C" w:rsidP="00265CF1">
            <w:pPr>
              <w:widowControl/>
              <w:jc w:val="left"/>
              <w:rPr>
                <w:rFonts w:ascii="Times New Roman" w:hAnsi="Times New Roman" w:cs="Times New Roman"/>
                <w:b/>
                <w:bCs/>
                <w:sz w:val="18"/>
                <w:szCs w:val="18"/>
              </w:rPr>
            </w:pPr>
            <w:r>
              <w:t>Urban</w:t>
              <w:br/>
              <w:t>(n=26,687)</w:t>
            </w:r>
          </w:p>
          <w:p w14:paraId="1BCBA634" w14:textId="4D53E339" w:rsidR="005A094C" w:rsidRPr="00D71FF2" w:rsidRDefault="005A094C" w:rsidP="00265CF1">
            <w:pPr>
              <w:widowControl/>
              <w:jc w:val="left"/>
              <w:rPr>
                <w:rFonts w:ascii="Times New Roman" w:hAnsi="Times New Roman" w:cs="Times New Roman"/>
                <w:b/>
                <w:bCs/>
                <w:sz w:val="18"/>
                <w:szCs w:val="18"/>
              </w:rPr>
            </w:pPr>
            <w:r/>
          </w:p>
        </w:tc>
      </w:tr>
      <w:tr w:rsidR="00265CF1" w:rsidRPr="00D71FF2" w14:paraId="2DF9288D" w14:textId="77777777" w:rsidTr="005B70FA">
        <w:tc>
          <w:tcPr>
            <w:tcW w:w="1484" w:type="pct"/>
            <w:tcBorders>
              <w:top w:val="nil"/>
              <w:bottom w:val="single" w:sz="4" w:space="0" w:color="auto"/>
            </w:tcBorders>
            <w:tcMar>
              <w:top w:w="150" w:type="dxa"/>
              <w:left w:w="0" w:type="dxa"/>
              <w:bottom w:w="150" w:type="dxa"/>
              <w:right w:w="240" w:type="dxa"/>
            </w:tcMar>
            <w:vAlign w:val="center"/>
            <w:hideMark/>
          </w:tcPr>
          <w:p w14:paraId="1EF5F695" w14:textId="77777777" w:rsidR="00265CF1" w:rsidRPr="00D71FF2" w:rsidRDefault="00265CF1" w:rsidP="00265CF1">
            <w:pPr>
              <w:rPr>
                <w:rFonts w:ascii="Times New Roman" w:hAnsi="Times New Roman" w:cs="Times New Roman"/>
                <w:sz w:val="18"/>
                <w:szCs w:val="18"/>
              </w:rPr>
            </w:pP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5D0186CC"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1E9D23B1"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0D6F002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76651973"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414" w:type="pct"/>
            <w:tcBorders>
              <w:top w:val="single" w:sz="4" w:space="0" w:color="auto"/>
              <w:bottom w:val="single" w:sz="4" w:space="0" w:color="auto"/>
            </w:tcBorders>
            <w:vAlign w:val="center"/>
          </w:tcPr>
          <w:p w14:paraId="03048034" w14:textId="78745DBB"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Mean</w:t>
            </w:r>
          </w:p>
        </w:tc>
        <w:tc>
          <w:tcPr>
            <w:tcW w:w="776" w:type="pct"/>
            <w:tcBorders>
              <w:top w:val="single" w:sz="4" w:space="0" w:color="auto"/>
              <w:bottom w:val="single" w:sz="4" w:space="0" w:color="auto"/>
            </w:tcBorders>
            <w:tcMar>
              <w:top w:w="150" w:type="dxa"/>
              <w:left w:w="240" w:type="dxa"/>
              <w:bottom w:w="150" w:type="dxa"/>
              <w:right w:w="240" w:type="dxa"/>
            </w:tcMar>
            <w:vAlign w:val="center"/>
          </w:tcPr>
          <w:p w14:paraId="1F8E4FB5" w14:textId="233CBD88"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SD</w:t>
            </w:r>
          </w:p>
        </w:tc>
      </w:tr>
      <w:tr w:rsidR="00265CF1" w:rsidRPr="00D71FF2" w14:paraId="143772A3" w14:textId="77777777" w:rsidTr="005B70FA">
        <w:tc>
          <w:tcPr>
            <w:tcW w:w="1484" w:type="pct"/>
            <w:tcBorders>
              <w:top w:val="single" w:sz="4" w:space="0" w:color="auto"/>
            </w:tcBorders>
            <w:tcMar>
              <w:top w:w="150" w:type="dxa"/>
              <w:left w:w="0" w:type="dxa"/>
              <w:bottom w:w="150" w:type="dxa"/>
              <w:right w:w="240" w:type="dxa"/>
            </w:tcMar>
            <w:vAlign w:val="center"/>
            <w:hideMark/>
          </w:tcPr>
          <w:p w14:paraId="4A9568D6" w14:textId="77777777" w:rsidR="00265CF1" w:rsidRPr="00D71FF2" w:rsidRDefault="00265CF1" w:rsidP="00265CF1">
            <w:pPr>
              <w:rPr>
                <w:rFonts w:ascii="Times New Roman" w:hAnsi="Times New Roman" w:cs="Times New Roman"/>
                <w:sz w:val="18"/>
                <w:szCs w:val="18"/>
              </w:rPr>
            </w:pPr>
            <w:r>
              <w:t>Fat energy ratio</w:t>
            </w:r>
          </w:p>
        </w:tc>
        <w:tc>
          <w:tcPr>
            <w:tcW w:w="583" w:type="pct"/>
            <w:tcBorders>
              <w:top w:val="single" w:sz="4" w:space="0" w:color="auto"/>
            </w:tcBorders>
            <w:tcMar>
              <w:top w:w="150" w:type="dxa"/>
              <w:left w:w="240" w:type="dxa"/>
              <w:bottom w:w="150" w:type="dxa"/>
              <w:right w:w="240" w:type="dxa"/>
            </w:tcMar>
            <w:vAlign w:val="center"/>
            <w:hideMark/>
          </w:tcPr>
          <w:p w14:paraId="60E3BBBF" w14:textId="77777777" w:rsidR="00265CF1" w:rsidRPr="00D71FF2" w:rsidRDefault="00265CF1" w:rsidP="005A094C">
            <w:pPr>
              <w:jc w:val="right"/>
              <w:rPr>
                <w:rFonts w:ascii="Times New Roman" w:hAnsi="Times New Roman" w:cs="Times New Roman"/>
                <w:sz w:val="18"/>
                <w:szCs w:val="18"/>
              </w:rPr>
            </w:pPr>
            <w:r>
              <w:t>0.250</w:t>
            </w:r>
          </w:p>
        </w:tc>
        <w:tc>
          <w:tcPr>
            <w:tcW w:w="580" w:type="pct"/>
            <w:tcBorders>
              <w:top w:val="single" w:sz="4" w:space="0" w:color="auto"/>
            </w:tcBorders>
            <w:tcMar>
              <w:top w:w="150" w:type="dxa"/>
              <w:left w:w="240" w:type="dxa"/>
              <w:bottom w:w="150" w:type="dxa"/>
              <w:right w:w="240" w:type="dxa"/>
            </w:tcMar>
            <w:vAlign w:val="center"/>
            <w:hideMark/>
          </w:tcPr>
          <w:p w14:paraId="1BA67EB5" w14:textId="77777777" w:rsidR="00265CF1" w:rsidRPr="00D71FF2" w:rsidRDefault="00265CF1" w:rsidP="005A094C">
            <w:pPr>
              <w:jc w:val="right"/>
              <w:rPr>
                <w:rFonts w:ascii="Times New Roman" w:hAnsi="Times New Roman" w:cs="Times New Roman"/>
                <w:sz w:val="18"/>
                <w:szCs w:val="18"/>
              </w:rPr>
            </w:pPr>
            <w:r>
              <w:t>0.130</w:t>
            </w:r>
          </w:p>
        </w:tc>
        <w:tc>
          <w:tcPr>
            <w:tcW w:w="583" w:type="pct"/>
            <w:tcBorders>
              <w:top w:val="single" w:sz="4" w:space="0" w:color="auto"/>
            </w:tcBorders>
            <w:tcMar>
              <w:top w:w="150" w:type="dxa"/>
              <w:left w:w="240" w:type="dxa"/>
              <w:bottom w:w="150" w:type="dxa"/>
              <w:right w:w="240" w:type="dxa"/>
            </w:tcMar>
            <w:vAlign w:val="center"/>
            <w:hideMark/>
          </w:tcPr>
          <w:p w14:paraId="5D57A3F1" w14:textId="77777777" w:rsidR="00265CF1" w:rsidRPr="00D71FF2" w:rsidRDefault="00265CF1" w:rsidP="005A094C">
            <w:pPr>
              <w:jc w:val="right"/>
              <w:rPr>
                <w:rFonts w:ascii="Times New Roman" w:hAnsi="Times New Roman" w:cs="Times New Roman"/>
                <w:sz w:val="18"/>
                <w:szCs w:val="18"/>
              </w:rPr>
            </w:pPr>
            <w:r>
              <w:t>0.265</w:t>
            </w:r>
          </w:p>
        </w:tc>
        <w:tc>
          <w:tcPr>
            <w:tcW w:w="580" w:type="pct"/>
            <w:tcBorders>
              <w:top w:val="single" w:sz="4" w:space="0" w:color="auto"/>
            </w:tcBorders>
            <w:tcMar>
              <w:top w:w="150" w:type="dxa"/>
              <w:left w:w="240" w:type="dxa"/>
              <w:bottom w:w="150" w:type="dxa"/>
              <w:right w:w="240" w:type="dxa"/>
            </w:tcMar>
            <w:vAlign w:val="center"/>
            <w:hideMark/>
          </w:tcPr>
          <w:p w14:paraId="06394B9E" w14:textId="77777777" w:rsidR="00265CF1" w:rsidRPr="00D71FF2" w:rsidRDefault="00265CF1" w:rsidP="005A094C">
            <w:pPr>
              <w:jc w:val="right"/>
              <w:rPr>
                <w:rFonts w:ascii="Times New Roman" w:hAnsi="Times New Roman" w:cs="Times New Roman"/>
                <w:sz w:val="18"/>
                <w:szCs w:val="18"/>
              </w:rPr>
            </w:pPr>
            <w:r>
              <w:t>0.020</w:t>
            </w:r>
          </w:p>
        </w:tc>
        <w:tc>
          <w:tcPr>
            <w:tcW w:w="414" w:type="pct"/>
            <w:tcBorders>
              <w:top w:val="single" w:sz="4" w:space="0" w:color="auto"/>
            </w:tcBorders>
            <w:vAlign w:val="center"/>
          </w:tcPr>
          <w:p w14:paraId="2D322EDC" w14:textId="6C3FC1C7" w:rsidR="00265CF1" w:rsidRPr="00D71FF2" w:rsidRDefault="00265CF1" w:rsidP="005A094C">
            <w:pPr>
              <w:jc w:val="right"/>
              <w:rPr>
                <w:rFonts w:ascii="Times New Roman" w:hAnsi="Times New Roman" w:cs="Times New Roman"/>
                <w:sz w:val="18"/>
                <w:szCs w:val="18"/>
              </w:rPr>
            </w:pPr>
            <w:r>
              <w:t>0.331</w:t>
            </w:r>
          </w:p>
        </w:tc>
        <w:tc>
          <w:tcPr>
            <w:tcW w:w="776" w:type="pct"/>
            <w:tcBorders>
              <w:top w:val="single" w:sz="4" w:space="0" w:color="auto"/>
            </w:tcBorders>
            <w:tcMar>
              <w:top w:w="150" w:type="dxa"/>
              <w:left w:w="240" w:type="dxa"/>
              <w:bottom w:w="150" w:type="dxa"/>
              <w:right w:w="240" w:type="dxa"/>
            </w:tcMar>
            <w:vAlign w:val="center"/>
          </w:tcPr>
          <w:p w14:paraId="5F169190" w14:textId="64F9D20C" w:rsidR="00265CF1" w:rsidRPr="00D71FF2" w:rsidRDefault="00265CF1" w:rsidP="005A094C">
            <w:pPr>
              <w:jc w:val="right"/>
              <w:rPr>
                <w:rFonts w:ascii="Times New Roman" w:hAnsi="Times New Roman" w:cs="Times New Roman"/>
                <w:sz w:val="18"/>
                <w:szCs w:val="18"/>
              </w:rPr>
            </w:pPr>
            <w:r>
              <w:t>0.129</w:t>
            </w:r>
          </w:p>
        </w:tc>
      </w:tr>
      <w:tr w:rsidR="00265CF1" w:rsidRPr="00D71FF2" w14:paraId="3A822F20" w14:textId="77777777" w:rsidTr="005B70FA">
        <w:tc>
          <w:tcPr>
            <w:tcW w:w="1484" w:type="pct"/>
            <w:tcMar>
              <w:top w:w="150" w:type="dxa"/>
              <w:left w:w="0" w:type="dxa"/>
              <w:bottom w:w="150" w:type="dxa"/>
              <w:right w:w="240" w:type="dxa"/>
            </w:tcMar>
            <w:vAlign w:val="center"/>
            <w:hideMark/>
          </w:tcPr>
          <w:p w14:paraId="2E358466" w14:textId="77777777" w:rsidR="00265CF1" w:rsidRPr="00D71FF2" w:rsidRDefault="00265CF1" w:rsidP="00265CF1">
            <w:pPr>
              <w:rPr>
                <w:rFonts w:ascii="Times New Roman" w:hAnsi="Times New Roman" w:cs="Times New Roman"/>
                <w:sz w:val="18"/>
                <w:szCs w:val="18"/>
              </w:rPr>
            </w:pPr>
            <w:r>
              <w:t>Carbohydrate energy ratio</w:t>
            </w:r>
          </w:p>
        </w:tc>
        <w:tc>
          <w:tcPr>
            <w:tcW w:w="583" w:type="pct"/>
            <w:tcMar>
              <w:top w:w="150" w:type="dxa"/>
              <w:left w:w="240" w:type="dxa"/>
              <w:bottom w:w="150" w:type="dxa"/>
              <w:right w:w="240" w:type="dxa"/>
            </w:tcMar>
            <w:vAlign w:val="center"/>
            <w:hideMark/>
          </w:tcPr>
          <w:p w14:paraId="562504D6" w14:textId="77777777" w:rsidR="00265CF1" w:rsidRPr="00D71FF2" w:rsidRDefault="00265CF1" w:rsidP="005A094C">
            <w:pPr>
              <w:jc w:val="right"/>
              <w:rPr>
                <w:rFonts w:ascii="Times New Roman" w:hAnsi="Times New Roman" w:cs="Times New Roman"/>
                <w:sz w:val="18"/>
                <w:szCs w:val="18"/>
              </w:rPr>
            </w:pPr>
            <w:r>
              <w:t>0.626</w:t>
            </w:r>
          </w:p>
        </w:tc>
        <w:tc>
          <w:tcPr>
            <w:tcW w:w="580" w:type="pct"/>
            <w:tcMar>
              <w:top w:w="150" w:type="dxa"/>
              <w:left w:w="240" w:type="dxa"/>
              <w:bottom w:w="150" w:type="dxa"/>
              <w:right w:w="240" w:type="dxa"/>
            </w:tcMar>
            <w:vAlign w:val="center"/>
            <w:hideMark/>
          </w:tcPr>
          <w:p w14:paraId="65376007" w14:textId="77777777" w:rsidR="00265CF1" w:rsidRPr="00D71FF2" w:rsidRDefault="00265CF1" w:rsidP="005A094C">
            <w:pPr>
              <w:jc w:val="right"/>
              <w:rPr>
                <w:rFonts w:ascii="Times New Roman" w:hAnsi="Times New Roman" w:cs="Times New Roman"/>
                <w:sz w:val="18"/>
                <w:szCs w:val="18"/>
              </w:rPr>
            </w:pPr>
            <w:r>
              <w:t>0.133</w:t>
            </w:r>
          </w:p>
        </w:tc>
        <w:tc>
          <w:tcPr>
            <w:tcW w:w="583" w:type="pct"/>
            <w:tcMar>
              <w:top w:w="150" w:type="dxa"/>
              <w:left w:w="240" w:type="dxa"/>
              <w:bottom w:w="150" w:type="dxa"/>
              <w:right w:w="240" w:type="dxa"/>
            </w:tcMar>
            <w:vAlign w:val="center"/>
            <w:hideMark/>
          </w:tcPr>
          <w:p w14:paraId="186BE807" w14:textId="77777777" w:rsidR="00265CF1" w:rsidRPr="00D71FF2" w:rsidRDefault="00265CF1" w:rsidP="005A094C">
            <w:pPr>
              <w:jc w:val="right"/>
              <w:rPr>
                <w:rFonts w:ascii="Times New Roman" w:hAnsi="Times New Roman" w:cs="Times New Roman"/>
                <w:sz w:val="18"/>
                <w:szCs w:val="18"/>
              </w:rPr>
            </w:pPr>
            <w:r>
              <w:t>0.602</w:t>
            </w:r>
          </w:p>
        </w:tc>
        <w:tc>
          <w:tcPr>
            <w:tcW w:w="580" w:type="pct"/>
            <w:tcMar>
              <w:top w:w="150" w:type="dxa"/>
              <w:left w:w="240" w:type="dxa"/>
              <w:bottom w:w="150" w:type="dxa"/>
              <w:right w:w="240" w:type="dxa"/>
            </w:tcMar>
            <w:vAlign w:val="center"/>
            <w:hideMark/>
          </w:tcPr>
          <w:p w14:paraId="7EB11534" w14:textId="77777777" w:rsidR="00265CF1" w:rsidRPr="00D71FF2" w:rsidRDefault="00265CF1" w:rsidP="005A094C">
            <w:pPr>
              <w:jc w:val="right"/>
              <w:rPr>
                <w:rFonts w:ascii="Times New Roman" w:hAnsi="Times New Roman" w:cs="Times New Roman"/>
                <w:sz w:val="18"/>
                <w:szCs w:val="18"/>
              </w:rPr>
            </w:pPr>
            <w:r>
              <w:t>0.047</w:t>
            </w:r>
          </w:p>
        </w:tc>
        <w:tc>
          <w:tcPr>
            <w:tcW w:w="414" w:type="pct"/>
            <w:vAlign w:val="center"/>
          </w:tcPr>
          <w:p w14:paraId="1F039A1D" w14:textId="5EFBFFC8" w:rsidR="00265CF1" w:rsidRPr="00D71FF2" w:rsidRDefault="00265CF1" w:rsidP="005A094C">
            <w:pPr>
              <w:jc w:val="right"/>
              <w:rPr>
                <w:rFonts w:ascii="Times New Roman" w:hAnsi="Times New Roman" w:cs="Times New Roman"/>
                <w:sz w:val="18"/>
                <w:szCs w:val="18"/>
              </w:rPr>
            </w:pPr>
            <w:r>
              <w:t>0.532</w:t>
            </w:r>
          </w:p>
        </w:tc>
        <w:tc>
          <w:tcPr>
            <w:tcW w:w="776" w:type="pct"/>
            <w:tcMar>
              <w:top w:w="150" w:type="dxa"/>
              <w:left w:w="240" w:type="dxa"/>
              <w:bottom w:w="150" w:type="dxa"/>
              <w:right w:w="240" w:type="dxa"/>
            </w:tcMar>
            <w:vAlign w:val="center"/>
          </w:tcPr>
          <w:p w14:paraId="6A8762BA" w14:textId="04908B4E" w:rsidR="00265CF1" w:rsidRPr="00D71FF2" w:rsidRDefault="00265CF1" w:rsidP="005A094C">
            <w:pPr>
              <w:jc w:val="right"/>
              <w:rPr>
                <w:rFonts w:ascii="Times New Roman" w:hAnsi="Times New Roman" w:cs="Times New Roman"/>
                <w:sz w:val="18"/>
                <w:szCs w:val="18"/>
              </w:rPr>
            </w:pPr>
            <w:r>
              <w:t>0.133</w:t>
            </w:r>
          </w:p>
        </w:tc>
      </w:tr>
      <w:tr w:rsidR="00265CF1" w:rsidRPr="00D71FF2" w14:paraId="13AE8BDE" w14:textId="77777777" w:rsidTr="005B70FA">
        <w:tc>
          <w:tcPr>
            <w:tcW w:w="1484" w:type="pct"/>
            <w:tcMar>
              <w:top w:w="150" w:type="dxa"/>
              <w:left w:w="0" w:type="dxa"/>
              <w:bottom w:w="150" w:type="dxa"/>
              <w:right w:w="240" w:type="dxa"/>
            </w:tcMar>
            <w:vAlign w:val="center"/>
            <w:hideMark/>
          </w:tcPr>
          <w:p w14:paraId="2F56C281" w14:textId="77777777" w:rsidR="00265CF1" w:rsidRPr="00D71FF2" w:rsidRDefault="00265CF1" w:rsidP="00265CF1">
            <w:pPr>
              <w:rPr>
                <w:rFonts w:ascii="Times New Roman" w:hAnsi="Times New Roman" w:cs="Times New Roman"/>
                <w:sz w:val="18"/>
                <w:szCs w:val="18"/>
              </w:rPr>
            </w:pPr>
            <w:r>
              <w:t>Protein energy ratio</w:t>
            </w:r>
          </w:p>
        </w:tc>
        <w:tc>
          <w:tcPr>
            <w:tcW w:w="583" w:type="pct"/>
            <w:tcMar>
              <w:top w:w="150" w:type="dxa"/>
              <w:left w:w="240" w:type="dxa"/>
              <w:bottom w:w="150" w:type="dxa"/>
              <w:right w:w="240" w:type="dxa"/>
            </w:tcMar>
            <w:vAlign w:val="center"/>
            <w:hideMark/>
          </w:tcPr>
          <w:p w14:paraId="2E70AD93" w14:textId="77777777" w:rsidR="00265CF1" w:rsidRPr="00D71FF2" w:rsidRDefault="00265CF1" w:rsidP="005A094C">
            <w:pPr>
              <w:jc w:val="right"/>
              <w:rPr>
                <w:rFonts w:ascii="Times New Roman" w:hAnsi="Times New Roman" w:cs="Times New Roman"/>
                <w:sz w:val="18"/>
                <w:szCs w:val="18"/>
              </w:rPr>
            </w:pPr>
            <w:r>
              <w:t>0.119</w:t>
            </w:r>
          </w:p>
        </w:tc>
        <w:tc>
          <w:tcPr>
            <w:tcW w:w="580" w:type="pct"/>
            <w:tcMar>
              <w:top w:w="150" w:type="dxa"/>
              <w:left w:w="240" w:type="dxa"/>
              <w:bottom w:w="150" w:type="dxa"/>
              <w:right w:w="240" w:type="dxa"/>
            </w:tcMar>
            <w:vAlign w:val="center"/>
            <w:hideMark/>
          </w:tcPr>
          <w:p w14:paraId="33BFAAA8" w14:textId="77777777" w:rsidR="00265CF1" w:rsidRPr="00D71FF2" w:rsidRDefault="00265CF1" w:rsidP="005A094C">
            <w:pPr>
              <w:jc w:val="right"/>
              <w:rPr>
                <w:rFonts w:ascii="Times New Roman" w:hAnsi="Times New Roman" w:cs="Times New Roman"/>
                <w:sz w:val="18"/>
                <w:szCs w:val="18"/>
              </w:rPr>
            </w:pPr>
            <w:r>
              <w:t>0.025</w:t>
            </w:r>
          </w:p>
        </w:tc>
        <w:tc>
          <w:tcPr>
            <w:tcW w:w="583" w:type="pct"/>
            <w:tcMar>
              <w:top w:w="150" w:type="dxa"/>
              <w:left w:w="240" w:type="dxa"/>
              <w:bottom w:w="150" w:type="dxa"/>
              <w:right w:w="240" w:type="dxa"/>
            </w:tcMar>
            <w:vAlign w:val="center"/>
            <w:hideMark/>
          </w:tcPr>
          <w:p w14:paraId="5B02C918" w14:textId="77777777" w:rsidR="00265CF1" w:rsidRPr="00D71FF2" w:rsidRDefault="00265CF1" w:rsidP="005A094C">
            <w:pPr>
              <w:jc w:val="right"/>
              <w:rPr>
                <w:rFonts w:ascii="Times New Roman" w:hAnsi="Times New Roman" w:cs="Times New Roman"/>
                <w:sz w:val="18"/>
                <w:szCs w:val="18"/>
              </w:rPr>
            </w:pPr>
            <w:r>
              <w:t>0.125</w:t>
            </w:r>
          </w:p>
        </w:tc>
        <w:tc>
          <w:tcPr>
            <w:tcW w:w="580" w:type="pct"/>
            <w:tcMar>
              <w:top w:w="150" w:type="dxa"/>
              <w:left w:w="240" w:type="dxa"/>
              <w:bottom w:w="150" w:type="dxa"/>
              <w:right w:w="240" w:type="dxa"/>
            </w:tcMar>
            <w:vAlign w:val="center"/>
            <w:hideMark/>
          </w:tcPr>
          <w:p w14:paraId="14E9844C" w14:textId="77777777" w:rsidR="00265CF1" w:rsidRPr="00D71FF2" w:rsidRDefault="00265CF1" w:rsidP="005A094C">
            <w:pPr>
              <w:jc w:val="right"/>
              <w:rPr>
                <w:rFonts w:ascii="Times New Roman" w:hAnsi="Times New Roman" w:cs="Times New Roman"/>
                <w:sz w:val="18"/>
                <w:szCs w:val="18"/>
              </w:rPr>
            </w:pPr>
            <w:r>
              <w:t>0.028</w:t>
            </w:r>
          </w:p>
        </w:tc>
        <w:tc>
          <w:tcPr>
            <w:tcW w:w="414" w:type="pct"/>
            <w:vAlign w:val="center"/>
          </w:tcPr>
          <w:p w14:paraId="62CB70E5" w14:textId="383CD52D" w:rsidR="00265CF1" w:rsidRPr="00D71FF2" w:rsidRDefault="00265CF1" w:rsidP="005A094C">
            <w:pPr>
              <w:jc w:val="right"/>
              <w:rPr>
                <w:rFonts w:ascii="Times New Roman" w:hAnsi="Times New Roman" w:cs="Times New Roman"/>
                <w:sz w:val="18"/>
                <w:szCs w:val="18"/>
              </w:rPr>
            </w:pPr>
            <w:r>
              <w:t>0.132</w:t>
            </w:r>
          </w:p>
        </w:tc>
        <w:tc>
          <w:tcPr>
            <w:tcW w:w="776" w:type="pct"/>
            <w:tcMar>
              <w:top w:w="150" w:type="dxa"/>
              <w:left w:w="240" w:type="dxa"/>
              <w:bottom w:w="150" w:type="dxa"/>
              <w:right w:w="240" w:type="dxa"/>
            </w:tcMar>
            <w:vAlign w:val="center"/>
          </w:tcPr>
          <w:p w14:paraId="5D8524A2" w14:textId="10CAEEC6" w:rsidR="00265CF1" w:rsidRPr="00D71FF2" w:rsidRDefault="00265CF1" w:rsidP="005A094C">
            <w:pPr>
              <w:jc w:val="right"/>
              <w:rPr>
                <w:rFonts w:ascii="Times New Roman" w:hAnsi="Times New Roman" w:cs="Times New Roman"/>
                <w:sz w:val="18"/>
                <w:szCs w:val="18"/>
              </w:rPr>
            </w:pPr>
            <w:r>
              <w:t>0.031</w:t>
            </w:r>
          </w:p>
        </w:tc>
      </w:tr>
      <w:tr w:rsidR="00265CF1" w:rsidRPr="00D71FF2" w14:paraId="08304808" w14:textId="77777777" w:rsidTr="005B70FA">
        <w:tc>
          <w:tcPr>
            <w:tcW w:w="1484" w:type="pct"/>
            <w:tcMar>
              <w:top w:w="150" w:type="dxa"/>
              <w:left w:w="0" w:type="dxa"/>
              <w:bottom w:w="150" w:type="dxa"/>
              <w:right w:w="240" w:type="dxa"/>
            </w:tcMar>
            <w:vAlign w:val="center"/>
            <w:hideMark/>
          </w:tcPr>
          <w:p w14:paraId="2A38782D" w14:textId="7FCB3A73" w:rsidR="00265CF1" w:rsidRPr="00D71FF2" w:rsidRDefault="00265CF1" w:rsidP="00265CF1">
            <w:pPr>
              <w:rPr>
                <w:rFonts w:ascii="Times New Roman" w:hAnsi="Times New Roman" w:cs="Times New Roman"/>
                <w:sz w:val="18"/>
                <w:szCs w:val="18"/>
              </w:rPr>
            </w:pPr>
            <w:r>
              <w:t>Fat-to-carbohydrate ratio</w:t>
            </w:r>
          </w:p>
        </w:tc>
        <w:tc>
          <w:tcPr>
            <w:tcW w:w="583" w:type="pct"/>
            <w:tcMar>
              <w:top w:w="150" w:type="dxa"/>
              <w:left w:w="240" w:type="dxa"/>
              <w:bottom w:w="150" w:type="dxa"/>
              <w:right w:w="240" w:type="dxa"/>
            </w:tcMar>
            <w:vAlign w:val="center"/>
            <w:hideMark/>
          </w:tcPr>
          <w:p w14:paraId="5367167C" w14:textId="77777777" w:rsidR="00265CF1" w:rsidRPr="00D71FF2" w:rsidRDefault="00265CF1" w:rsidP="005A094C">
            <w:pPr>
              <w:jc w:val="right"/>
              <w:rPr>
                <w:rFonts w:ascii="Times New Roman" w:hAnsi="Times New Roman" w:cs="Times New Roman"/>
                <w:sz w:val="18"/>
                <w:szCs w:val="18"/>
              </w:rPr>
            </w:pPr>
            <w:r>
              <w:t>0.212</w:t>
            </w:r>
          </w:p>
        </w:tc>
        <w:tc>
          <w:tcPr>
            <w:tcW w:w="580" w:type="pct"/>
            <w:tcMar>
              <w:top w:w="150" w:type="dxa"/>
              <w:left w:w="240" w:type="dxa"/>
              <w:bottom w:w="150" w:type="dxa"/>
              <w:right w:w="240" w:type="dxa"/>
            </w:tcMar>
            <w:vAlign w:val="center"/>
            <w:hideMark/>
          </w:tcPr>
          <w:p w14:paraId="34D67F78" w14:textId="77777777" w:rsidR="00265CF1" w:rsidRPr="00D71FF2" w:rsidRDefault="00265CF1" w:rsidP="005A094C">
            <w:pPr>
              <w:jc w:val="right"/>
              <w:rPr>
                <w:rFonts w:ascii="Times New Roman" w:hAnsi="Times New Roman" w:cs="Times New Roman"/>
                <w:sz w:val="18"/>
                <w:szCs w:val="18"/>
              </w:rPr>
            </w:pPr>
            <w:r>
              <w:t>0.181</w:t>
            </w:r>
          </w:p>
        </w:tc>
        <w:tc>
          <w:tcPr>
            <w:tcW w:w="583" w:type="pct"/>
            <w:tcMar>
              <w:top w:w="150" w:type="dxa"/>
              <w:left w:w="240" w:type="dxa"/>
              <w:bottom w:w="150" w:type="dxa"/>
              <w:right w:w="240" w:type="dxa"/>
            </w:tcMar>
            <w:vAlign w:val="center"/>
            <w:hideMark/>
          </w:tcPr>
          <w:p w14:paraId="23E4F211" w14:textId="77777777" w:rsidR="00265CF1" w:rsidRPr="00D71FF2" w:rsidRDefault="00265CF1" w:rsidP="005A094C">
            <w:pPr>
              <w:jc w:val="right"/>
              <w:rPr>
                <w:rFonts w:ascii="Times New Roman" w:hAnsi="Times New Roman" w:cs="Times New Roman"/>
                <w:sz w:val="18"/>
                <w:szCs w:val="18"/>
              </w:rPr>
            </w:pPr>
            <w:r>
              <w:t>0.198</w:t>
            </w:r>
          </w:p>
        </w:tc>
        <w:tc>
          <w:tcPr>
            <w:tcW w:w="580" w:type="pct"/>
            <w:tcMar>
              <w:top w:w="150" w:type="dxa"/>
              <w:left w:w="240" w:type="dxa"/>
              <w:bottom w:w="150" w:type="dxa"/>
              <w:right w:w="240" w:type="dxa"/>
            </w:tcMar>
            <w:vAlign w:val="center"/>
            <w:hideMark/>
          </w:tcPr>
          <w:p w14:paraId="212736FE" w14:textId="77777777" w:rsidR="00265CF1" w:rsidRPr="00D71FF2" w:rsidRDefault="00265CF1" w:rsidP="005A094C">
            <w:pPr>
              <w:jc w:val="right"/>
              <w:rPr>
                <w:rFonts w:ascii="Times New Roman" w:hAnsi="Times New Roman" w:cs="Times New Roman"/>
                <w:sz w:val="18"/>
                <w:szCs w:val="18"/>
              </w:rPr>
            </w:pPr>
            <w:r>
              <w:t>0.031</w:t>
            </w:r>
          </w:p>
        </w:tc>
        <w:tc>
          <w:tcPr>
            <w:tcW w:w="414" w:type="pct"/>
            <w:vAlign w:val="center"/>
          </w:tcPr>
          <w:p w14:paraId="51E33236" w14:textId="5436EA16" w:rsidR="00265CF1" w:rsidRPr="00D71FF2" w:rsidRDefault="00265CF1" w:rsidP="005A094C">
            <w:pPr>
              <w:jc w:val="right"/>
              <w:rPr>
                <w:rFonts w:ascii="Times New Roman" w:hAnsi="Times New Roman" w:cs="Times New Roman"/>
                <w:sz w:val="18"/>
                <w:szCs w:val="18"/>
              </w:rPr>
            </w:pPr>
            <w:r>
              <w:t>0.324</w:t>
            </w:r>
          </w:p>
        </w:tc>
        <w:tc>
          <w:tcPr>
            <w:tcW w:w="776" w:type="pct"/>
            <w:tcMar>
              <w:top w:w="150" w:type="dxa"/>
              <w:left w:w="240" w:type="dxa"/>
              <w:bottom w:w="150" w:type="dxa"/>
              <w:right w:w="240" w:type="dxa"/>
            </w:tcMar>
            <w:vAlign w:val="center"/>
          </w:tcPr>
          <w:p w14:paraId="78756651" w14:textId="59BF24C2" w:rsidR="00265CF1" w:rsidRPr="00D71FF2" w:rsidRDefault="00265CF1" w:rsidP="005A094C">
            <w:pPr>
              <w:jc w:val="right"/>
              <w:rPr>
                <w:rFonts w:ascii="Times New Roman" w:hAnsi="Times New Roman" w:cs="Times New Roman"/>
                <w:sz w:val="18"/>
                <w:szCs w:val="18"/>
              </w:rPr>
            </w:pPr>
            <w:r>
              <w:t>0.212</w:t>
            </w:r>
          </w:p>
        </w:tc>
      </w:tr>
    </w:tbl>
    <w:p w14:paraId="3F482097"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All pairwise differences between categories are significant at P &lt; 0.001 (ANOVA with Bonferroni correction).</w:t>
      </w:r>
    </w:p>
    <w:p w14:paraId="4D1717D9" w14:textId="339ACEC3" w:rsidR="00265CF1" w:rsidRPr="00D71FF2" w:rsidRDefault="000B23C2" w:rsidP="005A094C">
      <w:pPr>
        <w:pStyle w:val="3"/>
      </w:pPr>
      <w:r w:rsidRPr="00D71FF2">
        <w:t>Inference Accuracy</w:t>
      </w:r>
      <w:r w:rsidR="00140DA9" w:rsidRPr="00D71FF2">
        <w:t xml:space="preserve"> Under Simulated Missingness</w:t>
      </w:r>
    </w:p>
    <w:p>
      <w:pPr>
        <w:spacing w:after="120"/>
      </w:pPr>
      <w:r>
        <w:t>Although the primary inferential target is binary administrative status, we retain the three-class structure throughout the results for descriptive completeness, as the Transitional stratum captures a meaningful intermediate dietary pattern in the nutrition transition literature.</w:t>
      </w:r>
    </w:p>
    <w:p w14:paraId="63E7907A" w14:textId="77777777" w:rsidR="00603380" w:rsidRPr="00D71FF2" w:rsidRDefault="00603380" w:rsidP="00265CF1">
      <w:pPr>
        <w:rPr>
          <w:rFonts w:ascii="Times New Roman" w:hAnsi="Times New Roman" w:cs="Times New Roman"/>
        </w:rPr>
      </w:pPr>
      <w:r>
        <w:t>Under 30% simulated missingness, the proposed framework achieved three-class accuracy 0.786 and macro-F1 0.770 (Table 3). It is important to note that Transitional accuracy is partially definitional due to the FatER-based label construction; therefore, the remainder of this section focuses on the binary administrative discrimination task (Rural vs. Urban), which avoids circularity.</w:t>
      </w:r>
    </w:p>
    <w:p w14:paraId="09FAB541" w14:textId="19F6E1D0" w:rsidR="00265CF1" w:rsidRPr="00D71FF2" w:rsidRDefault="00603380" w:rsidP="00265CF1">
      <w:pPr>
        <w:rPr>
          <w:rFonts w:ascii="Times New Roman" w:hAnsi="Times New Roman" w:cs="Times New Roman"/>
        </w:rPr>
      </w:pPr>
      <w:r>
        <w:t>The absolute performance gain over the strongest non-proposed comparator (random forest imputation) was incremental (Δ accuracy ≈ 0.9 percentage points) but consistent across missing rates (mean advantage over KNN ≈ 6.5 percentage points).</w:t>
      </w:r>
    </w:p>
    <w:p w14:paraId="720834C9" w14:textId="7B1ED52A"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3. </w:t>
      </w:r>
      <w:r w:rsidR="004A32A1" w:rsidRPr="00D71FF2">
        <w:rPr>
          <w:rFonts w:ascii="Times New Roman" w:hAnsi="Times New Roman" w:cs="Times New Roman"/>
        </w:rPr>
        <w:t>Inference</w:t>
      </w:r>
      <w:r w:rsidRPr="00D71FF2">
        <w:rPr>
          <w:rFonts w:ascii="Times New Roman" w:hAnsi="Times New Roman" w:cs="Times New Roman"/>
        </w:rPr>
        <w:t xml:space="preserve"> Performance Comparison (30% Missing Rate)</w:t>
      </w:r>
    </w:p>
    <w:tbl>
      <w:tblPr>
        <w:tblW w:w="5000" w:type="pct"/>
        <w:tblBorders>
          <w:top w:val="single" w:sz="8" w:space="0" w:color="auto"/>
        </w:tblBorders>
        <w:tblCellMar>
          <w:top w:w="15" w:type="dxa"/>
          <w:left w:w="15" w:type="dxa"/>
          <w:bottom w:w="15" w:type="dxa"/>
          <w:right w:w="15" w:type="dxa"/>
        </w:tblCellMar>
        <w:tblLook w:val="04A0" w:firstRow="1" w:lastRow="0" w:firstColumn="1" w:lastColumn="0" w:noHBand="0" w:noVBand="1"/>
      </w:tblPr>
      <w:tblGrid>
        <w:gridCol w:w="2222"/>
        <w:gridCol w:w="1389"/>
        <w:gridCol w:w="1434"/>
        <w:gridCol w:w="1430"/>
        <w:gridCol w:w="1831"/>
      </w:tblGrid>
      <w:tr w:rsidR="00265CF1" w:rsidRPr="00D71FF2" w14:paraId="2D7250CB" w14:textId="77777777" w:rsidTr="005B70FA">
        <w:trPr>
          <w:tblHeader/>
        </w:trPr>
        <w:tc>
          <w:tcPr>
            <w:tcW w:w="1338" w:type="pct"/>
            <w:tcBorders>
              <w:top w:val="single" w:sz="8" w:space="0" w:color="auto"/>
              <w:bottom w:val="single" w:sz="4" w:space="0" w:color="auto"/>
            </w:tcBorders>
            <w:tcMar>
              <w:top w:w="150" w:type="dxa"/>
              <w:left w:w="0" w:type="dxa"/>
              <w:bottom w:w="150" w:type="dxa"/>
              <w:right w:w="240" w:type="dxa"/>
            </w:tcMar>
            <w:vAlign w:val="center"/>
            <w:hideMark/>
          </w:tcPr>
          <w:p w14:paraId="3FDDE95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lastRenderedPageBreak/>
              <w:t>Method</w:t>
            </w:r>
          </w:p>
        </w:tc>
        <w:tc>
          <w:tcPr>
            <w:tcW w:w="836" w:type="pct"/>
            <w:tcBorders>
              <w:top w:val="single" w:sz="8" w:space="0" w:color="auto"/>
              <w:bottom w:val="single" w:sz="4" w:space="0" w:color="auto"/>
            </w:tcBorders>
            <w:tcMar>
              <w:top w:w="150" w:type="dxa"/>
              <w:left w:w="240" w:type="dxa"/>
              <w:bottom w:w="150" w:type="dxa"/>
              <w:right w:w="240" w:type="dxa"/>
            </w:tcMar>
            <w:vAlign w:val="center"/>
            <w:hideMark/>
          </w:tcPr>
          <w:p w14:paraId="3F4EC02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63" w:type="pct"/>
            <w:tcBorders>
              <w:top w:val="single" w:sz="8" w:space="0" w:color="auto"/>
              <w:bottom w:val="single" w:sz="4" w:space="0" w:color="auto"/>
            </w:tcBorders>
            <w:tcMar>
              <w:top w:w="150" w:type="dxa"/>
              <w:left w:w="240" w:type="dxa"/>
              <w:bottom w:w="150" w:type="dxa"/>
              <w:right w:w="240" w:type="dxa"/>
            </w:tcMar>
            <w:vAlign w:val="center"/>
            <w:hideMark/>
          </w:tcPr>
          <w:p w14:paraId="4B2E35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861" w:type="pct"/>
            <w:tcBorders>
              <w:top w:val="single" w:sz="8" w:space="0" w:color="auto"/>
              <w:bottom w:val="single" w:sz="4" w:space="0" w:color="auto"/>
            </w:tcBorders>
            <w:tcMar>
              <w:top w:w="150" w:type="dxa"/>
              <w:left w:w="240" w:type="dxa"/>
              <w:bottom w:w="150" w:type="dxa"/>
              <w:right w:w="240" w:type="dxa"/>
            </w:tcMar>
            <w:vAlign w:val="center"/>
            <w:hideMark/>
          </w:tcPr>
          <w:p w14:paraId="46B791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Cohen's κ</w:t>
            </w:r>
          </w:p>
        </w:tc>
        <w:tc>
          <w:tcPr>
            <w:tcW w:w="1103" w:type="pct"/>
            <w:tcBorders>
              <w:top w:val="single" w:sz="8" w:space="0" w:color="auto"/>
              <w:bottom w:val="single" w:sz="4" w:space="0" w:color="auto"/>
            </w:tcBorders>
            <w:tcMar>
              <w:top w:w="150" w:type="dxa"/>
              <w:left w:w="240" w:type="dxa"/>
              <w:bottom w:w="150" w:type="dxa"/>
              <w:right w:w="240" w:type="dxa"/>
            </w:tcMar>
            <w:vAlign w:val="center"/>
            <w:hideMark/>
          </w:tcPr>
          <w:p w14:paraId="0B57415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JS Divergence</w:t>
            </w:r>
          </w:p>
        </w:tc>
      </w:tr>
      <w:tr w:rsidR="00265CF1" w:rsidRPr="00D71FF2" w14:paraId="700AD124" w14:textId="77777777" w:rsidTr="005B70FA">
        <w:tc>
          <w:tcPr>
            <w:tcW w:w="1338" w:type="pct"/>
            <w:tcBorders>
              <w:top w:val="single" w:sz="4" w:space="0" w:color="auto"/>
            </w:tcBorders>
            <w:tcMar>
              <w:top w:w="150" w:type="dxa"/>
              <w:left w:w="0" w:type="dxa"/>
              <w:bottom w:w="150" w:type="dxa"/>
              <w:right w:w="240" w:type="dxa"/>
            </w:tcMar>
            <w:vAlign w:val="center"/>
            <w:hideMark/>
          </w:tcPr>
          <w:p w14:paraId="15923957"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Majority category</w:t>
            </w:r>
          </w:p>
        </w:tc>
        <w:tc>
          <w:tcPr>
            <w:tcW w:w="836" w:type="pct"/>
            <w:tcBorders>
              <w:top w:val="single" w:sz="4" w:space="0" w:color="auto"/>
            </w:tcBorders>
            <w:tcMar>
              <w:top w:w="150" w:type="dxa"/>
              <w:left w:w="240" w:type="dxa"/>
              <w:bottom w:w="150" w:type="dxa"/>
              <w:right w:w="240" w:type="dxa"/>
            </w:tcMar>
            <w:vAlign w:val="center"/>
            <w:hideMark/>
          </w:tcPr>
          <w:p w14:paraId="25AE7DEC" w14:textId="77777777" w:rsidR="00265CF1" w:rsidRPr="00D71FF2" w:rsidRDefault="00265CF1" w:rsidP="005B70FA">
            <w:pPr>
              <w:jc w:val="right"/>
              <w:rPr>
                <w:rFonts w:ascii="Times New Roman" w:hAnsi="Times New Roman" w:cs="Times New Roman"/>
                <w:sz w:val="18"/>
                <w:szCs w:val="18"/>
              </w:rPr>
            </w:pPr>
            <w:r>
              <w:t>0.516</w:t>
            </w:r>
          </w:p>
        </w:tc>
        <w:tc>
          <w:tcPr>
            <w:tcW w:w="863" w:type="pct"/>
            <w:tcBorders>
              <w:top w:val="single" w:sz="4" w:space="0" w:color="auto"/>
            </w:tcBorders>
            <w:tcMar>
              <w:top w:w="150" w:type="dxa"/>
              <w:left w:w="240" w:type="dxa"/>
              <w:bottom w:w="150" w:type="dxa"/>
              <w:right w:w="240" w:type="dxa"/>
            </w:tcMar>
            <w:vAlign w:val="center"/>
            <w:hideMark/>
          </w:tcPr>
          <w:p w14:paraId="32218CDE" w14:textId="77777777" w:rsidR="00265CF1" w:rsidRPr="00D71FF2" w:rsidRDefault="00265CF1" w:rsidP="005B70FA">
            <w:pPr>
              <w:jc w:val="right"/>
              <w:rPr>
                <w:rFonts w:ascii="Times New Roman" w:hAnsi="Times New Roman" w:cs="Times New Roman"/>
                <w:sz w:val="18"/>
                <w:szCs w:val="18"/>
              </w:rPr>
            </w:pPr>
            <w:r>
              <w:t>0.227</w:t>
            </w:r>
          </w:p>
        </w:tc>
        <w:tc>
          <w:tcPr>
            <w:tcW w:w="861" w:type="pct"/>
            <w:tcBorders>
              <w:top w:val="single" w:sz="4" w:space="0" w:color="auto"/>
            </w:tcBorders>
            <w:tcMar>
              <w:top w:w="150" w:type="dxa"/>
              <w:left w:w="240" w:type="dxa"/>
              <w:bottom w:w="150" w:type="dxa"/>
              <w:right w:w="240" w:type="dxa"/>
            </w:tcMar>
            <w:vAlign w:val="center"/>
            <w:hideMark/>
          </w:tcPr>
          <w:p w14:paraId="4C25FB16" w14:textId="77777777" w:rsidR="00265CF1" w:rsidRPr="00D71FF2" w:rsidRDefault="00265CF1" w:rsidP="005B70FA">
            <w:pPr>
              <w:jc w:val="right"/>
              <w:rPr>
                <w:rFonts w:ascii="Times New Roman" w:hAnsi="Times New Roman" w:cs="Times New Roman"/>
                <w:sz w:val="18"/>
                <w:szCs w:val="18"/>
              </w:rPr>
            </w:pPr>
            <w:r>
              <w:t>0.000</w:t>
            </w:r>
          </w:p>
        </w:tc>
        <w:tc>
          <w:tcPr>
            <w:tcW w:w="1103" w:type="pct"/>
            <w:tcBorders>
              <w:top w:val="single" w:sz="4" w:space="0" w:color="auto"/>
            </w:tcBorders>
            <w:tcMar>
              <w:top w:w="150" w:type="dxa"/>
              <w:left w:w="240" w:type="dxa"/>
              <w:bottom w:w="150" w:type="dxa"/>
              <w:right w:w="0" w:type="dxa"/>
            </w:tcMar>
            <w:vAlign w:val="center"/>
            <w:hideMark/>
          </w:tcPr>
          <w:p w14:paraId="681E5E0C" w14:textId="77777777" w:rsidR="00265CF1" w:rsidRPr="00D71FF2" w:rsidRDefault="00265CF1" w:rsidP="005B70FA">
            <w:pPr>
              <w:jc w:val="right"/>
              <w:rPr>
                <w:rFonts w:ascii="Times New Roman" w:hAnsi="Times New Roman" w:cs="Times New Roman"/>
                <w:sz w:val="18"/>
                <w:szCs w:val="18"/>
              </w:rPr>
            </w:pPr>
            <w:r>
              <w:t>0.104</w:t>
            </w:r>
          </w:p>
        </w:tc>
      </w:tr>
      <w:tr w:rsidR="00265CF1" w:rsidRPr="00D71FF2" w14:paraId="58A2FEEC" w14:textId="77777777" w:rsidTr="005B70FA">
        <w:tc>
          <w:tcPr>
            <w:tcW w:w="1338" w:type="pct"/>
            <w:tcMar>
              <w:top w:w="150" w:type="dxa"/>
              <w:left w:w="0" w:type="dxa"/>
              <w:bottom w:w="150" w:type="dxa"/>
              <w:right w:w="240" w:type="dxa"/>
            </w:tcMar>
            <w:vAlign w:val="center"/>
            <w:hideMark/>
          </w:tcPr>
          <w:p w14:paraId="6A0649A9"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MICE</w:t>
            </w:r>
          </w:p>
        </w:tc>
        <w:tc>
          <w:tcPr>
            <w:tcW w:w="836" w:type="pct"/>
            <w:tcMar>
              <w:top w:w="150" w:type="dxa"/>
              <w:left w:w="240" w:type="dxa"/>
              <w:bottom w:w="150" w:type="dxa"/>
              <w:right w:w="240" w:type="dxa"/>
            </w:tcMar>
            <w:vAlign w:val="center"/>
            <w:hideMark/>
          </w:tcPr>
          <w:p w14:paraId="0E44D4B4" w14:textId="77777777" w:rsidR="00265CF1" w:rsidRPr="00D71FF2" w:rsidRDefault="00265CF1" w:rsidP="005B70FA">
            <w:pPr>
              <w:jc w:val="right"/>
              <w:rPr>
                <w:rFonts w:ascii="Times New Roman" w:hAnsi="Times New Roman" w:cs="Times New Roman"/>
                <w:sz w:val="18"/>
                <w:szCs w:val="18"/>
              </w:rPr>
            </w:pPr>
            <w:r>
              <w:t>0.673</w:t>
            </w:r>
          </w:p>
        </w:tc>
        <w:tc>
          <w:tcPr>
            <w:tcW w:w="863" w:type="pct"/>
            <w:tcMar>
              <w:top w:w="150" w:type="dxa"/>
              <w:left w:w="240" w:type="dxa"/>
              <w:bottom w:w="150" w:type="dxa"/>
              <w:right w:w="240" w:type="dxa"/>
            </w:tcMar>
            <w:vAlign w:val="center"/>
            <w:hideMark/>
          </w:tcPr>
          <w:p w14:paraId="01A0BDFC" w14:textId="77777777" w:rsidR="00265CF1" w:rsidRPr="00D71FF2" w:rsidRDefault="00265CF1" w:rsidP="005B70FA">
            <w:pPr>
              <w:jc w:val="right"/>
              <w:rPr>
                <w:rFonts w:ascii="Times New Roman" w:hAnsi="Times New Roman" w:cs="Times New Roman"/>
                <w:sz w:val="18"/>
                <w:szCs w:val="18"/>
              </w:rPr>
            </w:pPr>
            <w:r>
              <w:t>0.631</w:t>
            </w:r>
          </w:p>
        </w:tc>
        <w:tc>
          <w:tcPr>
            <w:tcW w:w="861" w:type="pct"/>
            <w:tcMar>
              <w:top w:w="150" w:type="dxa"/>
              <w:left w:w="240" w:type="dxa"/>
              <w:bottom w:w="150" w:type="dxa"/>
              <w:right w:w="240" w:type="dxa"/>
            </w:tcMar>
            <w:vAlign w:val="center"/>
            <w:hideMark/>
          </w:tcPr>
          <w:p w14:paraId="0EA50FB1" w14:textId="77777777" w:rsidR="00265CF1" w:rsidRPr="00D71FF2" w:rsidRDefault="00265CF1" w:rsidP="005B70FA">
            <w:pPr>
              <w:jc w:val="right"/>
              <w:rPr>
                <w:rFonts w:ascii="Times New Roman" w:hAnsi="Times New Roman" w:cs="Times New Roman"/>
                <w:sz w:val="18"/>
                <w:szCs w:val="18"/>
              </w:rPr>
            </w:pPr>
            <w:r>
              <w:t>0.462</w:t>
            </w:r>
          </w:p>
        </w:tc>
        <w:tc>
          <w:tcPr>
            <w:tcW w:w="1103" w:type="pct"/>
            <w:tcMar>
              <w:top w:w="150" w:type="dxa"/>
              <w:left w:w="240" w:type="dxa"/>
              <w:bottom w:w="150" w:type="dxa"/>
              <w:right w:w="0" w:type="dxa"/>
            </w:tcMar>
            <w:vAlign w:val="center"/>
            <w:hideMark/>
          </w:tcPr>
          <w:p w14:paraId="6D57B40B" w14:textId="77777777" w:rsidR="00265CF1" w:rsidRPr="00D71FF2" w:rsidRDefault="00265CF1" w:rsidP="005B70FA">
            <w:pPr>
              <w:jc w:val="right"/>
              <w:rPr>
                <w:rFonts w:ascii="Times New Roman" w:hAnsi="Times New Roman" w:cs="Times New Roman"/>
                <w:sz w:val="18"/>
                <w:szCs w:val="18"/>
              </w:rPr>
            </w:pPr>
            <w:r>
              <w:t>0.032</w:t>
            </w:r>
          </w:p>
        </w:tc>
      </w:tr>
      <w:tr w:rsidR="00265CF1" w:rsidRPr="00D71FF2" w14:paraId="66AC6CD7" w14:textId="77777777" w:rsidTr="005B70FA">
        <w:tc>
          <w:tcPr>
            <w:tcW w:w="1338" w:type="pct"/>
            <w:tcMar>
              <w:top w:w="150" w:type="dxa"/>
              <w:left w:w="0" w:type="dxa"/>
              <w:bottom w:w="150" w:type="dxa"/>
              <w:right w:w="240" w:type="dxa"/>
            </w:tcMar>
            <w:vAlign w:val="center"/>
            <w:hideMark/>
          </w:tcPr>
          <w:p w14:paraId="001A7BC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KNN (k = 5)</w:t>
            </w:r>
          </w:p>
        </w:tc>
        <w:tc>
          <w:tcPr>
            <w:tcW w:w="836" w:type="pct"/>
            <w:tcMar>
              <w:top w:w="150" w:type="dxa"/>
              <w:left w:w="240" w:type="dxa"/>
              <w:bottom w:w="150" w:type="dxa"/>
              <w:right w:w="240" w:type="dxa"/>
            </w:tcMar>
            <w:vAlign w:val="center"/>
            <w:hideMark/>
          </w:tcPr>
          <w:p w14:paraId="130B452E" w14:textId="77777777" w:rsidR="00265CF1" w:rsidRPr="00D71FF2" w:rsidRDefault="00265CF1" w:rsidP="005B70FA">
            <w:pPr>
              <w:jc w:val="right"/>
              <w:rPr>
                <w:rFonts w:ascii="Times New Roman" w:hAnsi="Times New Roman" w:cs="Times New Roman"/>
                <w:sz w:val="18"/>
                <w:szCs w:val="18"/>
              </w:rPr>
            </w:pPr>
            <w:r>
              <w:t>0.721</w:t>
            </w:r>
          </w:p>
        </w:tc>
        <w:tc>
          <w:tcPr>
            <w:tcW w:w="863" w:type="pct"/>
            <w:tcMar>
              <w:top w:w="150" w:type="dxa"/>
              <w:left w:w="240" w:type="dxa"/>
              <w:bottom w:w="150" w:type="dxa"/>
              <w:right w:w="240" w:type="dxa"/>
            </w:tcMar>
            <w:vAlign w:val="center"/>
            <w:hideMark/>
          </w:tcPr>
          <w:p w14:paraId="3269BEEB" w14:textId="77777777" w:rsidR="00265CF1" w:rsidRPr="00D71FF2" w:rsidRDefault="00265CF1" w:rsidP="005B70FA">
            <w:pPr>
              <w:jc w:val="right"/>
              <w:rPr>
                <w:rFonts w:ascii="Times New Roman" w:hAnsi="Times New Roman" w:cs="Times New Roman"/>
                <w:sz w:val="18"/>
                <w:szCs w:val="18"/>
              </w:rPr>
            </w:pPr>
            <w:r>
              <w:t>0.707</w:t>
            </w:r>
          </w:p>
        </w:tc>
        <w:tc>
          <w:tcPr>
            <w:tcW w:w="861" w:type="pct"/>
            <w:tcMar>
              <w:top w:w="150" w:type="dxa"/>
              <w:left w:w="240" w:type="dxa"/>
              <w:bottom w:w="150" w:type="dxa"/>
              <w:right w:w="240" w:type="dxa"/>
            </w:tcMar>
            <w:vAlign w:val="center"/>
            <w:hideMark/>
          </w:tcPr>
          <w:p w14:paraId="1DCE10FA" w14:textId="77777777" w:rsidR="00265CF1" w:rsidRPr="00D71FF2" w:rsidRDefault="00265CF1" w:rsidP="005B70FA">
            <w:pPr>
              <w:jc w:val="right"/>
              <w:rPr>
                <w:rFonts w:ascii="Times New Roman" w:hAnsi="Times New Roman" w:cs="Times New Roman"/>
                <w:sz w:val="18"/>
                <w:szCs w:val="18"/>
              </w:rPr>
            </w:pPr>
            <w:r>
              <w:t>0.539</w:t>
            </w:r>
          </w:p>
        </w:tc>
        <w:tc>
          <w:tcPr>
            <w:tcW w:w="1103" w:type="pct"/>
            <w:tcMar>
              <w:top w:w="150" w:type="dxa"/>
              <w:left w:w="240" w:type="dxa"/>
              <w:bottom w:w="150" w:type="dxa"/>
              <w:right w:w="0" w:type="dxa"/>
            </w:tcMar>
            <w:vAlign w:val="center"/>
            <w:hideMark/>
          </w:tcPr>
          <w:p w14:paraId="056DF714" w14:textId="77777777" w:rsidR="00265CF1" w:rsidRPr="00D71FF2" w:rsidRDefault="00265CF1" w:rsidP="005B70FA">
            <w:pPr>
              <w:jc w:val="right"/>
              <w:rPr>
                <w:rFonts w:ascii="Times New Roman" w:hAnsi="Times New Roman" w:cs="Times New Roman"/>
                <w:sz w:val="18"/>
                <w:szCs w:val="18"/>
              </w:rPr>
            </w:pPr>
            <w:r>
              <w:t>0.014</w:t>
            </w:r>
          </w:p>
        </w:tc>
      </w:tr>
      <w:tr w:rsidR="00265CF1" w:rsidRPr="00D71FF2" w14:paraId="75DD6E26" w14:textId="77777777" w:rsidTr="005B70FA">
        <w:tc>
          <w:tcPr>
            <w:tcW w:w="1338" w:type="pct"/>
            <w:tcBorders>
              <w:bottom w:val="nil"/>
            </w:tcBorders>
            <w:tcMar>
              <w:top w:w="150" w:type="dxa"/>
              <w:left w:w="0" w:type="dxa"/>
              <w:bottom w:w="150" w:type="dxa"/>
              <w:right w:w="240" w:type="dxa"/>
            </w:tcMar>
            <w:vAlign w:val="center"/>
            <w:hideMark/>
          </w:tcPr>
          <w:p w14:paraId="7FD8653E" w14:textId="77777777" w:rsidR="00265CF1" w:rsidRPr="00D71FF2" w:rsidRDefault="00265CF1" w:rsidP="00265CF1">
            <w:pPr>
              <w:rPr>
                <w:rFonts w:ascii="Times New Roman" w:hAnsi="Times New Roman" w:cs="Times New Roman"/>
                <w:sz w:val="18"/>
                <w:szCs w:val="18"/>
              </w:rPr>
            </w:pPr>
            <w:r>
              <w:t>LDA</w:t>
            </w:r>
          </w:p>
        </w:tc>
        <w:tc>
          <w:tcPr>
            <w:tcW w:w="836" w:type="pct"/>
            <w:tcBorders>
              <w:bottom w:val="nil"/>
            </w:tcBorders>
            <w:tcMar>
              <w:top w:w="150" w:type="dxa"/>
              <w:left w:w="240" w:type="dxa"/>
              <w:bottom w:w="150" w:type="dxa"/>
              <w:right w:w="240" w:type="dxa"/>
            </w:tcMar>
            <w:vAlign w:val="center"/>
            <w:hideMark/>
          </w:tcPr>
          <w:p w14:paraId="2BB1065E" w14:textId="77777777" w:rsidR="00265CF1" w:rsidRPr="00D71FF2" w:rsidRDefault="00265CF1" w:rsidP="005B70FA">
            <w:pPr>
              <w:jc w:val="right"/>
              <w:rPr>
                <w:rFonts w:ascii="Times New Roman" w:hAnsi="Times New Roman" w:cs="Times New Roman"/>
                <w:sz w:val="18"/>
                <w:szCs w:val="18"/>
              </w:rPr>
            </w:pPr>
            <w:r>
              <w:t>0.546</w:t>
            </w:r>
          </w:p>
        </w:tc>
        <w:tc>
          <w:tcPr>
            <w:tcW w:w="863" w:type="pct"/>
            <w:tcBorders>
              <w:bottom w:val="nil"/>
            </w:tcBorders>
            <w:tcMar>
              <w:top w:w="150" w:type="dxa"/>
              <w:left w:w="240" w:type="dxa"/>
              <w:bottom w:w="150" w:type="dxa"/>
              <w:right w:w="240" w:type="dxa"/>
            </w:tcMar>
            <w:vAlign w:val="center"/>
            <w:hideMark/>
          </w:tcPr>
          <w:p w14:paraId="414E0DF4" w14:textId="77777777" w:rsidR="00265CF1" w:rsidRPr="00D71FF2" w:rsidRDefault="00265CF1" w:rsidP="005B70FA">
            <w:pPr>
              <w:jc w:val="right"/>
              <w:rPr>
                <w:rFonts w:ascii="Times New Roman" w:hAnsi="Times New Roman" w:cs="Times New Roman"/>
                <w:sz w:val="18"/>
                <w:szCs w:val="18"/>
              </w:rPr>
            </w:pPr>
            <w:r>
              <w:t>0.377</w:t>
            </w:r>
          </w:p>
        </w:tc>
        <w:tc>
          <w:tcPr>
            <w:tcW w:w="861" w:type="pct"/>
            <w:tcBorders>
              <w:bottom w:val="nil"/>
            </w:tcBorders>
            <w:tcMar>
              <w:top w:w="150" w:type="dxa"/>
              <w:left w:w="240" w:type="dxa"/>
              <w:bottom w:w="150" w:type="dxa"/>
              <w:right w:w="240" w:type="dxa"/>
            </w:tcMar>
            <w:vAlign w:val="center"/>
            <w:hideMark/>
          </w:tcPr>
          <w:p w14:paraId="6A7A2041" w14:textId="77777777" w:rsidR="00265CF1" w:rsidRPr="00D71FF2" w:rsidRDefault="00265CF1" w:rsidP="005B70FA">
            <w:pPr>
              <w:jc w:val="right"/>
              <w:rPr>
                <w:rFonts w:ascii="Times New Roman" w:hAnsi="Times New Roman" w:cs="Times New Roman"/>
                <w:sz w:val="18"/>
                <w:szCs w:val="18"/>
              </w:rPr>
            </w:pPr>
            <w:r>
              <w:t>0.146</w:t>
            </w:r>
          </w:p>
        </w:tc>
        <w:tc>
          <w:tcPr>
            <w:tcW w:w="1103" w:type="pct"/>
            <w:tcBorders>
              <w:bottom w:val="nil"/>
            </w:tcBorders>
            <w:tcMar>
              <w:top w:w="150" w:type="dxa"/>
              <w:left w:w="240" w:type="dxa"/>
              <w:bottom w:w="150" w:type="dxa"/>
              <w:right w:w="0" w:type="dxa"/>
            </w:tcMar>
            <w:vAlign w:val="center"/>
            <w:hideMark/>
          </w:tcPr>
          <w:p w14:paraId="6A345CEA" w14:textId="77777777" w:rsidR="00265CF1" w:rsidRPr="00D71FF2" w:rsidRDefault="00265CF1" w:rsidP="005B70FA">
            <w:pPr>
              <w:jc w:val="right"/>
              <w:rPr>
                <w:rFonts w:ascii="Times New Roman" w:hAnsi="Times New Roman" w:cs="Times New Roman"/>
                <w:sz w:val="18"/>
                <w:szCs w:val="18"/>
              </w:rPr>
            </w:pPr>
            <w:r>
              <w:t>0.070</w:t>
            </w:r>
          </w:p>
        </w:tc>
      </w:tr>
      <w:tr w:rsidR="00265CF1" w:rsidRPr="00D71FF2" w14:paraId="75DD6E26" w14:textId="77777777" w:rsidTr="005B70FA">
        <w:tc>
          <w:tcPr>
            <w:tcW w:w="1338" w:type="pct"/>
            <w:tcBorders>
              <w:bottom w:val="nil"/>
            </w:tcBorders>
            <w:tcMar>
              <w:top w:w="150" w:type="dxa"/>
              <w:left w:w="0" w:type="dxa"/>
              <w:bottom w:w="150" w:type="dxa"/>
              <w:right w:w="240" w:type="dxa"/>
            </w:tcMar>
            <w:vAlign w:val="center"/>
            <w:hideMark/>
          </w:tcPr>
          <w:p w14:paraId="7FD8653E"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RF-Imputer</w:t>
            </w:r>
          </w:p>
        </w:tc>
        <w:tc>
          <w:tcPr>
            <w:tcW w:w="836" w:type="pct"/>
            <w:tcBorders>
              <w:bottom w:val="nil"/>
            </w:tcBorders>
            <w:tcMar>
              <w:top w:w="150" w:type="dxa"/>
              <w:left w:w="240" w:type="dxa"/>
              <w:bottom w:w="150" w:type="dxa"/>
              <w:right w:w="240" w:type="dxa"/>
            </w:tcMar>
            <w:vAlign w:val="center"/>
            <w:hideMark/>
          </w:tcPr>
          <w:p w14:paraId="2BB1065E" w14:textId="77777777" w:rsidR="00265CF1" w:rsidRPr="00D71FF2" w:rsidRDefault="00265CF1" w:rsidP="005B70FA">
            <w:pPr>
              <w:jc w:val="right"/>
              <w:rPr>
                <w:rFonts w:ascii="Times New Roman" w:hAnsi="Times New Roman" w:cs="Times New Roman"/>
                <w:sz w:val="18"/>
                <w:szCs w:val="18"/>
              </w:rPr>
            </w:pPr>
            <w:r>
              <w:t>0.777</w:t>
            </w:r>
          </w:p>
        </w:tc>
        <w:tc>
          <w:tcPr>
            <w:tcW w:w="863" w:type="pct"/>
            <w:tcBorders>
              <w:bottom w:val="nil"/>
            </w:tcBorders>
            <w:tcMar>
              <w:top w:w="150" w:type="dxa"/>
              <w:left w:w="240" w:type="dxa"/>
              <w:bottom w:w="150" w:type="dxa"/>
              <w:right w:w="240" w:type="dxa"/>
            </w:tcMar>
            <w:vAlign w:val="center"/>
            <w:hideMark/>
          </w:tcPr>
          <w:p w14:paraId="414E0DF4" w14:textId="77777777" w:rsidR="00265CF1" w:rsidRPr="00D71FF2" w:rsidRDefault="00265CF1" w:rsidP="005B70FA">
            <w:pPr>
              <w:jc w:val="right"/>
              <w:rPr>
                <w:rFonts w:ascii="Times New Roman" w:hAnsi="Times New Roman" w:cs="Times New Roman"/>
                <w:sz w:val="18"/>
                <w:szCs w:val="18"/>
              </w:rPr>
            </w:pPr>
            <w:r>
              <w:t>0.759</w:t>
            </w:r>
          </w:p>
        </w:tc>
        <w:tc>
          <w:tcPr>
            <w:tcW w:w="861" w:type="pct"/>
            <w:tcBorders>
              <w:bottom w:val="nil"/>
            </w:tcBorders>
            <w:tcMar>
              <w:top w:w="150" w:type="dxa"/>
              <w:left w:w="240" w:type="dxa"/>
              <w:bottom w:w="150" w:type="dxa"/>
              <w:right w:w="240" w:type="dxa"/>
            </w:tcMar>
            <w:vAlign w:val="center"/>
            <w:hideMark/>
          </w:tcPr>
          <w:p w14:paraId="6A7A2041" w14:textId="77777777" w:rsidR="00265CF1" w:rsidRPr="00D71FF2" w:rsidRDefault="00265CF1" w:rsidP="005B70FA">
            <w:pPr>
              <w:jc w:val="right"/>
              <w:rPr>
                <w:rFonts w:ascii="Times New Roman" w:hAnsi="Times New Roman" w:cs="Times New Roman"/>
                <w:sz w:val="18"/>
                <w:szCs w:val="18"/>
              </w:rPr>
            </w:pPr>
            <w:r>
              <w:t>0.623</w:t>
            </w:r>
          </w:p>
        </w:tc>
        <w:tc>
          <w:tcPr>
            <w:tcW w:w="1103" w:type="pct"/>
            <w:tcBorders>
              <w:bottom w:val="nil"/>
            </w:tcBorders>
            <w:tcMar>
              <w:top w:w="150" w:type="dxa"/>
              <w:left w:w="240" w:type="dxa"/>
              <w:bottom w:w="150" w:type="dxa"/>
              <w:right w:w="0" w:type="dxa"/>
            </w:tcMar>
            <w:vAlign w:val="center"/>
            <w:hideMark/>
          </w:tcPr>
          <w:p w14:paraId="6A345CEA" w14:textId="77777777" w:rsidR="00265CF1" w:rsidRPr="00D71FF2" w:rsidRDefault="00265CF1" w:rsidP="005B70FA">
            <w:pPr>
              <w:jc w:val="right"/>
              <w:rPr>
                <w:rFonts w:ascii="Times New Roman" w:hAnsi="Times New Roman" w:cs="Times New Roman"/>
                <w:sz w:val="18"/>
                <w:szCs w:val="18"/>
              </w:rPr>
            </w:pPr>
            <w:r>
              <w:t>0.025</w:t>
            </w:r>
          </w:p>
        </w:tc>
      </w:tr>
      <w:tr w:rsidR="00265CF1" w:rsidRPr="00D71FF2" w14:paraId="1C941AD9" w14:textId="77777777" w:rsidTr="005B70FA">
        <w:tc>
          <w:tcPr>
            <w:tcW w:w="1338" w:type="pct"/>
            <w:tcBorders>
              <w:top w:val="nil"/>
              <w:bottom w:val="single" w:sz="8" w:space="0" w:color="auto"/>
            </w:tcBorders>
            <w:tcMar>
              <w:top w:w="150" w:type="dxa"/>
              <w:left w:w="0" w:type="dxa"/>
              <w:bottom w:w="150" w:type="dxa"/>
              <w:right w:w="240" w:type="dxa"/>
            </w:tcMar>
            <w:vAlign w:val="center"/>
            <w:hideMark/>
          </w:tcPr>
          <w:p w14:paraId="4AD78C4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b/>
                <w:bCs/>
                <w:sz w:val="18"/>
                <w:szCs w:val="18"/>
              </w:rPr>
              <w:t>Proposed framework</w:t>
            </w:r>
          </w:p>
        </w:tc>
        <w:tc>
          <w:tcPr>
            <w:tcW w:w="836" w:type="pct"/>
            <w:tcBorders>
              <w:top w:val="nil"/>
              <w:bottom w:val="single" w:sz="8" w:space="0" w:color="auto"/>
            </w:tcBorders>
            <w:tcMar>
              <w:top w:w="150" w:type="dxa"/>
              <w:left w:w="240" w:type="dxa"/>
              <w:bottom w:w="150" w:type="dxa"/>
              <w:right w:w="240" w:type="dxa"/>
            </w:tcMar>
            <w:vAlign w:val="center"/>
            <w:hideMark/>
          </w:tcPr>
          <w:p w14:paraId="4A2D9653" w14:textId="77777777" w:rsidR="00265CF1" w:rsidRPr="00D71FF2" w:rsidRDefault="00265CF1" w:rsidP="005B70FA">
            <w:pPr>
              <w:jc w:val="right"/>
              <w:rPr>
                <w:rFonts w:ascii="Times New Roman" w:hAnsi="Times New Roman" w:cs="Times New Roman"/>
                <w:sz w:val="18"/>
                <w:szCs w:val="18"/>
              </w:rPr>
            </w:pPr>
            <w:r>
              <w:t>0.786</w:t>
            </w:r>
          </w:p>
        </w:tc>
        <w:tc>
          <w:tcPr>
            <w:tcW w:w="863" w:type="pct"/>
            <w:tcBorders>
              <w:top w:val="nil"/>
              <w:bottom w:val="single" w:sz="8" w:space="0" w:color="auto"/>
            </w:tcBorders>
            <w:tcMar>
              <w:top w:w="150" w:type="dxa"/>
              <w:left w:w="240" w:type="dxa"/>
              <w:bottom w:w="150" w:type="dxa"/>
              <w:right w:w="240" w:type="dxa"/>
            </w:tcMar>
            <w:vAlign w:val="center"/>
            <w:hideMark/>
          </w:tcPr>
          <w:p w14:paraId="51ECC4C5" w14:textId="77777777" w:rsidR="00265CF1" w:rsidRPr="00D71FF2" w:rsidRDefault="00265CF1" w:rsidP="005B70FA">
            <w:pPr>
              <w:jc w:val="right"/>
              <w:rPr>
                <w:rFonts w:ascii="Times New Roman" w:hAnsi="Times New Roman" w:cs="Times New Roman"/>
                <w:sz w:val="18"/>
                <w:szCs w:val="18"/>
              </w:rPr>
            </w:pPr>
            <w:r>
              <w:t>0.770</w:t>
            </w:r>
          </w:p>
        </w:tc>
        <w:tc>
          <w:tcPr>
            <w:tcW w:w="861" w:type="pct"/>
            <w:tcBorders>
              <w:top w:val="nil"/>
              <w:bottom w:val="single" w:sz="8" w:space="0" w:color="auto"/>
            </w:tcBorders>
            <w:tcMar>
              <w:top w:w="150" w:type="dxa"/>
              <w:left w:w="240" w:type="dxa"/>
              <w:bottom w:w="150" w:type="dxa"/>
              <w:right w:w="240" w:type="dxa"/>
            </w:tcMar>
            <w:vAlign w:val="center"/>
            <w:hideMark/>
          </w:tcPr>
          <w:p w14:paraId="03459283" w14:textId="77777777" w:rsidR="00265CF1" w:rsidRPr="00D71FF2" w:rsidRDefault="00265CF1" w:rsidP="005B70FA">
            <w:pPr>
              <w:jc w:val="right"/>
              <w:rPr>
                <w:rFonts w:ascii="Times New Roman" w:hAnsi="Times New Roman" w:cs="Times New Roman"/>
                <w:sz w:val="18"/>
                <w:szCs w:val="18"/>
              </w:rPr>
            </w:pPr>
            <w:r>
              <w:t>0.638</w:t>
            </w:r>
          </w:p>
        </w:tc>
        <w:tc>
          <w:tcPr>
            <w:tcW w:w="1103" w:type="pct"/>
            <w:tcBorders>
              <w:top w:val="nil"/>
              <w:bottom w:val="single" w:sz="8" w:space="0" w:color="auto"/>
            </w:tcBorders>
            <w:tcMar>
              <w:top w:w="150" w:type="dxa"/>
              <w:left w:w="240" w:type="dxa"/>
              <w:bottom w:w="150" w:type="dxa"/>
              <w:right w:w="0" w:type="dxa"/>
            </w:tcMar>
            <w:vAlign w:val="center"/>
            <w:hideMark/>
          </w:tcPr>
          <w:p w14:paraId="1F125002" w14:textId="77777777" w:rsidR="00265CF1" w:rsidRPr="00D71FF2" w:rsidRDefault="00265CF1" w:rsidP="005B70FA">
            <w:pPr>
              <w:jc w:val="right"/>
              <w:rPr>
                <w:rFonts w:ascii="Times New Roman" w:hAnsi="Times New Roman" w:cs="Times New Roman"/>
                <w:sz w:val="18"/>
                <w:szCs w:val="18"/>
              </w:rPr>
            </w:pPr>
            <w:r>
              <w:t>0.023</w:t>
            </w:r>
          </w:p>
        </w:tc>
      </w:tr>
    </w:tbl>
    <w:p w14:paraId="78D6B133" w14:textId="53C46609" w:rsidR="00265CF1" w:rsidRPr="00D71FF2" w:rsidRDefault="00265CF1" w:rsidP="00265CF1">
      <w:pPr>
        <w:rPr>
          <w:rFonts w:ascii="Times New Roman" w:hAnsi="Times New Roman" w:cs="Times New Roman"/>
          <w:i/>
          <w:iCs/>
        </w:rPr>
      </w:pPr>
      <w:r w:rsidRPr="00D71FF2">
        <w:rPr>
          <w:rFonts w:ascii="Times New Roman" w:hAnsi="Times New Roman" w:cs="Times New Roman"/>
          <w:i/>
          <w:iCs/>
        </w:rPr>
        <w:t>JS: Jensen–Shannon. 95% confidence intervals from bootstrap resampling (n = 2,000) are reported in text.</w:t>
      </w:r>
    </w:p>
    <w:p w14:paraId="6F5BA5FD" w14:textId="24EE16BC"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4. </w:t>
      </w:r>
      <w:r w:rsidRPr="00D71FF2">
        <w:rPr>
          <w:rFonts w:ascii="Times New Roman" w:hAnsi="Times New Roman" w:cs="Times New Roman"/>
        </w:rPr>
        <w:t xml:space="preserve">Category-Specific </w:t>
      </w:r>
      <w:r w:rsidR="00876511" w:rsidRPr="00D71FF2">
        <w:rPr>
          <w:rFonts w:ascii="Times New Roman" w:hAnsi="Times New Roman" w:cs="Times New Roman"/>
        </w:rPr>
        <w:t xml:space="preserve">Inference </w:t>
      </w:r>
      <w:r w:rsidRPr="00D71FF2">
        <w:rPr>
          <w:rFonts w:ascii="Times New Roman" w:hAnsi="Times New Roman" w:cs="Times New Roman"/>
        </w:rPr>
        <w:t>Accuracy (30% Missing Rate)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111"/>
        <w:gridCol w:w="1369"/>
        <w:gridCol w:w="1206"/>
        <w:gridCol w:w="1010"/>
        <w:gridCol w:w="927"/>
        <w:gridCol w:w="1450"/>
        <w:gridCol w:w="1233"/>
      </w:tblGrid>
      <w:tr w:rsidR="00A36456" w:rsidRPr="00D71FF2" w14:paraId="05976AB6" w14:textId="77777777" w:rsidTr="00A36456">
        <w:trPr>
          <w:tblHeader/>
        </w:trPr>
        <w:tc>
          <w:tcPr>
            <w:tcW w:w="669" w:type="pct"/>
            <w:tcBorders>
              <w:top w:val="single" w:sz="8" w:space="0" w:color="auto"/>
              <w:bottom w:val="single" w:sz="4" w:space="0" w:color="auto"/>
            </w:tcBorders>
            <w:tcMar>
              <w:top w:w="150" w:type="dxa"/>
              <w:left w:w="0" w:type="dxa"/>
              <w:bottom w:w="150" w:type="dxa"/>
              <w:right w:w="240" w:type="dxa"/>
            </w:tcMar>
            <w:vAlign w:val="center"/>
            <w:hideMark/>
          </w:tcPr>
          <w:p w14:paraId="29FBD9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Category</w:t>
            </w:r>
          </w:p>
        </w:tc>
        <w:tc>
          <w:tcPr>
            <w:tcW w:w="824" w:type="pct"/>
            <w:tcBorders>
              <w:top w:val="single" w:sz="8" w:space="0" w:color="auto"/>
              <w:bottom w:val="single" w:sz="4" w:space="0" w:color="auto"/>
            </w:tcBorders>
            <w:tcMar>
              <w:top w:w="150" w:type="dxa"/>
              <w:left w:w="240" w:type="dxa"/>
              <w:bottom w:w="150" w:type="dxa"/>
              <w:right w:w="240" w:type="dxa"/>
            </w:tcMar>
            <w:vAlign w:val="center"/>
            <w:hideMark/>
          </w:tcPr>
          <w:p w14:paraId="3DD55C1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 (masked)</w:t>
            </w:r>
          </w:p>
        </w:tc>
        <w:tc>
          <w:tcPr>
            <w:tcW w:w="726" w:type="pct"/>
            <w:tcBorders>
              <w:top w:val="single" w:sz="8" w:space="0" w:color="auto"/>
              <w:bottom w:val="single" w:sz="4" w:space="0" w:color="auto"/>
            </w:tcBorders>
            <w:tcMar>
              <w:top w:w="150" w:type="dxa"/>
              <w:left w:w="240" w:type="dxa"/>
              <w:bottom w:w="150" w:type="dxa"/>
              <w:right w:w="240" w:type="dxa"/>
            </w:tcMar>
            <w:vAlign w:val="center"/>
            <w:hideMark/>
          </w:tcPr>
          <w:p w14:paraId="3D3A0FA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Majority</w:t>
            </w:r>
          </w:p>
        </w:tc>
        <w:tc>
          <w:tcPr>
            <w:tcW w:w="608" w:type="pct"/>
            <w:tcBorders>
              <w:top w:val="single" w:sz="8" w:space="0" w:color="auto"/>
              <w:bottom w:val="single" w:sz="4" w:space="0" w:color="auto"/>
            </w:tcBorders>
            <w:tcMar>
              <w:top w:w="150" w:type="dxa"/>
              <w:left w:w="240" w:type="dxa"/>
              <w:bottom w:w="150" w:type="dxa"/>
              <w:right w:w="240" w:type="dxa"/>
            </w:tcMar>
            <w:vAlign w:val="center"/>
            <w:hideMark/>
          </w:tcPr>
          <w:p w14:paraId="77786AB0"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MICE</w:t>
            </w:r>
          </w:p>
        </w:tc>
        <w:tc>
          <w:tcPr>
            <w:tcW w:w="558" w:type="pct"/>
            <w:tcBorders>
              <w:top w:val="single" w:sz="8" w:space="0" w:color="auto"/>
              <w:bottom w:val="single" w:sz="4" w:space="0" w:color="auto"/>
            </w:tcBorders>
            <w:tcMar>
              <w:top w:w="150" w:type="dxa"/>
              <w:left w:w="240" w:type="dxa"/>
              <w:bottom w:w="150" w:type="dxa"/>
              <w:right w:w="240" w:type="dxa"/>
            </w:tcMar>
            <w:vAlign w:val="center"/>
            <w:hideMark/>
          </w:tcPr>
          <w:p w14:paraId="61A1D20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KNN</w:t>
            </w:r>
          </w:p>
        </w:tc>
        <w:tc>
          <w:tcPr>
            <w:tcW w:w="873" w:type="pct"/>
            <w:tcBorders>
              <w:top w:val="single" w:sz="8" w:space="0" w:color="auto"/>
              <w:bottom w:val="single" w:sz="4" w:space="0" w:color="auto"/>
            </w:tcBorders>
            <w:tcMar>
              <w:top w:w="150" w:type="dxa"/>
              <w:left w:w="240" w:type="dxa"/>
              <w:bottom w:w="150" w:type="dxa"/>
              <w:right w:w="240" w:type="dxa"/>
            </w:tcMar>
            <w:vAlign w:val="center"/>
            <w:hideMark/>
          </w:tcPr>
          <w:p w14:paraId="18034C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RF-Imputer</w:t>
            </w:r>
          </w:p>
        </w:tc>
        <w:tc>
          <w:tcPr>
            <w:tcW w:w="742" w:type="pct"/>
            <w:tcBorders>
              <w:top w:val="single" w:sz="8" w:space="0" w:color="auto"/>
              <w:bottom w:val="single" w:sz="4" w:space="0" w:color="auto"/>
            </w:tcBorders>
            <w:tcMar>
              <w:top w:w="150" w:type="dxa"/>
              <w:left w:w="240" w:type="dxa"/>
              <w:bottom w:w="150" w:type="dxa"/>
              <w:right w:w="240" w:type="dxa"/>
            </w:tcMar>
            <w:vAlign w:val="center"/>
            <w:hideMark/>
          </w:tcPr>
          <w:p w14:paraId="519CC0A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Proposed</w:t>
            </w:r>
          </w:p>
        </w:tc>
      </w:tr>
      <w:tr w:rsidR="00A36456" w:rsidRPr="00D71FF2" w14:paraId="187CC337" w14:textId="77777777" w:rsidTr="00A36456">
        <w:tc>
          <w:tcPr>
            <w:tcW w:w="669" w:type="pct"/>
            <w:tcBorders>
              <w:top w:val="single" w:sz="4" w:space="0" w:color="auto"/>
            </w:tcBorders>
            <w:tcMar>
              <w:top w:w="150" w:type="dxa"/>
              <w:left w:w="0" w:type="dxa"/>
              <w:bottom w:w="150" w:type="dxa"/>
              <w:right w:w="240" w:type="dxa"/>
            </w:tcMar>
            <w:vAlign w:val="center"/>
            <w:hideMark/>
          </w:tcPr>
          <w:p w14:paraId="1CE589C2"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Rural</w:t>
            </w:r>
          </w:p>
        </w:tc>
        <w:tc>
          <w:tcPr>
            <w:tcW w:w="824" w:type="pct"/>
            <w:tcBorders>
              <w:top w:val="single" w:sz="4" w:space="0" w:color="auto"/>
            </w:tcBorders>
            <w:tcMar>
              <w:top w:w="150" w:type="dxa"/>
              <w:left w:w="240" w:type="dxa"/>
              <w:bottom w:w="150" w:type="dxa"/>
              <w:right w:w="240" w:type="dxa"/>
            </w:tcMar>
            <w:vAlign w:val="center"/>
            <w:hideMark/>
          </w:tcPr>
          <w:p w14:paraId="2CE28F73" w14:textId="77777777" w:rsidR="00265CF1" w:rsidRPr="00D71FF2" w:rsidRDefault="00265CF1" w:rsidP="00A36456">
            <w:pPr>
              <w:jc w:val="right"/>
              <w:rPr>
                <w:rFonts w:ascii="Times New Roman" w:hAnsi="Times New Roman" w:cs="Times New Roman"/>
                <w:sz w:val="18"/>
                <w:szCs w:val="18"/>
              </w:rPr>
            </w:pPr>
            <w:r>
              <w:t>3,150</w:t>
            </w:r>
          </w:p>
        </w:tc>
        <w:tc>
          <w:tcPr>
            <w:tcW w:w="726" w:type="pct"/>
            <w:tcBorders>
              <w:top w:val="single" w:sz="4" w:space="0" w:color="auto"/>
            </w:tcBorders>
            <w:tcMar>
              <w:top w:w="150" w:type="dxa"/>
              <w:left w:w="240" w:type="dxa"/>
              <w:bottom w:w="150" w:type="dxa"/>
              <w:right w:w="240" w:type="dxa"/>
            </w:tcMar>
            <w:vAlign w:val="center"/>
            <w:hideMark/>
          </w:tcPr>
          <w:p w14:paraId="0AA5FC8E" w14:textId="77777777" w:rsidR="00265CF1" w:rsidRPr="00D71FF2" w:rsidRDefault="00265CF1" w:rsidP="00A36456">
            <w:pPr>
              <w:jc w:val="right"/>
              <w:rPr>
                <w:rFonts w:ascii="Times New Roman" w:hAnsi="Times New Roman" w:cs="Times New Roman"/>
                <w:sz w:val="18"/>
                <w:szCs w:val="18"/>
              </w:rPr>
            </w:pPr>
            <w:r>
              <w:t>1.000</w:t>
            </w:r>
          </w:p>
        </w:tc>
        <w:tc>
          <w:tcPr>
            <w:tcW w:w="608" w:type="pct"/>
            <w:tcBorders>
              <w:top w:val="single" w:sz="4" w:space="0" w:color="auto"/>
            </w:tcBorders>
            <w:tcMar>
              <w:top w:w="150" w:type="dxa"/>
              <w:left w:w="240" w:type="dxa"/>
              <w:bottom w:w="150" w:type="dxa"/>
              <w:right w:w="240" w:type="dxa"/>
            </w:tcMar>
            <w:vAlign w:val="center"/>
            <w:hideMark/>
          </w:tcPr>
          <w:p w14:paraId="1CD69BE5" w14:textId="77777777" w:rsidR="00265CF1" w:rsidRPr="00D71FF2" w:rsidRDefault="00265CF1" w:rsidP="00A36456">
            <w:pPr>
              <w:jc w:val="right"/>
              <w:rPr>
                <w:rFonts w:ascii="Times New Roman" w:hAnsi="Times New Roman" w:cs="Times New Roman"/>
                <w:sz w:val="18"/>
                <w:szCs w:val="18"/>
              </w:rPr>
            </w:pPr>
            <w:r>
              <w:t>0.765</w:t>
            </w:r>
          </w:p>
        </w:tc>
        <w:tc>
          <w:tcPr>
            <w:tcW w:w="558" w:type="pct"/>
            <w:tcBorders>
              <w:top w:val="single" w:sz="4" w:space="0" w:color="auto"/>
            </w:tcBorders>
            <w:tcMar>
              <w:top w:w="150" w:type="dxa"/>
              <w:left w:w="240" w:type="dxa"/>
              <w:bottom w:w="150" w:type="dxa"/>
              <w:right w:w="240" w:type="dxa"/>
            </w:tcMar>
            <w:vAlign w:val="center"/>
            <w:hideMark/>
          </w:tcPr>
          <w:p w14:paraId="70275E87" w14:textId="77777777" w:rsidR="00265CF1" w:rsidRPr="00D71FF2" w:rsidRDefault="00265CF1" w:rsidP="00A36456">
            <w:pPr>
              <w:jc w:val="right"/>
              <w:rPr>
                <w:rFonts w:ascii="Times New Roman" w:hAnsi="Times New Roman" w:cs="Times New Roman"/>
                <w:sz w:val="18"/>
                <w:szCs w:val="18"/>
              </w:rPr>
            </w:pPr>
            <w:r>
              <w:t>0.782</w:t>
            </w:r>
          </w:p>
        </w:tc>
        <w:tc>
          <w:tcPr>
            <w:tcW w:w="873" w:type="pct"/>
            <w:tcBorders>
              <w:top w:val="single" w:sz="4" w:space="0" w:color="auto"/>
            </w:tcBorders>
            <w:tcMar>
              <w:top w:w="150" w:type="dxa"/>
              <w:left w:w="240" w:type="dxa"/>
              <w:bottom w:w="150" w:type="dxa"/>
              <w:right w:w="240" w:type="dxa"/>
            </w:tcMar>
            <w:vAlign w:val="center"/>
            <w:hideMark/>
          </w:tcPr>
          <w:p w14:paraId="3162660B" w14:textId="77777777" w:rsidR="00265CF1" w:rsidRPr="00D71FF2" w:rsidRDefault="00265CF1" w:rsidP="00A36456">
            <w:pPr>
              <w:jc w:val="right"/>
              <w:rPr>
                <w:rFonts w:ascii="Times New Roman" w:hAnsi="Times New Roman" w:cs="Times New Roman"/>
                <w:sz w:val="18"/>
                <w:szCs w:val="18"/>
              </w:rPr>
            </w:pPr>
            <w:r>
              <w:t>0.876</w:t>
            </w:r>
          </w:p>
        </w:tc>
        <w:tc>
          <w:tcPr>
            <w:tcW w:w="742" w:type="pct"/>
            <w:tcBorders>
              <w:top w:val="single" w:sz="4" w:space="0" w:color="auto"/>
            </w:tcBorders>
            <w:tcMar>
              <w:top w:w="150" w:type="dxa"/>
              <w:left w:w="240" w:type="dxa"/>
              <w:bottom w:w="150" w:type="dxa"/>
              <w:right w:w="0" w:type="dxa"/>
            </w:tcMar>
            <w:vAlign w:val="center"/>
            <w:hideMark/>
          </w:tcPr>
          <w:p w14:paraId="26F1775C" w14:textId="77777777" w:rsidR="00265CF1" w:rsidRPr="00D71FF2" w:rsidRDefault="00265CF1" w:rsidP="00A36456">
            <w:pPr>
              <w:jc w:val="right"/>
              <w:rPr>
                <w:rFonts w:ascii="Times New Roman" w:hAnsi="Times New Roman" w:cs="Times New Roman"/>
                <w:sz w:val="18"/>
                <w:szCs w:val="18"/>
              </w:rPr>
            </w:pPr>
            <w:r>
              <w:t>0.879</w:t>
            </w:r>
          </w:p>
        </w:tc>
      </w:tr>
      <w:tr w:rsidR="00A36456" w:rsidRPr="00D71FF2" w14:paraId="3766078C" w14:textId="77777777" w:rsidTr="00A36456">
        <w:tc>
          <w:tcPr>
            <w:tcW w:w="669" w:type="pct"/>
            <w:tcMar>
              <w:top w:w="150" w:type="dxa"/>
              <w:left w:w="0" w:type="dxa"/>
              <w:bottom w:w="150" w:type="dxa"/>
              <w:right w:w="240" w:type="dxa"/>
            </w:tcMar>
            <w:vAlign w:val="center"/>
            <w:hideMark/>
          </w:tcPr>
          <w:p w14:paraId="0559D0B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Transitional</w:t>
            </w:r>
          </w:p>
        </w:tc>
        <w:tc>
          <w:tcPr>
            <w:tcW w:w="824" w:type="pct"/>
            <w:tcMar>
              <w:top w:w="150" w:type="dxa"/>
              <w:left w:w="240" w:type="dxa"/>
              <w:bottom w:w="150" w:type="dxa"/>
              <w:right w:w="240" w:type="dxa"/>
            </w:tcMar>
            <w:vAlign w:val="center"/>
            <w:hideMark/>
          </w:tcPr>
          <w:p w14:paraId="61A833F3" w14:textId="77777777" w:rsidR="00265CF1" w:rsidRPr="00D71FF2" w:rsidRDefault="00265CF1" w:rsidP="00A36456">
            <w:pPr>
              <w:jc w:val="right"/>
              <w:rPr>
                <w:rFonts w:ascii="Times New Roman" w:hAnsi="Times New Roman" w:cs="Times New Roman"/>
                <w:sz w:val="18"/>
                <w:szCs w:val="18"/>
              </w:rPr>
            </w:pPr>
            <w:r>
              <w:t>1,364</w:t>
            </w:r>
          </w:p>
        </w:tc>
        <w:tc>
          <w:tcPr>
            <w:tcW w:w="726" w:type="pct"/>
            <w:tcMar>
              <w:top w:w="150" w:type="dxa"/>
              <w:left w:w="240" w:type="dxa"/>
              <w:bottom w:w="150" w:type="dxa"/>
              <w:right w:w="240" w:type="dxa"/>
            </w:tcMar>
            <w:vAlign w:val="center"/>
            <w:hideMark/>
          </w:tcPr>
          <w:p w14:paraId="0CDDD1B7"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4C30431" w14:textId="77777777" w:rsidR="00265CF1" w:rsidRPr="00D71FF2" w:rsidRDefault="00265CF1" w:rsidP="00A36456">
            <w:pPr>
              <w:jc w:val="right"/>
              <w:rPr>
                <w:rFonts w:ascii="Times New Roman" w:hAnsi="Times New Roman" w:cs="Times New Roman"/>
                <w:sz w:val="18"/>
                <w:szCs w:val="18"/>
              </w:rPr>
            </w:pPr>
            <w:r>
              <w:t>0.868</w:t>
            </w:r>
          </w:p>
        </w:tc>
        <w:tc>
          <w:tcPr>
            <w:tcW w:w="558" w:type="pct"/>
            <w:tcMar>
              <w:top w:w="150" w:type="dxa"/>
              <w:left w:w="240" w:type="dxa"/>
              <w:bottom w:w="150" w:type="dxa"/>
              <w:right w:w="240" w:type="dxa"/>
            </w:tcMar>
            <w:vAlign w:val="center"/>
            <w:hideMark/>
          </w:tcPr>
          <w:p w14:paraId="388493CF" w14:textId="77777777" w:rsidR="00265CF1" w:rsidRPr="00D71FF2" w:rsidRDefault="00265CF1" w:rsidP="00A36456">
            <w:pPr>
              <w:jc w:val="right"/>
              <w:rPr>
                <w:rFonts w:ascii="Times New Roman" w:hAnsi="Times New Roman" w:cs="Times New Roman"/>
                <w:sz w:val="18"/>
                <w:szCs w:val="18"/>
              </w:rPr>
            </w:pPr>
            <w:r>
              <w:t>0.932</w:t>
            </w:r>
          </w:p>
        </w:tc>
        <w:tc>
          <w:tcPr>
            <w:tcW w:w="873" w:type="pct"/>
            <w:tcMar>
              <w:top w:w="150" w:type="dxa"/>
              <w:left w:w="240" w:type="dxa"/>
              <w:bottom w:w="150" w:type="dxa"/>
              <w:right w:w="240" w:type="dxa"/>
            </w:tcMar>
            <w:vAlign w:val="center"/>
            <w:hideMark/>
          </w:tcPr>
          <w:p w14:paraId="51273507" w14:textId="77777777" w:rsidR="00265CF1" w:rsidRPr="00D71FF2" w:rsidRDefault="00265CF1" w:rsidP="00A36456">
            <w:pPr>
              <w:jc w:val="right"/>
              <w:rPr>
                <w:rFonts w:ascii="Times New Roman" w:hAnsi="Times New Roman" w:cs="Times New Roman"/>
                <w:sz w:val="18"/>
                <w:szCs w:val="18"/>
              </w:rPr>
            </w:pPr>
            <w:r>
              <w:t>1.000</w:t>
            </w:r>
          </w:p>
        </w:tc>
        <w:tc>
          <w:tcPr>
            <w:tcW w:w="742" w:type="pct"/>
            <w:tcMar>
              <w:top w:w="150" w:type="dxa"/>
              <w:left w:w="240" w:type="dxa"/>
              <w:bottom w:w="150" w:type="dxa"/>
              <w:right w:w="0" w:type="dxa"/>
            </w:tcMar>
            <w:vAlign w:val="center"/>
            <w:hideMark/>
          </w:tcPr>
          <w:p w14:paraId="682A3CA9" w14:textId="77777777" w:rsidR="00265CF1" w:rsidRPr="00D71FF2" w:rsidRDefault="00265CF1" w:rsidP="00A36456">
            <w:pPr>
              <w:jc w:val="right"/>
              <w:rPr>
                <w:rFonts w:ascii="Times New Roman" w:hAnsi="Times New Roman" w:cs="Times New Roman"/>
                <w:sz w:val="18"/>
                <w:szCs w:val="18"/>
              </w:rPr>
            </w:pPr>
            <w:r>
              <w:t>0.993</w:t>
            </w:r>
          </w:p>
        </w:tc>
      </w:tr>
      <w:tr w:rsidR="00A36456" w:rsidRPr="00D71FF2" w14:paraId="66A2968B" w14:textId="77777777" w:rsidTr="00A36456">
        <w:tc>
          <w:tcPr>
            <w:tcW w:w="669" w:type="pct"/>
            <w:tcMar>
              <w:top w:w="150" w:type="dxa"/>
              <w:left w:w="0" w:type="dxa"/>
              <w:bottom w:w="150" w:type="dxa"/>
              <w:right w:w="240" w:type="dxa"/>
            </w:tcMar>
            <w:vAlign w:val="center"/>
            <w:hideMark/>
          </w:tcPr>
          <w:p w14:paraId="603C4BC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Urban</w:t>
            </w:r>
          </w:p>
        </w:tc>
        <w:tc>
          <w:tcPr>
            <w:tcW w:w="824" w:type="pct"/>
            <w:tcMar>
              <w:top w:w="150" w:type="dxa"/>
              <w:left w:w="240" w:type="dxa"/>
              <w:bottom w:w="150" w:type="dxa"/>
              <w:right w:w="240" w:type="dxa"/>
            </w:tcMar>
            <w:vAlign w:val="center"/>
            <w:hideMark/>
          </w:tcPr>
          <w:p w14:paraId="04338A1B" w14:textId="77777777" w:rsidR="00265CF1" w:rsidRPr="00D71FF2" w:rsidRDefault="00265CF1" w:rsidP="00A36456">
            <w:pPr>
              <w:jc w:val="right"/>
              <w:rPr>
                <w:rFonts w:ascii="Times New Roman" w:hAnsi="Times New Roman" w:cs="Times New Roman"/>
                <w:sz w:val="18"/>
                <w:szCs w:val="18"/>
              </w:rPr>
            </w:pPr>
            <w:r>
              <w:t>1,586</w:t>
            </w:r>
          </w:p>
        </w:tc>
        <w:tc>
          <w:tcPr>
            <w:tcW w:w="726" w:type="pct"/>
            <w:tcMar>
              <w:top w:w="150" w:type="dxa"/>
              <w:left w:w="240" w:type="dxa"/>
              <w:bottom w:w="150" w:type="dxa"/>
              <w:right w:w="240" w:type="dxa"/>
            </w:tcMar>
            <w:vAlign w:val="center"/>
            <w:hideMark/>
          </w:tcPr>
          <w:p w14:paraId="4845D080"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95C9C29" w14:textId="77777777" w:rsidR="00265CF1" w:rsidRPr="00D71FF2" w:rsidRDefault="00265CF1" w:rsidP="00A36456">
            <w:pPr>
              <w:jc w:val="right"/>
              <w:rPr>
                <w:rFonts w:ascii="Times New Roman" w:hAnsi="Times New Roman" w:cs="Times New Roman"/>
                <w:sz w:val="18"/>
                <w:szCs w:val="18"/>
              </w:rPr>
            </w:pPr>
            <w:r>
              <w:t>0.323</w:t>
            </w:r>
          </w:p>
        </w:tc>
        <w:tc>
          <w:tcPr>
            <w:tcW w:w="558" w:type="pct"/>
            <w:tcMar>
              <w:top w:w="150" w:type="dxa"/>
              <w:left w:w="240" w:type="dxa"/>
              <w:bottom w:w="150" w:type="dxa"/>
              <w:right w:w="240" w:type="dxa"/>
            </w:tcMar>
            <w:vAlign w:val="center"/>
            <w:hideMark/>
          </w:tcPr>
          <w:p w14:paraId="30DFACAF" w14:textId="77777777" w:rsidR="00265CF1" w:rsidRPr="00D71FF2" w:rsidRDefault="00265CF1" w:rsidP="00A36456">
            <w:pPr>
              <w:jc w:val="right"/>
              <w:rPr>
                <w:rFonts w:ascii="Times New Roman" w:hAnsi="Times New Roman" w:cs="Times New Roman"/>
                <w:sz w:val="18"/>
                <w:szCs w:val="18"/>
              </w:rPr>
            </w:pPr>
            <w:r>
              <w:t>0.417</w:t>
            </w:r>
          </w:p>
        </w:tc>
        <w:tc>
          <w:tcPr>
            <w:tcW w:w="873" w:type="pct"/>
            <w:tcMar>
              <w:top w:w="150" w:type="dxa"/>
              <w:left w:w="240" w:type="dxa"/>
              <w:bottom w:w="150" w:type="dxa"/>
              <w:right w:w="240" w:type="dxa"/>
            </w:tcMar>
            <w:vAlign w:val="center"/>
            <w:hideMark/>
          </w:tcPr>
          <w:p w14:paraId="0FF07C9C" w14:textId="77777777" w:rsidR="00265CF1" w:rsidRPr="00D71FF2" w:rsidRDefault="00265CF1" w:rsidP="00A36456">
            <w:pPr>
              <w:jc w:val="right"/>
              <w:rPr>
                <w:rFonts w:ascii="Times New Roman" w:hAnsi="Times New Roman" w:cs="Times New Roman"/>
                <w:sz w:val="18"/>
                <w:szCs w:val="18"/>
              </w:rPr>
            </w:pPr>
            <w:r>
              <w:t>0.388</w:t>
            </w:r>
          </w:p>
        </w:tc>
        <w:tc>
          <w:tcPr>
            <w:tcW w:w="742" w:type="pct"/>
            <w:tcMar>
              <w:top w:w="150" w:type="dxa"/>
              <w:left w:w="240" w:type="dxa"/>
              <w:bottom w:w="150" w:type="dxa"/>
              <w:right w:w="0" w:type="dxa"/>
            </w:tcMar>
            <w:vAlign w:val="center"/>
            <w:hideMark/>
          </w:tcPr>
          <w:p w14:paraId="17E927A5" w14:textId="77777777" w:rsidR="00265CF1" w:rsidRPr="00D71FF2" w:rsidRDefault="00265CF1" w:rsidP="00A36456">
            <w:pPr>
              <w:jc w:val="right"/>
              <w:rPr>
                <w:rFonts w:ascii="Times New Roman" w:hAnsi="Times New Roman" w:cs="Times New Roman"/>
                <w:sz w:val="18"/>
                <w:szCs w:val="18"/>
              </w:rPr>
            </w:pPr>
            <w:r>
              <w:t>0.421</w:t>
            </w:r>
          </w:p>
        </w:tc>
      </w:tr>
    </w:tbl>
    <w:p>
      <w:pPr>
        <w:spacing w:after="120"/>
      </w:pPr>
      <w:r>
        <w:t>The lower accuracy of the binary model (0.716) compared with the three-class model (0.786) is expected: the three-class model benefits from the Transitional category, which is partially defined by the same macronutrient features used for prediction. The binary task represents the more challenging administrative discrimination problem and is therefore the primary basis for evaluating the framework's practical utility.</w:t>
      </w:r>
    </w:p>
    <w:p>
      <w:pPr>
        <w:spacing w:after="120"/>
      </w:pPr>
      <w:r>
        <w:t>Category-specific performance under 30% simulated missingness showed high accuracy for Rural (0.879) and Transitional (0.993) observations, while Urban accuracy was lower (0.421) (Table 4). High Transitional accuracy reflects the explicit FatER-based definition of this stratum; lower Urban accuracy indicates substantial dietary heterogeneity among administratively urban participants and supports interpretation of Urban/Rural inference as a non-trivial statistical problem rather than deterministic classification.</w:t>
      </w:r>
    </w:p>
    <w:p>
      <w:pPr>
        <w:spacing w:after="120"/>
      </w:pPr>
      <w:r>
        <w:t>Probability threshold tuning. Because default argmax classification under-represents Urban labels, we evaluated lower decision thresholds on predicted Urban probability. At an Urban threshold of 0.35, masked-label Urban recall increased to 0.66 (overall accuracy 0.750); at 0.40, Urban recall was 0.58 with accuracy 0.766 and Rural recall 0.76 (Supplementary Table S8). This supports application-specific threshold selection rather than a single deterministic rule.</w:t>
      </w:r>
    </w:p>
    <w:p>
      <w:pPr>
        <w:spacing w:after="120"/>
      </w:pPr>
      <w:r>
        <w:t>Under the explicit mechanisms above, proposed accuracy was 0.786 (MCAR), 0.709 (MAR), and 0.779 (spatial rates). The larger drop under MAR indicates sensitivity when missingness tracks FatER—the same feature that enters prediction—reinforcing reporting of mechanism parameters rather than MCAR-only claims.</w:t>
      </w:r>
    </w:p>
    <w:p>
      <w:pPr>
        <w:spacing w:after="120"/>
      </w:pPr>
      <w:r>
        <w:t>Threshold fragility of the three-class descriptive labels. Varying the transitional FatER band changed three-class accuracy sharply: under the default band [0.23, 0.30] accuracy was 0.782, whereas widening to [0.25, 0.32] reduced accuracy to 0.679 (Supplementary Table S9). This instability shows that hard thresholds on a predictor used to define an outcome render multi-class accuracy an unreliable headline metric. Accordingly, primary conclusions rest on the binary T2 Rural/Urban task (masked accuracy 0.716; Supplementary Table S7).</w:t>
      </w:r>
    </w:p>
    <w:p>
      <w:pPr>
        <w:spacing w:after="120"/>
      </w:pPr>
      <w:r>
        <w:t>Supplementary analysis: Binary administrative classification. To evaluate performance on the primary inferential task, we fit a separate binary XGBoost model on non-transitional observations (Rural vs. Urban, n=15,790). Under 30% simulated missingness, binary accuracy was 0.716 and macro-F1 0.505. Although macro-F1 was limited by low Urban recall (0.419), weighted-F1 was 0.698, reflecting practical utility when Rural identification is prioritised. Rural recall was 0.872 and rural positive predictive value (NPV for Urban-as-positive coding) was 0.740, supporting use as a high-specificity screening tool for non-urban dietary patterns. Full binary metrics are reported in Supplementary Table S7.</w:t>
      </w:r>
    </w:p>
    <w:p>
      <w:pPr>
        <w:spacing w:after="120"/>
      </w:pPr>
      <w:r>
        <w:t>Urban classification accuracy was 0.421 under default three-class assignment. This is not a failure of the framework but rather reflects intrinsic heterogeneity of dietary patterns within administratively urban areas, where diets range from traditional to highly globalised. This finding establishes a practical boundary condition for inferring administrative residence from macronutrient data alone.</w:t>
      </w:r>
    </w:p>
    <w:p>
      <w:pPr>
        <w:spacing w:after="120"/>
      </w:pPr>
      <w:r>
        <w:t>Probability threshold tuning. Because default argmax classification under-represents Urban labels, we evaluated lower decision thresholds on predicted Urban probability. At an Urban threshold of 0.35, masked-label Urban recall increased to 0.66 (overall accuracy 0.750); at 0.40, Urban recall was 0.58 with accuracy 0.766 and Rural recall 0.76 (Supplementary Table S8). This supports application-specific threshold selection rather than a single deterministic rule.</w:t>
      </w:r>
    </w:p>
    <w:p w14:paraId="067635C8" w14:textId="62ACB511" w:rsidR="00265CF1" w:rsidRPr="00D71FF2" w:rsidRDefault="00140DA9" w:rsidP="00A36456">
      <w:pPr>
        <w:pStyle w:val="3"/>
      </w:pPr>
      <w:r w:rsidRPr="00D71FF2">
        <w:t>Robustness Across Missing Rates and Distributional Agreement</w:t>
      </w:r>
    </w:p>
    <w:p w14:paraId="4654A435" w14:textId="0A67AAE2" w:rsidR="00B16B35" w:rsidRPr="00D71FF2" w:rsidRDefault="00603380" w:rsidP="00265CF1">
      <w:pPr>
        <w:rPr>
          <w:rFonts w:ascii="Times New Roman" w:hAnsi="Times New Roman" w:cs="Times New Roman"/>
        </w:rPr>
      </w:pPr>
      <w:r>
        <w:t>Model performance remained stable across missing rates from 10% to 70%. Accuracy varied by less than 0.6 percentage points across this range (0.781–0.787), whereas KNN performance declined progressively as missingness increased (Figure 2).</w:t>
      </w:r>
    </w:p>
    <w:p>
      <w:pPr>
        <w:jc w:val="center"/>
      </w:pPr>
      <w:r>
        <w:drawing>
          <wp:inline xmlns:a="http://schemas.openxmlformats.org/drawingml/2006/main" xmlns:pic="http://schemas.openxmlformats.org/drawingml/2006/picture">
            <wp:extent cx="5669280" cy="4852381"/>
            <wp:docPr id="2" name="Picture 2"/>
            <wp:cNvGraphicFramePr>
              <a:graphicFrameLocks noChangeAspect="1"/>
            </wp:cNvGraphicFramePr>
            <a:graphic>
              <a:graphicData uri="http://schemas.openxmlformats.org/drawingml/2006/picture">
                <pic:pic>
                  <pic:nvPicPr>
                    <pic:cNvPr id="0" name="image.tiff"/>
                    <pic:cNvPicPr/>
                  </pic:nvPicPr>
                  <pic:blipFill>
                    <a:blip r:embed="rId15"/>
                    <a:stretch>
                      <a:fillRect/>
                    </a:stretch>
                  </pic:blipFill>
                  <pic:spPr>
                    <a:xfrm>
                      <a:off x="0" y="0"/>
                      <a:ext cx="5669280" cy="4852381"/>
                    </a:xfrm>
                    <a:prstGeom prst="rect"/>
                  </pic:spPr>
                </pic:pic>
              </a:graphicData>
            </a:graphic>
          </wp:inline>
        </w:drawing>
      </w:r>
    </w:p>
    <w:p w14:paraId="73F5BD1D" w14:textId="5203EEF9" w:rsidR="00B16B35" w:rsidRPr="00D71FF2" w:rsidRDefault="00B16B35" w:rsidP="00265CF1">
      <w:pPr>
        <w:rPr>
          <w:rFonts w:ascii="Times New Roman" w:hAnsi="Times New Roman" w:cs="Times New Roman"/>
        </w:rPr>
      </w:pPr>
      <w:r w:rsidRPr="00D71FF2">
        <w:rPr>
          <w:rFonts w:ascii="Times New Roman" w:hAnsi="Times New Roman" w:cs="Times New Roman"/>
          <w:b/>
          <w:bCs/>
        </w:rPr>
        <w:t>Figure 2.</w:t>
      </w:r>
      <w:r w:rsidRPr="00D71FF2">
        <w:rPr>
          <w:rFonts w:ascii="Times New Roman" w:hAnsi="Times New Roman" w:cs="Times New Roman"/>
        </w:rPr>
        <w:t> </w:t>
      </w:r>
      <w:r w:rsidR="003170B3" w:rsidRPr="00D71FF2">
        <w:rPr>
          <w:rFonts w:ascii="Times New Roman" w:hAnsi="Times New Roman" w:cs="Times New Roman"/>
        </w:rPr>
        <w:t xml:space="preserve">Robustness of </w:t>
      </w:r>
      <w:r w:rsidR="003B234A" w:rsidRPr="00D71FF2">
        <w:rPr>
          <w:rFonts w:ascii="Times New Roman" w:hAnsi="Times New Roman" w:cs="Times New Roman"/>
        </w:rPr>
        <w:t xml:space="preserve">inference </w:t>
      </w:r>
      <w:r w:rsidR="003170B3" w:rsidRPr="00D71FF2">
        <w:rPr>
          <w:rFonts w:ascii="Times New Roman" w:hAnsi="Times New Roman" w:cs="Times New Roman"/>
        </w:rPr>
        <w:t xml:space="preserve">performance across missing rates (10–70%). (a)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and (b) macro-averaged F1 score for the proposed framework and KNN imputation. (c) Distributional fidelity assessed by Jensen–Shannon divergence (lower values indicate better preservation of population structure). (d) Category-specific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of the proposed framework (Rural, Transitional, Urban). Error bars represent 95% confidence intervals from bootstrap resampling (n = 2,000).</w:t>
      </w:r>
    </w:p>
    <w:p w14:paraId="4041C7FC" w14:textId="330D8941" w:rsidR="00603380" w:rsidRPr="00D71FF2" w:rsidRDefault="00603380" w:rsidP="00265CF1">
      <w:pPr>
        <w:rPr>
          <w:rFonts w:ascii="Times New Roman" w:hAnsi="Times New Roman" w:cs="Times New Roman"/>
        </w:rPr>
      </w:pPr>
      <w:r>
        <w:t>Jensen–Shannon divergence summarises agreement between observed and imputed category marginals. JS → 0 is necessary but not sufficient for faithful recovery: marginal balance can hold while year–region–category joints remain distorted (e.g., the urban share in a specific wave). We therefore treat low JS as a screening criterion and rely on temporal/spatial holdouts and downstream regressions to probe joint structure beyond margins.</w:t>
      </w:r>
    </w:p>
    <w:p w14:paraId="2A6180E0"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5. </w:t>
      </w:r>
      <w:r w:rsidRPr="00D71FF2">
        <w:rPr>
          <w:rFonts w:ascii="Times New Roman" w:hAnsi="Times New Roman" w:cs="Times New Roman"/>
        </w:rPr>
        <w:t>Distributional Fidelity Across Missing Rates (Proposed Framework)</w:t>
      </w:r>
    </w:p>
    <w:tbl>
      <w:tblPr>
        <w:tblW w:w="5000" w:type="pct"/>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263"/>
        <w:gridCol w:w="1596"/>
        <w:gridCol w:w="2809"/>
        <w:gridCol w:w="2638"/>
      </w:tblGrid>
      <w:tr w:rsidR="00265CF1" w:rsidRPr="00D71FF2" w14:paraId="0690C8C6" w14:textId="77777777" w:rsidTr="0022005E">
        <w:trPr>
          <w:tblHeader/>
        </w:trPr>
        <w:tc>
          <w:tcPr>
            <w:tcW w:w="760" w:type="pct"/>
            <w:tcBorders>
              <w:top w:val="single" w:sz="8" w:space="0" w:color="auto"/>
              <w:bottom w:val="single" w:sz="4" w:space="0" w:color="auto"/>
            </w:tcBorders>
            <w:tcMar>
              <w:top w:w="150" w:type="dxa"/>
              <w:left w:w="0" w:type="dxa"/>
              <w:bottom w:w="150" w:type="dxa"/>
              <w:right w:w="240" w:type="dxa"/>
            </w:tcMar>
            <w:vAlign w:val="center"/>
            <w:hideMark/>
          </w:tcPr>
          <w:p w14:paraId="7999E01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Missing Rate</w:t>
            </w:r>
          </w:p>
        </w:tc>
        <w:tc>
          <w:tcPr>
            <w:tcW w:w="961" w:type="pct"/>
            <w:tcBorders>
              <w:top w:val="single" w:sz="8" w:space="0" w:color="auto"/>
              <w:bottom w:val="single" w:sz="4" w:space="0" w:color="auto"/>
            </w:tcBorders>
            <w:tcMar>
              <w:top w:w="150" w:type="dxa"/>
              <w:left w:w="240" w:type="dxa"/>
              <w:bottom w:w="150" w:type="dxa"/>
              <w:right w:w="240" w:type="dxa"/>
            </w:tcMar>
            <w:vAlign w:val="center"/>
            <w:hideMark/>
          </w:tcPr>
          <w:p w14:paraId="1F3801CB"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JS Divergence</w:t>
            </w:r>
          </w:p>
        </w:tc>
        <w:tc>
          <w:tcPr>
            <w:tcW w:w="1691" w:type="pct"/>
            <w:tcBorders>
              <w:top w:val="single" w:sz="8" w:space="0" w:color="auto"/>
              <w:bottom w:val="single" w:sz="4" w:space="0" w:color="auto"/>
            </w:tcBorders>
            <w:tcMar>
              <w:top w:w="150" w:type="dxa"/>
              <w:left w:w="240" w:type="dxa"/>
              <w:bottom w:w="150" w:type="dxa"/>
              <w:right w:w="240" w:type="dxa"/>
            </w:tcMar>
            <w:vAlign w:val="center"/>
            <w:hideMark/>
          </w:tcPr>
          <w:p w14:paraId="42A99E6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Max Category Difference (%)</w:t>
            </w:r>
          </w:p>
        </w:tc>
        <w:tc>
          <w:tcPr>
            <w:tcW w:w="1588" w:type="pct"/>
            <w:tcBorders>
              <w:top w:val="single" w:sz="8" w:space="0" w:color="auto"/>
              <w:bottom w:val="single" w:sz="4" w:space="0" w:color="auto"/>
            </w:tcBorders>
            <w:tcMar>
              <w:top w:w="150" w:type="dxa"/>
              <w:left w:w="240" w:type="dxa"/>
              <w:bottom w:w="150" w:type="dxa"/>
              <w:right w:w="240" w:type="dxa"/>
            </w:tcMar>
            <w:vAlign w:val="center"/>
            <w:hideMark/>
          </w:tcPr>
          <w:p w14:paraId="002E2D69"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Transitional Difference (%)</w:t>
            </w:r>
          </w:p>
        </w:tc>
      </w:tr>
      <w:tr w:rsidR="00265CF1" w:rsidRPr="00D71FF2" w14:paraId="0175A03E" w14:textId="77777777" w:rsidTr="0022005E">
        <w:tc>
          <w:tcPr>
            <w:tcW w:w="760" w:type="pct"/>
            <w:tcBorders>
              <w:top w:val="single" w:sz="4" w:space="0" w:color="auto"/>
            </w:tcBorders>
            <w:tcMar>
              <w:top w:w="150" w:type="dxa"/>
              <w:left w:w="0" w:type="dxa"/>
              <w:bottom w:w="150" w:type="dxa"/>
              <w:right w:w="240" w:type="dxa"/>
            </w:tcMar>
            <w:vAlign w:val="center"/>
            <w:hideMark/>
          </w:tcPr>
          <w:p w14:paraId="7B730D2C"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10%</w:t>
            </w:r>
          </w:p>
        </w:tc>
        <w:tc>
          <w:tcPr>
            <w:tcW w:w="961" w:type="pct"/>
            <w:tcBorders>
              <w:top w:val="single" w:sz="4" w:space="0" w:color="auto"/>
            </w:tcBorders>
            <w:tcMar>
              <w:top w:w="150" w:type="dxa"/>
              <w:left w:w="240" w:type="dxa"/>
              <w:bottom w:w="150" w:type="dxa"/>
              <w:right w:w="240" w:type="dxa"/>
            </w:tcMar>
            <w:vAlign w:val="center"/>
            <w:hideMark/>
          </w:tcPr>
          <w:p w14:paraId="07CD56DF" w14:textId="77777777" w:rsidR="00265CF1" w:rsidRPr="00D71FF2" w:rsidRDefault="00265CF1" w:rsidP="0022005E">
            <w:pPr>
              <w:jc w:val="right"/>
              <w:rPr>
                <w:rFonts w:ascii="Times New Roman" w:hAnsi="Times New Roman" w:cs="Times New Roman"/>
                <w:sz w:val="18"/>
                <w:szCs w:val="20"/>
              </w:rPr>
            </w:pPr>
            <w:r>
              <w:t>0.00005</w:t>
            </w:r>
          </w:p>
        </w:tc>
        <w:tc>
          <w:tcPr>
            <w:tcW w:w="1691" w:type="pct"/>
            <w:tcBorders>
              <w:top w:val="single" w:sz="4" w:space="0" w:color="auto"/>
            </w:tcBorders>
            <w:tcMar>
              <w:top w:w="150" w:type="dxa"/>
              <w:left w:w="240" w:type="dxa"/>
              <w:bottom w:w="150" w:type="dxa"/>
              <w:right w:w="240" w:type="dxa"/>
            </w:tcMar>
            <w:vAlign w:val="center"/>
            <w:hideMark/>
          </w:tcPr>
          <w:p w14:paraId="6B8A5C56" w14:textId="77777777" w:rsidR="00265CF1" w:rsidRPr="00D71FF2" w:rsidRDefault="00265CF1" w:rsidP="0022005E">
            <w:pPr>
              <w:jc w:val="right"/>
              <w:rPr>
                <w:rFonts w:ascii="Times New Roman" w:hAnsi="Times New Roman" w:cs="Times New Roman"/>
                <w:sz w:val="18"/>
                <w:szCs w:val="20"/>
              </w:rPr>
            </w:pPr>
            <w:r>
              <w:t>0.005</w:t>
            </w:r>
          </w:p>
        </w:tc>
        <w:tc>
          <w:tcPr>
            <w:tcW w:w="1588" w:type="pct"/>
            <w:tcBorders>
              <w:top w:val="single" w:sz="4" w:space="0" w:color="auto"/>
            </w:tcBorders>
            <w:tcMar>
              <w:top w:w="150" w:type="dxa"/>
              <w:left w:w="240" w:type="dxa"/>
              <w:bottom w:w="150" w:type="dxa"/>
              <w:right w:w="0" w:type="dxa"/>
            </w:tcMar>
            <w:vAlign w:val="center"/>
            <w:hideMark/>
          </w:tcPr>
          <w:p w14:paraId="3605395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B6D7B08" w14:textId="77777777" w:rsidTr="0022005E">
        <w:tc>
          <w:tcPr>
            <w:tcW w:w="760" w:type="pct"/>
            <w:tcMar>
              <w:top w:w="150" w:type="dxa"/>
              <w:left w:w="0" w:type="dxa"/>
              <w:bottom w:w="150" w:type="dxa"/>
              <w:right w:w="240" w:type="dxa"/>
            </w:tcMar>
            <w:vAlign w:val="center"/>
            <w:hideMark/>
          </w:tcPr>
          <w:p w14:paraId="189111A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20%</w:t>
            </w:r>
          </w:p>
        </w:tc>
        <w:tc>
          <w:tcPr>
            <w:tcW w:w="961" w:type="pct"/>
            <w:tcMar>
              <w:top w:w="150" w:type="dxa"/>
              <w:left w:w="240" w:type="dxa"/>
              <w:bottom w:w="150" w:type="dxa"/>
              <w:right w:w="240" w:type="dxa"/>
            </w:tcMar>
            <w:vAlign w:val="center"/>
            <w:hideMark/>
          </w:tcPr>
          <w:p w14:paraId="105E6D04" w14:textId="77777777" w:rsidR="00265CF1" w:rsidRPr="00D71FF2" w:rsidRDefault="00265CF1" w:rsidP="0022005E">
            <w:pPr>
              <w:jc w:val="right"/>
              <w:rPr>
                <w:rFonts w:ascii="Times New Roman" w:hAnsi="Times New Roman" w:cs="Times New Roman"/>
                <w:sz w:val="18"/>
                <w:szCs w:val="20"/>
              </w:rPr>
            </w:pPr>
            <w:r>
              <w:t>0.00005</w:t>
            </w:r>
          </w:p>
        </w:tc>
        <w:tc>
          <w:tcPr>
            <w:tcW w:w="1691" w:type="pct"/>
            <w:tcMar>
              <w:top w:w="150" w:type="dxa"/>
              <w:left w:w="240" w:type="dxa"/>
              <w:bottom w:w="150" w:type="dxa"/>
              <w:right w:w="240" w:type="dxa"/>
            </w:tcMar>
            <w:vAlign w:val="center"/>
            <w:hideMark/>
          </w:tcPr>
          <w:p w14:paraId="1188E66B" w14:textId="77777777" w:rsidR="00265CF1" w:rsidRPr="00D71FF2" w:rsidRDefault="00265CF1" w:rsidP="0022005E">
            <w:pPr>
              <w:jc w:val="right"/>
              <w:rPr>
                <w:rFonts w:ascii="Times New Roman" w:hAnsi="Times New Roman" w:cs="Times New Roman"/>
                <w:sz w:val="18"/>
                <w:szCs w:val="20"/>
              </w:rPr>
            </w:pPr>
            <w:r>
              <w:t>0.005</w:t>
            </w:r>
          </w:p>
        </w:tc>
        <w:tc>
          <w:tcPr>
            <w:tcW w:w="1588" w:type="pct"/>
            <w:tcMar>
              <w:top w:w="150" w:type="dxa"/>
              <w:left w:w="240" w:type="dxa"/>
              <w:bottom w:w="150" w:type="dxa"/>
              <w:right w:w="0" w:type="dxa"/>
            </w:tcMar>
            <w:vAlign w:val="center"/>
            <w:hideMark/>
          </w:tcPr>
          <w:p w14:paraId="4BFC5C4B"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42B4F452" w14:textId="77777777" w:rsidTr="0022005E">
        <w:tc>
          <w:tcPr>
            <w:tcW w:w="760" w:type="pct"/>
            <w:tcMar>
              <w:top w:w="150" w:type="dxa"/>
              <w:left w:w="0" w:type="dxa"/>
              <w:bottom w:w="150" w:type="dxa"/>
              <w:right w:w="240" w:type="dxa"/>
            </w:tcMar>
            <w:vAlign w:val="center"/>
            <w:hideMark/>
          </w:tcPr>
          <w:p w14:paraId="2215B28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30%</w:t>
            </w:r>
          </w:p>
        </w:tc>
        <w:tc>
          <w:tcPr>
            <w:tcW w:w="961" w:type="pct"/>
            <w:tcMar>
              <w:top w:w="150" w:type="dxa"/>
              <w:left w:w="240" w:type="dxa"/>
              <w:bottom w:w="150" w:type="dxa"/>
              <w:right w:w="240" w:type="dxa"/>
            </w:tcMar>
            <w:vAlign w:val="center"/>
            <w:hideMark/>
          </w:tcPr>
          <w:p w14:paraId="356ECFF7" w14:textId="77777777" w:rsidR="00265CF1" w:rsidRPr="00D71FF2" w:rsidRDefault="00265CF1" w:rsidP="0022005E">
            <w:pPr>
              <w:jc w:val="right"/>
              <w:rPr>
                <w:rFonts w:ascii="Times New Roman" w:hAnsi="Times New Roman" w:cs="Times New Roman"/>
                <w:sz w:val="18"/>
                <w:szCs w:val="20"/>
              </w:rPr>
            </w:pPr>
            <w:r>
              <w:t>0.00007</w:t>
            </w:r>
          </w:p>
        </w:tc>
        <w:tc>
          <w:tcPr>
            <w:tcW w:w="1691" w:type="pct"/>
            <w:tcMar>
              <w:top w:w="150" w:type="dxa"/>
              <w:left w:w="240" w:type="dxa"/>
              <w:bottom w:w="150" w:type="dxa"/>
              <w:right w:w="240" w:type="dxa"/>
            </w:tcMar>
            <w:vAlign w:val="center"/>
            <w:hideMark/>
          </w:tcPr>
          <w:p w14:paraId="772D1849" w14:textId="77777777" w:rsidR="00265CF1" w:rsidRPr="00D71FF2" w:rsidRDefault="00265CF1" w:rsidP="0022005E">
            <w:pPr>
              <w:jc w:val="right"/>
              <w:rPr>
                <w:rFonts w:ascii="Times New Roman" w:hAnsi="Times New Roman" w:cs="Times New Roman"/>
                <w:sz w:val="18"/>
                <w:szCs w:val="20"/>
              </w:rPr>
            </w:pPr>
            <w:r>
              <w:t>0.010</w:t>
            </w:r>
          </w:p>
        </w:tc>
        <w:tc>
          <w:tcPr>
            <w:tcW w:w="1588" w:type="pct"/>
            <w:tcMar>
              <w:top w:w="150" w:type="dxa"/>
              <w:left w:w="240" w:type="dxa"/>
              <w:bottom w:w="150" w:type="dxa"/>
              <w:right w:w="0" w:type="dxa"/>
            </w:tcMar>
            <w:vAlign w:val="center"/>
            <w:hideMark/>
          </w:tcPr>
          <w:p w14:paraId="18099565"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F746D5F" w14:textId="77777777" w:rsidTr="0022005E">
        <w:tc>
          <w:tcPr>
            <w:tcW w:w="760" w:type="pct"/>
            <w:tcMar>
              <w:top w:w="150" w:type="dxa"/>
              <w:left w:w="0" w:type="dxa"/>
              <w:bottom w:w="150" w:type="dxa"/>
              <w:right w:w="240" w:type="dxa"/>
            </w:tcMar>
            <w:vAlign w:val="center"/>
            <w:hideMark/>
          </w:tcPr>
          <w:p w14:paraId="330DC33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40%</w:t>
            </w:r>
          </w:p>
        </w:tc>
        <w:tc>
          <w:tcPr>
            <w:tcW w:w="961" w:type="pct"/>
            <w:tcMar>
              <w:top w:w="150" w:type="dxa"/>
              <w:left w:w="240" w:type="dxa"/>
              <w:bottom w:w="150" w:type="dxa"/>
              <w:right w:w="240" w:type="dxa"/>
            </w:tcMar>
            <w:vAlign w:val="center"/>
            <w:hideMark/>
          </w:tcPr>
          <w:p w14:paraId="3206A4CB" w14:textId="77777777" w:rsidR="00265CF1" w:rsidRPr="00D71FF2" w:rsidRDefault="00265CF1" w:rsidP="0022005E">
            <w:pPr>
              <w:jc w:val="right"/>
              <w:rPr>
                <w:rFonts w:ascii="Times New Roman" w:hAnsi="Times New Roman" w:cs="Times New Roman"/>
                <w:sz w:val="18"/>
                <w:szCs w:val="20"/>
              </w:rPr>
            </w:pPr>
            <w:r>
              <w:t>0.00015</w:t>
            </w:r>
          </w:p>
        </w:tc>
        <w:tc>
          <w:tcPr>
            <w:tcW w:w="1691" w:type="pct"/>
            <w:tcMar>
              <w:top w:w="150" w:type="dxa"/>
              <w:left w:w="240" w:type="dxa"/>
              <w:bottom w:w="150" w:type="dxa"/>
              <w:right w:w="240" w:type="dxa"/>
            </w:tcMar>
            <w:vAlign w:val="center"/>
            <w:hideMark/>
          </w:tcPr>
          <w:p w14:paraId="43ECBFBC" w14:textId="77777777" w:rsidR="00265CF1" w:rsidRPr="00D71FF2" w:rsidRDefault="00265CF1" w:rsidP="0022005E">
            <w:pPr>
              <w:jc w:val="right"/>
              <w:rPr>
                <w:rFonts w:ascii="Times New Roman" w:hAnsi="Times New Roman" w:cs="Times New Roman"/>
                <w:sz w:val="18"/>
                <w:szCs w:val="20"/>
              </w:rPr>
            </w:pPr>
            <w:r>
              <w:t>0.02</w:t>
            </w:r>
          </w:p>
        </w:tc>
        <w:tc>
          <w:tcPr>
            <w:tcW w:w="1588" w:type="pct"/>
            <w:tcMar>
              <w:top w:w="150" w:type="dxa"/>
              <w:left w:w="240" w:type="dxa"/>
              <w:bottom w:w="150" w:type="dxa"/>
              <w:right w:w="0" w:type="dxa"/>
            </w:tcMar>
            <w:vAlign w:val="center"/>
            <w:hideMark/>
          </w:tcPr>
          <w:p w14:paraId="6C846DC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C66261D" w14:textId="77777777" w:rsidTr="0022005E">
        <w:tc>
          <w:tcPr>
            <w:tcW w:w="760" w:type="pct"/>
            <w:tcBorders>
              <w:bottom w:val="single" w:sz="8" w:space="0" w:color="auto"/>
            </w:tcBorders>
            <w:tcMar>
              <w:top w:w="150" w:type="dxa"/>
              <w:left w:w="0" w:type="dxa"/>
              <w:bottom w:w="150" w:type="dxa"/>
              <w:right w:w="240" w:type="dxa"/>
            </w:tcMar>
            <w:vAlign w:val="center"/>
            <w:hideMark/>
          </w:tcPr>
          <w:p w14:paraId="2094959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lastRenderedPageBreak/>
              <w:t>50%</w:t>
            </w:r>
          </w:p>
        </w:tc>
        <w:tc>
          <w:tcPr>
            <w:tcW w:w="961" w:type="pct"/>
            <w:tcBorders>
              <w:bottom w:val="single" w:sz="8" w:space="0" w:color="auto"/>
            </w:tcBorders>
            <w:tcMar>
              <w:top w:w="150" w:type="dxa"/>
              <w:left w:w="240" w:type="dxa"/>
              <w:bottom w:w="150" w:type="dxa"/>
              <w:right w:w="240" w:type="dxa"/>
            </w:tcMar>
            <w:vAlign w:val="center"/>
            <w:hideMark/>
          </w:tcPr>
          <w:p w14:paraId="7F3B0DDA" w14:textId="77777777" w:rsidR="00265CF1" w:rsidRPr="00D71FF2" w:rsidRDefault="00265CF1" w:rsidP="0022005E">
            <w:pPr>
              <w:jc w:val="right"/>
              <w:rPr>
                <w:rFonts w:ascii="Times New Roman" w:hAnsi="Times New Roman" w:cs="Times New Roman"/>
                <w:sz w:val="18"/>
                <w:szCs w:val="20"/>
              </w:rPr>
            </w:pPr>
            <w:r>
              <w:t>0.00015</w:t>
            </w:r>
          </w:p>
        </w:tc>
        <w:tc>
          <w:tcPr>
            <w:tcW w:w="1691" w:type="pct"/>
            <w:tcBorders>
              <w:bottom w:val="single" w:sz="8" w:space="0" w:color="auto"/>
            </w:tcBorders>
            <w:tcMar>
              <w:top w:w="150" w:type="dxa"/>
              <w:left w:w="240" w:type="dxa"/>
              <w:bottom w:w="150" w:type="dxa"/>
              <w:right w:w="240" w:type="dxa"/>
            </w:tcMar>
            <w:vAlign w:val="center"/>
            <w:hideMark/>
          </w:tcPr>
          <w:p w14:paraId="178F6227" w14:textId="77777777" w:rsidR="00265CF1" w:rsidRPr="00D71FF2" w:rsidRDefault="00265CF1" w:rsidP="0022005E">
            <w:pPr>
              <w:jc w:val="right"/>
              <w:rPr>
                <w:rFonts w:ascii="Times New Roman" w:hAnsi="Times New Roman" w:cs="Times New Roman"/>
                <w:sz w:val="18"/>
                <w:szCs w:val="20"/>
              </w:rPr>
            </w:pPr>
            <w:r>
              <w:t>0.02</w:t>
            </w:r>
          </w:p>
        </w:tc>
        <w:tc>
          <w:tcPr>
            <w:tcW w:w="1588" w:type="pct"/>
            <w:tcBorders>
              <w:bottom w:val="single" w:sz="8" w:space="0" w:color="auto"/>
            </w:tcBorders>
            <w:tcMar>
              <w:top w:w="150" w:type="dxa"/>
              <w:left w:w="240" w:type="dxa"/>
              <w:bottom w:w="150" w:type="dxa"/>
              <w:right w:w="0" w:type="dxa"/>
            </w:tcMar>
            <w:vAlign w:val="center"/>
            <w:hideMark/>
          </w:tcPr>
          <w:p w14:paraId="72B532AE" w14:textId="77777777" w:rsidR="00265CF1" w:rsidRPr="00D71FF2" w:rsidRDefault="00265CF1" w:rsidP="0022005E">
            <w:pPr>
              <w:jc w:val="right"/>
              <w:rPr>
                <w:rFonts w:ascii="Times New Roman" w:hAnsi="Times New Roman" w:cs="Times New Roman"/>
                <w:sz w:val="18"/>
                <w:szCs w:val="20"/>
              </w:rPr>
            </w:pPr>
            <w:r>
              <w:t>&lt; 5</w:t>
            </w:r>
          </w:p>
        </w:tc>
      </w:tr>
    </w:tbl>
    <w:p w14:paraId="65D0E566"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JS: Jensen–Shannon divergence (lower values indicate better fidelity).</w:t>
      </w:r>
    </w:p>
    <w:p w14:paraId="19FD631B" w14:textId="48C4E32B" w:rsidR="00265CF1" w:rsidRPr="00D71FF2" w:rsidRDefault="00265CF1" w:rsidP="0080027F">
      <w:pPr>
        <w:pStyle w:val="3"/>
      </w:pPr>
      <w:r w:rsidRPr="00D71FF2">
        <w:t xml:space="preserve">Temporal </w:t>
      </w:r>
      <w:proofErr w:type="spellStart"/>
      <w:r w:rsidR="00140DA9" w:rsidRPr="00D71FF2">
        <w:t>Generalisability</w:t>
      </w:r>
      <w:proofErr w:type="spellEnd"/>
      <w:r w:rsidRPr="00D71FF2">
        <w:t>: Leave-One-Year-Out</w:t>
      </w:r>
    </w:p>
    <w:p w14:paraId="4C663083" w14:textId="683FE2F3" w:rsidR="00384968" w:rsidRPr="00D71FF2" w:rsidRDefault="003A7C12" w:rsidP="00265CF1">
      <w:pPr>
        <w:rPr>
          <w:rFonts w:ascii="Times New Roman" w:hAnsi="Times New Roman" w:cs="Times New Roman"/>
        </w:rPr>
      </w:pPr>
      <w:r>
        <w:t>Leave-one-year-out validation demonstrated consistent performance across survey waves, with mean accuracy of 0.776 (SD 0.019) and macro-F1 of 0.759 (SD 0.020) (Table 6; Figure 3).</w:t>
      </w:r>
    </w:p>
    <w:p>
      <w:pPr>
        <w:jc w:val="center"/>
      </w:pPr>
      <w:r>
        <w:drawing>
          <wp:inline xmlns:a="http://schemas.openxmlformats.org/drawingml/2006/main" xmlns:pic="http://schemas.openxmlformats.org/drawingml/2006/picture">
            <wp:extent cx="5669280" cy="1993234"/>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1993234"/>
                    </a:xfrm>
                    <a:prstGeom prst="rect"/>
                  </pic:spPr>
                </pic:pic>
              </a:graphicData>
            </a:graphic>
          </wp:inline>
        </w:drawing>
      </w:r>
    </w:p>
    <w:p w14:paraId="7BDC290A" w14:textId="7AAF632E" w:rsidR="00384968" w:rsidRPr="00D71FF2" w:rsidRDefault="00384968" w:rsidP="00265CF1">
      <w:pPr>
        <w:rPr>
          <w:rFonts w:ascii="Times New Roman" w:hAnsi="Times New Roman" w:cs="Times New Roman"/>
        </w:rPr>
      </w:pPr>
      <w:r>
        <w:t>Figure 3. Leave-one-year-out temporal validation results across eight survey waves (1991–2011). (a) Inference accuracy for each held-out wave. Mean accuracy was 0.776 (SD 0.019). (b) Macro-averaged F1 score for each held-out wave.</w:t>
      </w:r>
    </w:p>
    <w:p w14:paraId="30069BCE" w14:textId="7FE3624C" w:rsidR="003A7C12" w:rsidRPr="00D71FF2" w:rsidRDefault="003A7C12" w:rsidP="00265CF1">
      <w:pPr>
        <w:rPr>
          <w:rFonts w:ascii="Times New Roman" w:hAnsi="Times New Roman" w:cs="Times New Roman"/>
        </w:rPr>
      </w:pPr>
      <w:r w:rsidRPr="003A7C12">
        <w:rPr>
          <w:rFonts w:ascii="Times New Roman" w:hAnsi="Times New Roman" w:cs="Times New Roman"/>
        </w:rPr>
        <w:t xml:space="preserve">Performance was lower in earlier waves and improved in later years, likely reflecting increasing differentiation of dietary patterns over time. These findings suggest that the framework </w:t>
      </w:r>
      <w:proofErr w:type="spellStart"/>
      <w:r w:rsidRPr="003A7C12">
        <w:rPr>
          <w:rFonts w:ascii="Times New Roman" w:hAnsi="Times New Roman" w:cs="Times New Roman"/>
        </w:rPr>
        <w:t>generalises</w:t>
      </w:r>
      <w:proofErr w:type="spellEnd"/>
      <w:r w:rsidRPr="003A7C12">
        <w:rPr>
          <w:rFonts w:ascii="Times New Roman" w:hAnsi="Times New Roman" w:cs="Times New Roman"/>
        </w:rPr>
        <w:t xml:space="preserve"> across temporal contexts while remaining sensitive to underlying dietary shifts.</w:t>
      </w:r>
    </w:p>
    <w:p w14:paraId="475C747B"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6. </w:t>
      </w:r>
      <w:r w:rsidRPr="00D71FF2">
        <w:rPr>
          <w:rFonts w:ascii="Times New Roman" w:hAnsi="Times New Roman" w:cs="Times New Roman"/>
        </w:rPr>
        <w:t>Leave-One-Year-Out Temporal Validation</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87"/>
        <w:gridCol w:w="2243"/>
        <w:gridCol w:w="1003"/>
        <w:gridCol w:w="1414"/>
        <w:gridCol w:w="1410"/>
        <w:gridCol w:w="1249"/>
      </w:tblGrid>
      <w:tr w:rsidR="00434208" w:rsidRPr="00D71FF2" w14:paraId="3ECEB834" w14:textId="77777777" w:rsidTr="00434208">
        <w:trPr>
          <w:tblHeader/>
        </w:trPr>
        <w:tc>
          <w:tcPr>
            <w:tcW w:w="594" w:type="pct"/>
            <w:tcBorders>
              <w:top w:val="single" w:sz="8" w:space="0" w:color="auto"/>
              <w:bottom w:val="single" w:sz="4" w:space="0" w:color="auto"/>
            </w:tcBorders>
            <w:tcMar>
              <w:top w:w="150" w:type="dxa"/>
              <w:left w:w="0" w:type="dxa"/>
              <w:bottom w:w="150" w:type="dxa"/>
              <w:right w:w="240" w:type="dxa"/>
            </w:tcMar>
            <w:vAlign w:val="center"/>
            <w:hideMark/>
          </w:tcPr>
          <w:p w14:paraId="40ED603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Test Year</w:t>
            </w:r>
          </w:p>
        </w:tc>
        <w:tc>
          <w:tcPr>
            <w:tcW w:w="1350" w:type="pct"/>
            <w:tcBorders>
              <w:top w:val="single" w:sz="8" w:space="0" w:color="auto"/>
              <w:bottom w:val="single" w:sz="4" w:space="0" w:color="auto"/>
            </w:tcBorders>
            <w:tcMar>
              <w:top w:w="150" w:type="dxa"/>
              <w:left w:w="240" w:type="dxa"/>
              <w:bottom w:w="150" w:type="dxa"/>
              <w:right w:w="240" w:type="dxa"/>
            </w:tcMar>
            <w:vAlign w:val="center"/>
            <w:hideMark/>
          </w:tcPr>
          <w:p w14:paraId="6D91B7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Training Waves</w:t>
            </w:r>
          </w:p>
        </w:tc>
        <w:tc>
          <w:tcPr>
            <w:tcW w:w="604" w:type="pct"/>
            <w:tcBorders>
              <w:top w:val="single" w:sz="8" w:space="0" w:color="auto"/>
              <w:bottom w:val="single" w:sz="4" w:space="0" w:color="auto"/>
            </w:tcBorders>
            <w:tcMar>
              <w:top w:w="150" w:type="dxa"/>
              <w:left w:w="240" w:type="dxa"/>
              <w:bottom w:w="150" w:type="dxa"/>
              <w:right w:w="240" w:type="dxa"/>
            </w:tcMar>
            <w:vAlign w:val="center"/>
            <w:hideMark/>
          </w:tcPr>
          <w:p w14:paraId="0A3BDA0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851" w:type="pct"/>
            <w:tcBorders>
              <w:top w:val="single" w:sz="8" w:space="0" w:color="auto"/>
              <w:bottom w:val="single" w:sz="4" w:space="0" w:color="auto"/>
            </w:tcBorders>
            <w:tcMar>
              <w:top w:w="150" w:type="dxa"/>
              <w:left w:w="240" w:type="dxa"/>
              <w:bottom w:w="150" w:type="dxa"/>
              <w:right w:w="240" w:type="dxa"/>
            </w:tcMar>
            <w:vAlign w:val="center"/>
            <w:hideMark/>
          </w:tcPr>
          <w:p w14:paraId="3527A90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49" w:type="pct"/>
            <w:tcBorders>
              <w:top w:val="single" w:sz="8" w:space="0" w:color="auto"/>
              <w:bottom w:val="single" w:sz="4" w:space="0" w:color="auto"/>
            </w:tcBorders>
            <w:tcMar>
              <w:top w:w="150" w:type="dxa"/>
              <w:left w:w="240" w:type="dxa"/>
              <w:bottom w:w="150" w:type="dxa"/>
              <w:right w:w="240" w:type="dxa"/>
            </w:tcMar>
            <w:vAlign w:val="center"/>
            <w:hideMark/>
          </w:tcPr>
          <w:p w14:paraId="4D8CB97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752" w:type="pct"/>
            <w:tcBorders>
              <w:top w:val="single" w:sz="8" w:space="0" w:color="auto"/>
              <w:bottom w:val="single" w:sz="4" w:space="0" w:color="auto"/>
            </w:tcBorders>
            <w:tcMar>
              <w:top w:w="150" w:type="dxa"/>
              <w:left w:w="240" w:type="dxa"/>
              <w:bottom w:w="150" w:type="dxa"/>
              <w:right w:w="240" w:type="dxa"/>
            </w:tcMar>
            <w:vAlign w:val="center"/>
            <w:hideMark/>
          </w:tcPr>
          <w:p w14:paraId="2AB3624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 xml:space="preserve">Cohen's </w:t>
            </w:r>
            <w:r w:rsidRPr="00D71FF2">
              <w:rPr>
                <w:rFonts w:ascii="Times New Roman" w:hAnsi="Times New Roman" w:cs="Times New Roman"/>
                <w:b/>
                <w:bCs/>
                <w:i/>
                <w:iCs/>
                <w:sz w:val="18"/>
                <w:szCs w:val="18"/>
              </w:rPr>
              <w:t>κ</w:t>
            </w:r>
          </w:p>
        </w:tc>
      </w:tr>
      <w:tr w:rsidR="00434208" w:rsidRPr="00D71FF2" w14:paraId="355BA9E8" w14:textId="77777777" w:rsidTr="00434208">
        <w:tc>
          <w:tcPr>
            <w:tcW w:w="594" w:type="pct"/>
            <w:tcBorders>
              <w:top w:val="single" w:sz="4" w:space="0" w:color="auto"/>
            </w:tcBorders>
            <w:tcMar>
              <w:top w:w="150" w:type="dxa"/>
              <w:left w:w="0" w:type="dxa"/>
              <w:bottom w:w="150" w:type="dxa"/>
              <w:right w:w="240" w:type="dxa"/>
            </w:tcMar>
            <w:vAlign w:val="center"/>
            <w:hideMark/>
          </w:tcPr>
          <w:p w14:paraId="1B7D7E61" w14:textId="77777777" w:rsidR="00265CF1" w:rsidRPr="00D71FF2" w:rsidRDefault="00265CF1" w:rsidP="00265CF1">
            <w:pPr>
              <w:rPr>
                <w:rFonts w:ascii="Times New Roman" w:hAnsi="Times New Roman" w:cs="Times New Roman"/>
                <w:sz w:val="18"/>
                <w:szCs w:val="18"/>
              </w:rPr>
            </w:pPr>
            <w:r>
              <w:t>1991</w:t>
            </w:r>
          </w:p>
        </w:tc>
        <w:tc>
          <w:tcPr>
            <w:tcW w:w="1350" w:type="pct"/>
            <w:tcBorders>
              <w:top w:val="single" w:sz="4" w:space="0" w:color="auto"/>
            </w:tcBorders>
            <w:tcMar>
              <w:top w:w="150" w:type="dxa"/>
              <w:left w:w="240" w:type="dxa"/>
              <w:bottom w:w="150" w:type="dxa"/>
              <w:right w:w="240" w:type="dxa"/>
            </w:tcMar>
            <w:vAlign w:val="center"/>
            <w:hideMark/>
          </w:tcPr>
          <w:p w14:paraId="386620C3" w14:textId="77777777" w:rsidR="00265CF1" w:rsidRPr="00D71FF2" w:rsidRDefault="00265CF1" w:rsidP="00265CF1">
            <w:pPr>
              <w:rPr>
                <w:rFonts w:ascii="Times New Roman" w:hAnsi="Times New Roman" w:cs="Times New Roman"/>
                <w:sz w:val="18"/>
                <w:szCs w:val="18"/>
              </w:rPr>
            </w:pPr>
            <w:r>
              <w:t>1993–2011</w:t>
            </w:r>
          </w:p>
        </w:tc>
        <w:tc>
          <w:tcPr>
            <w:tcW w:w="604" w:type="pct"/>
            <w:tcBorders>
              <w:top w:val="single" w:sz="4" w:space="0" w:color="auto"/>
            </w:tcBorders>
            <w:tcMar>
              <w:top w:w="150" w:type="dxa"/>
              <w:left w:w="240" w:type="dxa"/>
              <w:bottom w:w="150" w:type="dxa"/>
              <w:right w:w="240" w:type="dxa"/>
            </w:tcMar>
            <w:vAlign w:val="center"/>
            <w:hideMark/>
          </w:tcPr>
          <w:p w14:paraId="4103A44B" w14:textId="77777777" w:rsidR="00265CF1" w:rsidRPr="00D71FF2" w:rsidRDefault="00265CF1" w:rsidP="00434208">
            <w:pPr>
              <w:jc w:val="right"/>
              <w:rPr>
                <w:rFonts w:ascii="Times New Roman" w:hAnsi="Times New Roman" w:cs="Times New Roman"/>
                <w:sz w:val="18"/>
                <w:szCs w:val="18"/>
              </w:rPr>
            </w:pPr>
            <w:r>
              <w:t>13,446</w:t>
            </w:r>
          </w:p>
        </w:tc>
        <w:tc>
          <w:tcPr>
            <w:tcW w:w="851" w:type="pct"/>
            <w:tcBorders>
              <w:top w:val="single" w:sz="4" w:space="0" w:color="auto"/>
            </w:tcBorders>
            <w:tcMar>
              <w:top w:w="150" w:type="dxa"/>
              <w:left w:w="240" w:type="dxa"/>
              <w:bottom w:w="150" w:type="dxa"/>
              <w:right w:w="240" w:type="dxa"/>
            </w:tcMar>
            <w:vAlign w:val="center"/>
            <w:hideMark/>
          </w:tcPr>
          <w:p w14:paraId="43C2A7B7" w14:textId="77777777" w:rsidR="00265CF1" w:rsidRPr="00D71FF2" w:rsidRDefault="00265CF1" w:rsidP="00434208">
            <w:pPr>
              <w:jc w:val="right"/>
              <w:rPr>
                <w:rFonts w:ascii="Times New Roman" w:hAnsi="Times New Roman" w:cs="Times New Roman"/>
                <w:sz w:val="18"/>
                <w:szCs w:val="18"/>
              </w:rPr>
            </w:pPr>
            <w:r>
              <w:t>0.782</w:t>
            </w:r>
          </w:p>
        </w:tc>
        <w:tc>
          <w:tcPr>
            <w:tcW w:w="849" w:type="pct"/>
            <w:tcBorders>
              <w:top w:val="single" w:sz="4" w:space="0" w:color="auto"/>
            </w:tcBorders>
            <w:tcMar>
              <w:top w:w="150" w:type="dxa"/>
              <w:left w:w="240" w:type="dxa"/>
              <w:bottom w:w="150" w:type="dxa"/>
              <w:right w:w="240" w:type="dxa"/>
            </w:tcMar>
            <w:vAlign w:val="center"/>
            <w:hideMark/>
          </w:tcPr>
          <w:p w14:paraId="1DA8E27C" w14:textId="77777777" w:rsidR="00265CF1" w:rsidRPr="00D71FF2" w:rsidRDefault="00265CF1" w:rsidP="00434208">
            <w:pPr>
              <w:jc w:val="right"/>
              <w:rPr>
                <w:rFonts w:ascii="Times New Roman" w:hAnsi="Times New Roman" w:cs="Times New Roman"/>
                <w:sz w:val="18"/>
                <w:szCs w:val="18"/>
              </w:rPr>
            </w:pPr>
            <w:r>
              <w:t>0.721</w:t>
            </w:r>
          </w:p>
        </w:tc>
        <w:tc>
          <w:tcPr>
            <w:tcW w:w="752" w:type="pct"/>
            <w:tcBorders>
              <w:top w:val="single" w:sz="4" w:space="0" w:color="auto"/>
            </w:tcBorders>
            <w:tcMar>
              <w:top w:w="150" w:type="dxa"/>
              <w:left w:w="240" w:type="dxa"/>
              <w:bottom w:w="150" w:type="dxa"/>
              <w:right w:w="0" w:type="dxa"/>
            </w:tcMar>
            <w:vAlign w:val="center"/>
            <w:hideMark/>
          </w:tcPr>
          <w:p w14:paraId="73058211" w14:textId="77777777" w:rsidR="00265CF1" w:rsidRPr="00D71FF2" w:rsidRDefault="00265CF1" w:rsidP="00434208">
            <w:pPr>
              <w:jc w:val="right"/>
              <w:rPr>
                <w:rFonts w:ascii="Times New Roman" w:hAnsi="Times New Roman" w:cs="Times New Roman"/>
                <w:sz w:val="18"/>
                <w:szCs w:val="18"/>
              </w:rPr>
            </w:pPr>
            <w:r>
              <w:t>0.595</w:t>
            </w:r>
          </w:p>
        </w:tc>
      </w:tr>
      <w:tr w:rsidR="00434208" w:rsidRPr="00D71FF2" w14:paraId="55FF73BD" w14:textId="77777777" w:rsidTr="00434208">
        <w:tc>
          <w:tcPr>
            <w:tcW w:w="594" w:type="pct"/>
            <w:tcMar>
              <w:top w:w="150" w:type="dxa"/>
              <w:left w:w="0" w:type="dxa"/>
              <w:bottom w:w="150" w:type="dxa"/>
              <w:right w:w="240" w:type="dxa"/>
            </w:tcMar>
            <w:vAlign w:val="center"/>
            <w:hideMark/>
          </w:tcPr>
          <w:p w14:paraId="1891FA22" w14:textId="77777777" w:rsidR="00265CF1" w:rsidRPr="00D71FF2" w:rsidRDefault="00265CF1" w:rsidP="00265CF1">
            <w:pPr>
              <w:rPr>
                <w:rFonts w:ascii="Times New Roman" w:hAnsi="Times New Roman" w:cs="Times New Roman"/>
                <w:sz w:val="18"/>
                <w:szCs w:val="18"/>
              </w:rPr>
            </w:pPr>
            <w:r>
              <w:t>1993</w:t>
            </w:r>
          </w:p>
        </w:tc>
        <w:tc>
          <w:tcPr>
            <w:tcW w:w="1350" w:type="pct"/>
            <w:tcMar>
              <w:top w:w="150" w:type="dxa"/>
              <w:left w:w="240" w:type="dxa"/>
              <w:bottom w:w="150" w:type="dxa"/>
              <w:right w:w="240" w:type="dxa"/>
            </w:tcMar>
            <w:vAlign w:val="center"/>
            <w:hideMark/>
          </w:tcPr>
          <w:p w14:paraId="33359D74" w14:textId="40C5F032" w:rsidR="00265CF1" w:rsidRPr="00D71FF2" w:rsidRDefault="00265CF1" w:rsidP="00265CF1">
            <w:pPr>
              <w:rPr>
                <w:rFonts w:ascii="Times New Roman" w:hAnsi="Times New Roman" w:cs="Times New Roman"/>
                <w:sz w:val="18"/>
                <w:szCs w:val="18"/>
              </w:rPr>
            </w:pPr>
            <w:r>
              <w:t>1991,1997–2011</w:t>
            </w:r>
          </w:p>
        </w:tc>
        <w:tc>
          <w:tcPr>
            <w:tcW w:w="604" w:type="pct"/>
            <w:tcMar>
              <w:top w:w="150" w:type="dxa"/>
              <w:left w:w="240" w:type="dxa"/>
              <w:bottom w:w="150" w:type="dxa"/>
              <w:right w:w="240" w:type="dxa"/>
            </w:tcMar>
            <w:vAlign w:val="center"/>
            <w:hideMark/>
          </w:tcPr>
          <w:p w14:paraId="2AE64056" w14:textId="77777777" w:rsidR="00265CF1" w:rsidRPr="00D71FF2" w:rsidRDefault="00265CF1" w:rsidP="00434208">
            <w:pPr>
              <w:jc w:val="right"/>
              <w:rPr>
                <w:rFonts w:ascii="Times New Roman" w:hAnsi="Times New Roman" w:cs="Times New Roman"/>
                <w:sz w:val="18"/>
                <w:szCs w:val="18"/>
              </w:rPr>
            </w:pPr>
            <w:r>
              <w:t>12,632</w:t>
            </w:r>
          </w:p>
        </w:tc>
        <w:tc>
          <w:tcPr>
            <w:tcW w:w="851" w:type="pct"/>
            <w:tcMar>
              <w:top w:w="150" w:type="dxa"/>
              <w:left w:w="240" w:type="dxa"/>
              <w:bottom w:w="150" w:type="dxa"/>
              <w:right w:w="240" w:type="dxa"/>
            </w:tcMar>
            <w:vAlign w:val="center"/>
            <w:hideMark/>
          </w:tcPr>
          <w:p w14:paraId="5E3EEADF" w14:textId="77777777" w:rsidR="00265CF1" w:rsidRPr="00D71FF2" w:rsidRDefault="00265CF1" w:rsidP="00434208">
            <w:pPr>
              <w:jc w:val="right"/>
              <w:rPr>
                <w:rFonts w:ascii="Times New Roman" w:hAnsi="Times New Roman" w:cs="Times New Roman"/>
                <w:sz w:val="18"/>
                <w:szCs w:val="18"/>
              </w:rPr>
            </w:pPr>
            <w:r>
              <w:t>0.795</w:t>
            </w:r>
          </w:p>
        </w:tc>
        <w:tc>
          <w:tcPr>
            <w:tcW w:w="849" w:type="pct"/>
            <w:tcMar>
              <w:top w:w="150" w:type="dxa"/>
              <w:left w:w="240" w:type="dxa"/>
              <w:bottom w:w="150" w:type="dxa"/>
              <w:right w:w="240" w:type="dxa"/>
            </w:tcMar>
            <w:vAlign w:val="center"/>
            <w:hideMark/>
          </w:tcPr>
          <w:p w14:paraId="2EC55FBA" w14:textId="77777777" w:rsidR="00265CF1" w:rsidRPr="00D71FF2" w:rsidRDefault="00265CF1" w:rsidP="00434208">
            <w:pPr>
              <w:jc w:val="right"/>
              <w:rPr>
                <w:rFonts w:ascii="Times New Roman" w:hAnsi="Times New Roman" w:cs="Times New Roman"/>
                <w:sz w:val="18"/>
                <w:szCs w:val="18"/>
              </w:rPr>
            </w:pPr>
            <w:r>
              <w:t>0.752</w:t>
            </w:r>
          </w:p>
        </w:tc>
        <w:tc>
          <w:tcPr>
            <w:tcW w:w="752" w:type="pct"/>
            <w:tcMar>
              <w:top w:w="150" w:type="dxa"/>
              <w:left w:w="240" w:type="dxa"/>
              <w:bottom w:w="150" w:type="dxa"/>
              <w:right w:w="0" w:type="dxa"/>
            </w:tcMar>
            <w:vAlign w:val="center"/>
            <w:hideMark/>
          </w:tcPr>
          <w:p w14:paraId="64F63FEE" w14:textId="77777777" w:rsidR="00265CF1" w:rsidRPr="00D71FF2" w:rsidRDefault="00265CF1" w:rsidP="00434208">
            <w:pPr>
              <w:jc w:val="right"/>
              <w:rPr>
                <w:rFonts w:ascii="Times New Roman" w:hAnsi="Times New Roman" w:cs="Times New Roman"/>
                <w:sz w:val="18"/>
                <w:szCs w:val="18"/>
              </w:rPr>
            </w:pPr>
            <w:r>
              <w:t>0.631</w:t>
            </w:r>
          </w:p>
        </w:tc>
      </w:tr>
      <w:tr w:rsidR="00434208" w:rsidRPr="00D71FF2" w14:paraId="554D9541" w14:textId="77777777" w:rsidTr="00434208">
        <w:tc>
          <w:tcPr>
            <w:tcW w:w="594" w:type="pct"/>
            <w:tcMar>
              <w:top w:w="150" w:type="dxa"/>
              <w:left w:w="0" w:type="dxa"/>
              <w:bottom w:w="150" w:type="dxa"/>
              <w:right w:w="240" w:type="dxa"/>
            </w:tcMar>
            <w:vAlign w:val="center"/>
            <w:hideMark/>
          </w:tcPr>
          <w:p w14:paraId="4407F12D" w14:textId="77777777" w:rsidR="00265CF1" w:rsidRPr="00D71FF2" w:rsidRDefault="00265CF1" w:rsidP="00265CF1">
            <w:pPr>
              <w:rPr>
                <w:rFonts w:ascii="Times New Roman" w:hAnsi="Times New Roman" w:cs="Times New Roman"/>
                <w:sz w:val="18"/>
                <w:szCs w:val="18"/>
              </w:rPr>
            </w:pPr>
            <w:r>
              <w:t>1997</w:t>
            </w:r>
          </w:p>
        </w:tc>
        <w:tc>
          <w:tcPr>
            <w:tcW w:w="1350" w:type="pct"/>
            <w:tcMar>
              <w:top w:w="150" w:type="dxa"/>
              <w:left w:w="240" w:type="dxa"/>
              <w:bottom w:w="150" w:type="dxa"/>
              <w:right w:w="240" w:type="dxa"/>
            </w:tcMar>
            <w:vAlign w:val="center"/>
            <w:hideMark/>
          </w:tcPr>
          <w:p w14:paraId="7FBC2B2D" w14:textId="77777777" w:rsidR="00265CF1" w:rsidRPr="00D71FF2" w:rsidRDefault="00265CF1" w:rsidP="00265CF1">
            <w:pPr>
              <w:rPr>
                <w:rFonts w:ascii="Times New Roman" w:hAnsi="Times New Roman" w:cs="Times New Roman"/>
                <w:sz w:val="18"/>
                <w:szCs w:val="18"/>
              </w:rPr>
            </w:pPr>
            <w:r>
              <w:t>1991–1993, 2000–2011</w:t>
            </w:r>
          </w:p>
        </w:tc>
        <w:tc>
          <w:tcPr>
            <w:tcW w:w="604" w:type="pct"/>
            <w:tcMar>
              <w:top w:w="150" w:type="dxa"/>
              <w:left w:w="240" w:type="dxa"/>
              <w:bottom w:w="150" w:type="dxa"/>
              <w:right w:w="240" w:type="dxa"/>
            </w:tcMar>
            <w:vAlign w:val="center"/>
            <w:hideMark/>
          </w:tcPr>
          <w:p w14:paraId="70D169C3" w14:textId="77777777" w:rsidR="00265CF1" w:rsidRPr="00D71FF2" w:rsidRDefault="00265CF1" w:rsidP="00434208">
            <w:pPr>
              <w:jc w:val="right"/>
              <w:rPr>
                <w:rFonts w:ascii="Times New Roman" w:hAnsi="Times New Roman" w:cs="Times New Roman"/>
                <w:sz w:val="18"/>
                <w:szCs w:val="18"/>
              </w:rPr>
            </w:pPr>
            <w:r>
              <w:t>12,743</w:t>
            </w:r>
          </w:p>
        </w:tc>
        <w:tc>
          <w:tcPr>
            <w:tcW w:w="851" w:type="pct"/>
            <w:tcMar>
              <w:top w:w="150" w:type="dxa"/>
              <w:left w:w="240" w:type="dxa"/>
              <w:bottom w:w="150" w:type="dxa"/>
              <w:right w:w="240" w:type="dxa"/>
            </w:tcMar>
            <w:vAlign w:val="center"/>
            <w:hideMark/>
          </w:tcPr>
          <w:p w14:paraId="2CD346F7" w14:textId="77777777" w:rsidR="00265CF1" w:rsidRPr="00D71FF2" w:rsidRDefault="00265CF1" w:rsidP="00434208">
            <w:pPr>
              <w:jc w:val="right"/>
              <w:rPr>
                <w:rFonts w:ascii="Times New Roman" w:hAnsi="Times New Roman" w:cs="Times New Roman"/>
                <w:sz w:val="18"/>
                <w:szCs w:val="18"/>
              </w:rPr>
            </w:pPr>
            <w:r>
              <w:t>0.793</w:t>
            </w:r>
          </w:p>
        </w:tc>
        <w:tc>
          <w:tcPr>
            <w:tcW w:w="849" w:type="pct"/>
            <w:tcMar>
              <w:top w:w="150" w:type="dxa"/>
              <w:left w:w="240" w:type="dxa"/>
              <w:bottom w:w="150" w:type="dxa"/>
              <w:right w:w="240" w:type="dxa"/>
            </w:tcMar>
            <w:vAlign w:val="center"/>
            <w:hideMark/>
          </w:tcPr>
          <w:p w14:paraId="40564593" w14:textId="77777777" w:rsidR="00265CF1" w:rsidRPr="00D71FF2" w:rsidRDefault="00265CF1" w:rsidP="00434208">
            <w:pPr>
              <w:jc w:val="right"/>
              <w:rPr>
                <w:rFonts w:ascii="Times New Roman" w:hAnsi="Times New Roman" w:cs="Times New Roman"/>
                <w:sz w:val="18"/>
                <w:szCs w:val="18"/>
              </w:rPr>
            </w:pPr>
            <w:r>
              <w:t>0.776</w:t>
            </w:r>
          </w:p>
        </w:tc>
        <w:tc>
          <w:tcPr>
            <w:tcW w:w="752" w:type="pct"/>
            <w:tcMar>
              <w:top w:w="150" w:type="dxa"/>
              <w:left w:w="240" w:type="dxa"/>
              <w:bottom w:w="150" w:type="dxa"/>
              <w:right w:w="0" w:type="dxa"/>
            </w:tcMar>
            <w:vAlign w:val="center"/>
            <w:hideMark/>
          </w:tcPr>
          <w:p w14:paraId="48B7FC0F" w14:textId="77777777" w:rsidR="00265CF1" w:rsidRPr="00D71FF2" w:rsidRDefault="00265CF1" w:rsidP="00434208">
            <w:pPr>
              <w:jc w:val="right"/>
              <w:rPr>
                <w:rFonts w:ascii="Times New Roman" w:hAnsi="Times New Roman" w:cs="Times New Roman"/>
                <w:sz w:val="18"/>
                <w:szCs w:val="18"/>
              </w:rPr>
            </w:pPr>
            <w:r>
              <w:t>0.649</w:t>
            </w:r>
          </w:p>
        </w:tc>
      </w:tr>
      <w:tr w:rsidR="00434208" w:rsidRPr="00D71FF2" w14:paraId="0F360503" w14:textId="77777777" w:rsidTr="00434208">
        <w:tc>
          <w:tcPr>
            <w:tcW w:w="594" w:type="pct"/>
            <w:tcMar>
              <w:top w:w="150" w:type="dxa"/>
              <w:left w:w="0" w:type="dxa"/>
              <w:bottom w:w="150" w:type="dxa"/>
              <w:right w:w="240" w:type="dxa"/>
            </w:tcMar>
            <w:vAlign w:val="center"/>
            <w:hideMark/>
          </w:tcPr>
          <w:p w14:paraId="1C63B53C" w14:textId="77777777" w:rsidR="00265CF1" w:rsidRPr="00D71FF2" w:rsidRDefault="00265CF1" w:rsidP="00265CF1">
            <w:pPr>
              <w:rPr>
                <w:rFonts w:ascii="Times New Roman" w:hAnsi="Times New Roman" w:cs="Times New Roman"/>
                <w:sz w:val="18"/>
                <w:szCs w:val="18"/>
              </w:rPr>
            </w:pPr>
            <w:r>
              <w:t>2000</w:t>
            </w:r>
          </w:p>
        </w:tc>
        <w:tc>
          <w:tcPr>
            <w:tcW w:w="1350" w:type="pct"/>
            <w:tcMar>
              <w:top w:w="150" w:type="dxa"/>
              <w:left w:w="240" w:type="dxa"/>
              <w:bottom w:w="150" w:type="dxa"/>
              <w:right w:w="240" w:type="dxa"/>
            </w:tcMar>
            <w:vAlign w:val="center"/>
            <w:hideMark/>
          </w:tcPr>
          <w:p w14:paraId="382C7160" w14:textId="77777777" w:rsidR="00265CF1" w:rsidRPr="00D71FF2" w:rsidRDefault="00265CF1" w:rsidP="00265CF1">
            <w:pPr>
              <w:rPr>
                <w:rFonts w:ascii="Times New Roman" w:hAnsi="Times New Roman" w:cs="Times New Roman"/>
                <w:sz w:val="18"/>
                <w:szCs w:val="18"/>
              </w:rPr>
            </w:pPr>
            <w:r>
              <w:t>1991–1997, 2004–2011</w:t>
            </w:r>
          </w:p>
        </w:tc>
        <w:tc>
          <w:tcPr>
            <w:tcW w:w="604" w:type="pct"/>
            <w:tcMar>
              <w:top w:w="150" w:type="dxa"/>
              <w:left w:w="240" w:type="dxa"/>
              <w:bottom w:w="150" w:type="dxa"/>
              <w:right w:w="240" w:type="dxa"/>
            </w:tcMar>
            <w:vAlign w:val="center"/>
            <w:hideMark/>
          </w:tcPr>
          <w:p w14:paraId="1C063AA8" w14:textId="77777777" w:rsidR="00265CF1" w:rsidRPr="00D71FF2" w:rsidRDefault="00265CF1" w:rsidP="00434208">
            <w:pPr>
              <w:jc w:val="right"/>
              <w:rPr>
                <w:rFonts w:ascii="Times New Roman" w:hAnsi="Times New Roman" w:cs="Times New Roman"/>
                <w:sz w:val="18"/>
                <w:szCs w:val="18"/>
              </w:rPr>
            </w:pPr>
            <w:r>
              <w:t>13,530</w:t>
            </w:r>
          </w:p>
        </w:tc>
        <w:tc>
          <w:tcPr>
            <w:tcW w:w="851" w:type="pct"/>
            <w:tcMar>
              <w:top w:w="150" w:type="dxa"/>
              <w:left w:w="240" w:type="dxa"/>
              <w:bottom w:w="150" w:type="dxa"/>
              <w:right w:w="240" w:type="dxa"/>
            </w:tcMar>
            <w:vAlign w:val="center"/>
            <w:hideMark/>
          </w:tcPr>
          <w:p w14:paraId="3604FD26" w14:textId="77777777" w:rsidR="00265CF1" w:rsidRPr="00D71FF2" w:rsidRDefault="00265CF1" w:rsidP="00434208">
            <w:pPr>
              <w:jc w:val="right"/>
              <w:rPr>
                <w:rFonts w:ascii="Times New Roman" w:hAnsi="Times New Roman" w:cs="Times New Roman"/>
                <w:sz w:val="18"/>
                <w:szCs w:val="18"/>
              </w:rPr>
            </w:pPr>
            <w:r>
              <w:t>0.788</w:t>
            </w:r>
          </w:p>
        </w:tc>
        <w:tc>
          <w:tcPr>
            <w:tcW w:w="849" w:type="pct"/>
            <w:tcMar>
              <w:top w:w="150" w:type="dxa"/>
              <w:left w:w="240" w:type="dxa"/>
              <w:bottom w:w="150" w:type="dxa"/>
              <w:right w:w="240" w:type="dxa"/>
            </w:tcMar>
            <w:vAlign w:val="center"/>
            <w:hideMark/>
          </w:tcPr>
          <w:p w14:paraId="78706488" w14:textId="77777777" w:rsidR="00265CF1" w:rsidRPr="00D71FF2" w:rsidRDefault="00265CF1" w:rsidP="00434208">
            <w:pPr>
              <w:jc w:val="right"/>
              <w:rPr>
                <w:rFonts w:ascii="Times New Roman" w:hAnsi="Times New Roman" w:cs="Times New Roman"/>
                <w:sz w:val="18"/>
                <w:szCs w:val="18"/>
              </w:rPr>
            </w:pPr>
            <w:r>
              <w:t>0.780</w:t>
            </w:r>
          </w:p>
        </w:tc>
        <w:tc>
          <w:tcPr>
            <w:tcW w:w="752" w:type="pct"/>
            <w:tcMar>
              <w:top w:w="150" w:type="dxa"/>
              <w:left w:w="240" w:type="dxa"/>
              <w:bottom w:w="150" w:type="dxa"/>
              <w:right w:w="0" w:type="dxa"/>
            </w:tcMar>
            <w:vAlign w:val="center"/>
            <w:hideMark/>
          </w:tcPr>
          <w:p w14:paraId="0ACDAB6C" w14:textId="77777777" w:rsidR="00265CF1" w:rsidRPr="00D71FF2" w:rsidRDefault="00265CF1" w:rsidP="00434208">
            <w:pPr>
              <w:jc w:val="right"/>
              <w:rPr>
                <w:rFonts w:ascii="Times New Roman" w:hAnsi="Times New Roman" w:cs="Times New Roman"/>
                <w:sz w:val="18"/>
                <w:szCs w:val="18"/>
              </w:rPr>
            </w:pPr>
            <w:r>
              <w:t>0.651</w:t>
            </w:r>
          </w:p>
        </w:tc>
      </w:tr>
      <w:tr w:rsidR="00434208" w:rsidRPr="00D71FF2" w14:paraId="2B973407" w14:textId="77777777" w:rsidTr="00434208">
        <w:tc>
          <w:tcPr>
            <w:tcW w:w="594" w:type="pct"/>
            <w:tcMar>
              <w:top w:w="150" w:type="dxa"/>
              <w:left w:w="0" w:type="dxa"/>
              <w:bottom w:w="150" w:type="dxa"/>
              <w:right w:w="240" w:type="dxa"/>
            </w:tcMar>
            <w:vAlign w:val="center"/>
            <w:hideMark/>
          </w:tcPr>
          <w:p w14:paraId="266AEF1A" w14:textId="77777777" w:rsidR="00265CF1" w:rsidRPr="00D71FF2" w:rsidRDefault="00265CF1" w:rsidP="00265CF1">
            <w:pPr>
              <w:rPr>
                <w:rFonts w:ascii="Times New Roman" w:hAnsi="Times New Roman" w:cs="Times New Roman"/>
                <w:sz w:val="18"/>
                <w:szCs w:val="18"/>
              </w:rPr>
            </w:pPr>
            <w:r>
              <w:t>2004</w:t>
            </w:r>
          </w:p>
        </w:tc>
        <w:tc>
          <w:tcPr>
            <w:tcW w:w="1350" w:type="pct"/>
            <w:tcMar>
              <w:top w:w="150" w:type="dxa"/>
              <w:left w:w="240" w:type="dxa"/>
              <w:bottom w:w="150" w:type="dxa"/>
              <w:right w:w="240" w:type="dxa"/>
            </w:tcMar>
            <w:vAlign w:val="center"/>
            <w:hideMark/>
          </w:tcPr>
          <w:p w14:paraId="6F6375F5" w14:textId="77777777" w:rsidR="00265CF1" w:rsidRPr="00D71FF2" w:rsidRDefault="00265CF1" w:rsidP="00265CF1">
            <w:pPr>
              <w:rPr>
                <w:rFonts w:ascii="Times New Roman" w:hAnsi="Times New Roman" w:cs="Times New Roman"/>
                <w:sz w:val="18"/>
                <w:szCs w:val="18"/>
              </w:rPr>
            </w:pPr>
            <w:r>
              <w:t>1991–2000, 2006–2011</w:t>
            </w:r>
          </w:p>
        </w:tc>
        <w:tc>
          <w:tcPr>
            <w:tcW w:w="604" w:type="pct"/>
            <w:tcMar>
              <w:top w:w="150" w:type="dxa"/>
              <w:left w:w="240" w:type="dxa"/>
              <w:bottom w:w="150" w:type="dxa"/>
              <w:right w:w="240" w:type="dxa"/>
            </w:tcMar>
            <w:vAlign w:val="center"/>
            <w:hideMark/>
          </w:tcPr>
          <w:p w14:paraId="55B13D13" w14:textId="77777777" w:rsidR="00265CF1" w:rsidRPr="00D71FF2" w:rsidRDefault="00265CF1" w:rsidP="00434208">
            <w:pPr>
              <w:jc w:val="right"/>
              <w:rPr>
                <w:rFonts w:ascii="Times New Roman" w:hAnsi="Times New Roman" w:cs="Times New Roman"/>
                <w:sz w:val="18"/>
                <w:szCs w:val="18"/>
              </w:rPr>
            </w:pPr>
            <w:r>
              <w:t>11,783</w:t>
            </w:r>
          </w:p>
        </w:tc>
        <w:tc>
          <w:tcPr>
            <w:tcW w:w="851" w:type="pct"/>
            <w:tcMar>
              <w:top w:w="150" w:type="dxa"/>
              <w:left w:w="240" w:type="dxa"/>
              <w:bottom w:w="150" w:type="dxa"/>
              <w:right w:w="240" w:type="dxa"/>
            </w:tcMar>
            <w:vAlign w:val="center"/>
            <w:hideMark/>
          </w:tcPr>
          <w:p w14:paraId="0B80F286" w14:textId="77777777" w:rsidR="00265CF1" w:rsidRPr="00D71FF2" w:rsidRDefault="00265CF1" w:rsidP="00434208">
            <w:pPr>
              <w:jc w:val="right"/>
              <w:rPr>
                <w:rFonts w:ascii="Times New Roman" w:hAnsi="Times New Roman" w:cs="Times New Roman"/>
                <w:sz w:val="18"/>
                <w:szCs w:val="18"/>
              </w:rPr>
            </w:pPr>
            <w:r>
              <w:t>0.767</w:t>
            </w:r>
          </w:p>
        </w:tc>
        <w:tc>
          <w:tcPr>
            <w:tcW w:w="849" w:type="pct"/>
            <w:tcMar>
              <w:top w:w="150" w:type="dxa"/>
              <w:left w:w="240" w:type="dxa"/>
              <w:bottom w:w="150" w:type="dxa"/>
              <w:right w:w="240" w:type="dxa"/>
            </w:tcMar>
            <w:vAlign w:val="center"/>
            <w:hideMark/>
          </w:tcPr>
          <w:p w14:paraId="6CE4B261" w14:textId="77777777" w:rsidR="00265CF1" w:rsidRPr="00D71FF2" w:rsidRDefault="00265CF1" w:rsidP="00434208">
            <w:pPr>
              <w:jc w:val="right"/>
              <w:rPr>
                <w:rFonts w:ascii="Times New Roman" w:hAnsi="Times New Roman" w:cs="Times New Roman"/>
                <w:sz w:val="18"/>
                <w:szCs w:val="18"/>
              </w:rPr>
            </w:pPr>
            <w:r>
              <w:t>0.743</w:t>
            </w:r>
          </w:p>
        </w:tc>
        <w:tc>
          <w:tcPr>
            <w:tcW w:w="752" w:type="pct"/>
            <w:tcMar>
              <w:top w:w="150" w:type="dxa"/>
              <w:left w:w="240" w:type="dxa"/>
              <w:bottom w:w="150" w:type="dxa"/>
              <w:right w:w="0" w:type="dxa"/>
            </w:tcMar>
            <w:vAlign w:val="center"/>
            <w:hideMark/>
          </w:tcPr>
          <w:p w14:paraId="1C9C19D1" w14:textId="77777777" w:rsidR="00265CF1" w:rsidRPr="00D71FF2" w:rsidRDefault="00265CF1" w:rsidP="00434208">
            <w:pPr>
              <w:jc w:val="right"/>
              <w:rPr>
                <w:rFonts w:ascii="Times New Roman" w:hAnsi="Times New Roman" w:cs="Times New Roman"/>
                <w:sz w:val="18"/>
                <w:szCs w:val="18"/>
              </w:rPr>
            </w:pPr>
            <w:r>
              <w:t>0.618</w:t>
            </w:r>
          </w:p>
        </w:tc>
      </w:tr>
      <w:tr w:rsidR="00434208" w:rsidRPr="00D71FF2" w14:paraId="07EC2490" w14:textId="77777777" w:rsidTr="00434208">
        <w:tc>
          <w:tcPr>
            <w:tcW w:w="594" w:type="pct"/>
            <w:tcMar>
              <w:top w:w="150" w:type="dxa"/>
              <w:left w:w="0" w:type="dxa"/>
              <w:bottom w:w="150" w:type="dxa"/>
              <w:right w:w="240" w:type="dxa"/>
            </w:tcMar>
            <w:vAlign w:val="center"/>
            <w:hideMark/>
          </w:tcPr>
          <w:p w14:paraId="62B3C6DC" w14:textId="77777777" w:rsidR="00265CF1" w:rsidRPr="00D71FF2" w:rsidRDefault="00265CF1" w:rsidP="00265CF1">
            <w:pPr>
              <w:rPr>
                <w:rFonts w:ascii="Times New Roman" w:hAnsi="Times New Roman" w:cs="Times New Roman"/>
                <w:sz w:val="18"/>
                <w:szCs w:val="18"/>
              </w:rPr>
            </w:pPr>
            <w:r>
              <w:t>2006</w:t>
            </w:r>
          </w:p>
        </w:tc>
        <w:tc>
          <w:tcPr>
            <w:tcW w:w="1350" w:type="pct"/>
            <w:tcMar>
              <w:top w:w="150" w:type="dxa"/>
              <w:left w:w="240" w:type="dxa"/>
              <w:bottom w:w="150" w:type="dxa"/>
              <w:right w:w="240" w:type="dxa"/>
            </w:tcMar>
            <w:vAlign w:val="center"/>
            <w:hideMark/>
          </w:tcPr>
          <w:p w14:paraId="25E0C95B" w14:textId="77777777" w:rsidR="00265CF1" w:rsidRPr="00D71FF2" w:rsidRDefault="00265CF1" w:rsidP="00265CF1">
            <w:pPr>
              <w:rPr>
                <w:rFonts w:ascii="Times New Roman" w:hAnsi="Times New Roman" w:cs="Times New Roman"/>
                <w:sz w:val="18"/>
                <w:szCs w:val="18"/>
              </w:rPr>
            </w:pPr>
            <w:r>
              <w:t>1991–2004, 2009–2011</w:t>
            </w:r>
          </w:p>
        </w:tc>
        <w:tc>
          <w:tcPr>
            <w:tcW w:w="604" w:type="pct"/>
            <w:tcMar>
              <w:top w:w="150" w:type="dxa"/>
              <w:left w:w="240" w:type="dxa"/>
              <w:bottom w:w="150" w:type="dxa"/>
              <w:right w:w="240" w:type="dxa"/>
            </w:tcMar>
            <w:vAlign w:val="center"/>
            <w:hideMark/>
          </w:tcPr>
          <w:p w14:paraId="3B995CF5" w14:textId="77777777" w:rsidR="00265CF1" w:rsidRPr="00D71FF2" w:rsidRDefault="00265CF1" w:rsidP="00434208">
            <w:pPr>
              <w:jc w:val="right"/>
              <w:rPr>
                <w:rFonts w:ascii="Times New Roman" w:hAnsi="Times New Roman" w:cs="Times New Roman"/>
                <w:sz w:val="18"/>
                <w:szCs w:val="18"/>
              </w:rPr>
            </w:pPr>
            <w:r>
              <w:t>11,328</w:t>
            </w:r>
          </w:p>
        </w:tc>
        <w:tc>
          <w:tcPr>
            <w:tcW w:w="851" w:type="pct"/>
            <w:tcMar>
              <w:top w:w="150" w:type="dxa"/>
              <w:left w:w="240" w:type="dxa"/>
              <w:bottom w:w="150" w:type="dxa"/>
              <w:right w:w="240" w:type="dxa"/>
            </w:tcMar>
            <w:vAlign w:val="center"/>
            <w:hideMark/>
          </w:tcPr>
          <w:p w14:paraId="059005FD" w14:textId="77777777" w:rsidR="00265CF1" w:rsidRPr="00D71FF2" w:rsidRDefault="00265CF1" w:rsidP="00434208">
            <w:pPr>
              <w:jc w:val="right"/>
              <w:rPr>
                <w:rFonts w:ascii="Times New Roman" w:hAnsi="Times New Roman" w:cs="Times New Roman"/>
                <w:sz w:val="18"/>
                <w:szCs w:val="18"/>
              </w:rPr>
            </w:pPr>
            <w:r>
              <w:t>0.762</w:t>
            </w:r>
          </w:p>
        </w:tc>
        <w:tc>
          <w:tcPr>
            <w:tcW w:w="849" w:type="pct"/>
            <w:tcMar>
              <w:top w:w="150" w:type="dxa"/>
              <w:left w:w="240" w:type="dxa"/>
              <w:bottom w:w="150" w:type="dxa"/>
              <w:right w:w="240" w:type="dxa"/>
            </w:tcMar>
            <w:vAlign w:val="center"/>
            <w:hideMark/>
          </w:tcPr>
          <w:p w14:paraId="01426C5E" w14:textId="77777777" w:rsidR="00265CF1" w:rsidRPr="00D71FF2" w:rsidRDefault="00265CF1" w:rsidP="00434208">
            <w:pPr>
              <w:jc w:val="right"/>
              <w:rPr>
                <w:rFonts w:ascii="Times New Roman" w:hAnsi="Times New Roman" w:cs="Times New Roman"/>
                <w:sz w:val="18"/>
                <w:szCs w:val="18"/>
              </w:rPr>
            </w:pPr>
            <w:r>
              <w:t>0.759</w:t>
            </w:r>
          </w:p>
        </w:tc>
        <w:tc>
          <w:tcPr>
            <w:tcW w:w="752" w:type="pct"/>
            <w:tcMar>
              <w:top w:w="150" w:type="dxa"/>
              <w:left w:w="240" w:type="dxa"/>
              <w:bottom w:w="150" w:type="dxa"/>
              <w:right w:w="0" w:type="dxa"/>
            </w:tcMar>
            <w:vAlign w:val="center"/>
            <w:hideMark/>
          </w:tcPr>
          <w:p w14:paraId="6C440120" w14:textId="77777777" w:rsidR="00265CF1" w:rsidRPr="00D71FF2" w:rsidRDefault="00265CF1" w:rsidP="00434208">
            <w:pPr>
              <w:jc w:val="right"/>
              <w:rPr>
                <w:rFonts w:ascii="Times New Roman" w:hAnsi="Times New Roman" w:cs="Times New Roman"/>
                <w:sz w:val="18"/>
                <w:szCs w:val="18"/>
              </w:rPr>
            </w:pPr>
            <w:r>
              <w:t>0.601</w:t>
            </w:r>
          </w:p>
        </w:tc>
      </w:tr>
      <w:tr w:rsidR="00434208" w:rsidRPr="00D71FF2" w14:paraId="1633712D" w14:textId="77777777" w:rsidTr="00434208">
        <w:tc>
          <w:tcPr>
            <w:tcW w:w="594" w:type="pct"/>
            <w:tcMar>
              <w:top w:w="150" w:type="dxa"/>
              <w:left w:w="0" w:type="dxa"/>
              <w:bottom w:w="150" w:type="dxa"/>
              <w:right w:w="240" w:type="dxa"/>
            </w:tcMar>
            <w:vAlign w:val="center"/>
            <w:hideMark/>
          </w:tcPr>
          <w:p w14:paraId="0943519A" w14:textId="77777777" w:rsidR="00265CF1" w:rsidRPr="00D71FF2" w:rsidRDefault="00265CF1" w:rsidP="00265CF1">
            <w:pPr>
              <w:rPr>
                <w:rFonts w:ascii="Times New Roman" w:hAnsi="Times New Roman" w:cs="Times New Roman"/>
                <w:sz w:val="18"/>
                <w:szCs w:val="18"/>
              </w:rPr>
            </w:pPr>
            <w:r>
              <w:t>2009</w:t>
            </w:r>
          </w:p>
        </w:tc>
        <w:tc>
          <w:tcPr>
            <w:tcW w:w="1350" w:type="pct"/>
            <w:tcMar>
              <w:top w:w="150" w:type="dxa"/>
              <w:left w:w="240" w:type="dxa"/>
              <w:bottom w:w="150" w:type="dxa"/>
              <w:right w:w="240" w:type="dxa"/>
            </w:tcMar>
            <w:vAlign w:val="center"/>
            <w:hideMark/>
          </w:tcPr>
          <w:p w14:paraId="769E37A4" w14:textId="049C8D1A" w:rsidR="00265CF1" w:rsidRPr="00D71FF2" w:rsidRDefault="00265CF1" w:rsidP="00265CF1">
            <w:pPr>
              <w:rPr>
                <w:rFonts w:ascii="Times New Roman" w:hAnsi="Times New Roman" w:cs="Times New Roman"/>
                <w:sz w:val="18"/>
                <w:szCs w:val="18"/>
              </w:rPr>
            </w:pPr>
            <w:r>
              <w:t>1991–2006,2011</w:t>
            </w:r>
          </w:p>
        </w:tc>
        <w:tc>
          <w:tcPr>
            <w:tcW w:w="604" w:type="pct"/>
            <w:tcMar>
              <w:top w:w="150" w:type="dxa"/>
              <w:left w:w="240" w:type="dxa"/>
              <w:bottom w:w="150" w:type="dxa"/>
              <w:right w:w="240" w:type="dxa"/>
            </w:tcMar>
            <w:vAlign w:val="center"/>
            <w:hideMark/>
          </w:tcPr>
          <w:p w14:paraId="2EC97F59" w14:textId="77777777" w:rsidR="00265CF1" w:rsidRPr="00D71FF2" w:rsidRDefault="00265CF1" w:rsidP="00434208">
            <w:pPr>
              <w:jc w:val="right"/>
              <w:rPr>
                <w:rFonts w:ascii="Times New Roman" w:hAnsi="Times New Roman" w:cs="Times New Roman"/>
                <w:sz w:val="18"/>
                <w:szCs w:val="18"/>
              </w:rPr>
            </w:pPr>
            <w:r>
              <w:t>11,566</w:t>
            </w:r>
          </w:p>
        </w:tc>
        <w:tc>
          <w:tcPr>
            <w:tcW w:w="851" w:type="pct"/>
            <w:tcMar>
              <w:top w:w="150" w:type="dxa"/>
              <w:left w:w="240" w:type="dxa"/>
              <w:bottom w:w="150" w:type="dxa"/>
              <w:right w:w="240" w:type="dxa"/>
            </w:tcMar>
            <w:vAlign w:val="center"/>
            <w:hideMark/>
          </w:tcPr>
          <w:p w14:paraId="03273B0C" w14:textId="77777777" w:rsidR="00265CF1" w:rsidRPr="00D71FF2" w:rsidRDefault="00265CF1" w:rsidP="00434208">
            <w:pPr>
              <w:jc w:val="right"/>
              <w:rPr>
                <w:rFonts w:ascii="Times New Roman" w:hAnsi="Times New Roman" w:cs="Times New Roman"/>
                <w:sz w:val="18"/>
                <w:szCs w:val="18"/>
              </w:rPr>
            </w:pPr>
            <w:r>
              <w:t>0.780</w:t>
            </w:r>
          </w:p>
        </w:tc>
        <w:tc>
          <w:tcPr>
            <w:tcW w:w="849" w:type="pct"/>
            <w:tcMar>
              <w:top w:w="150" w:type="dxa"/>
              <w:left w:w="240" w:type="dxa"/>
              <w:bottom w:w="150" w:type="dxa"/>
              <w:right w:w="240" w:type="dxa"/>
            </w:tcMar>
            <w:vAlign w:val="center"/>
            <w:hideMark/>
          </w:tcPr>
          <w:p w14:paraId="1310FA4D"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0D5F25A2" w14:textId="77777777" w:rsidR="00265CF1" w:rsidRPr="00D71FF2" w:rsidRDefault="00265CF1" w:rsidP="00434208">
            <w:pPr>
              <w:jc w:val="right"/>
              <w:rPr>
                <w:rFonts w:ascii="Times New Roman" w:hAnsi="Times New Roman" w:cs="Times New Roman"/>
                <w:sz w:val="18"/>
                <w:szCs w:val="18"/>
              </w:rPr>
            </w:pPr>
            <w:r>
              <w:t>0.636</w:t>
            </w:r>
          </w:p>
        </w:tc>
      </w:tr>
      <w:tr w:rsidR="00434208" w:rsidRPr="00D71FF2" w14:paraId="070D974D" w14:textId="77777777" w:rsidTr="00434208">
        <w:tc>
          <w:tcPr>
            <w:tcW w:w="594" w:type="pct"/>
            <w:tcMar>
              <w:top w:w="150" w:type="dxa"/>
              <w:left w:w="0" w:type="dxa"/>
              <w:bottom w:w="150" w:type="dxa"/>
              <w:right w:w="240" w:type="dxa"/>
            </w:tcMar>
            <w:vAlign w:val="center"/>
            <w:hideMark/>
          </w:tcPr>
          <w:p w14:paraId="4E897D19" w14:textId="77777777" w:rsidR="00265CF1" w:rsidRPr="00D71FF2" w:rsidRDefault="00265CF1" w:rsidP="00265CF1">
            <w:pPr>
              <w:rPr>
                <w:rFonts w:ascii="Times New Roman" w:hAnsi="Times New Roman" w:cs="Times New Roman"/>
                <w:sz w:val="18"/>
                <w:szCs w:val="18"/>
              </w:rPr>
            </w:pPr>
            <w:r>
              <w:t>2011</w:t>
            </w:r>
          </w:p>
        </w:tc>
        <w:tc>
          <w:tcPr>
            <w:tcW w:w="1350" w:type="pct"/>
            <w:tcMar>
              <w:top w:w="150" w:type="dxa"/>
              <w:left w:w="240" w:type="dxa"/>
              <w:bottom w:w="150" w:type="dxa"/>
              <w:right w:w="240" w:type="dxa"/>
            </w:tcMar>
            <w:vAlign w:val="center"/>
            <w:hideMark/>
          </w:tcPr>
          <w:p w14:paraId="0B91194D" w14:textId="77777777" w:rsidR="00265CF1" w:rsidRPr="00D71FF2" w:rsidRDefault="00265CF1" w:rsidP="00265CF1">
            <w:pPr>
              <w:rPr>
                <w:rFonts w:ascii="Times New Roman" w:hAnsi="Times New Roman" w:cs="Times New Roman"/>
                <w:sz w:val="18"/>
                <w:szCs w:val="18"/>
              </w:rPr>
            </w:pPr>
            <w:r>
              <w:t>1991–2009</w:t>
            </w:r>
          </w:p>
        </w:tc>
        <w:tc>
          <w:tcPr>
            <w:tcW w:w="604" w:type="pct"/>
            <w:tcMar>
              <w:top w:w="150" w:type="dxa"/>
              <w:left w:w="240" w:type="dxa"/>
              <w:bottom w:w="150" w:type="dxa"/>
              <w:right w:w="240" w:type="dxa"/>
            </w:tcMar>
            <w:vAlign w:val="center"/>
            <w:hideMark/>
          </w:tcPr>
          <w:p w14:paraId="5884640E" w14:textId="77777777" w:rsidR="00265CF1" w:rsidRPr="00D71FF2" w:rsidRDefault="00265CF1" w:rsidP="00434208">
            <w:pPr>
              <w:jc w:val="right"/>
              <w:rPr>
                <w:rFonts w:ascii="Times New Roman" w:hAnsi="Times New Roman" w:cs="Times New Roman"/>
                <w:sz w:val="18"/>
                <w:szCs w:val="18"/>
              </w:rPr>
            </w:pPr>
            <w:r>
              <w:t>14,898</w:t>
            </w:r>
          </w:p>
        </w:tc>
        <w:tc>
          <w:tcPr>
            <w:tcW w:w="851" w:type="pct"/>
            <w:tcMar>
              <w:top w:w="150" w:type="dxa"/>
              <w:left w:w="240" w:type="dxa"/>
              <w:bottom w:w="150" w:type="dxa"/>
              <w:right w:w="240" w:type="dxa"/>
            </w:tcMar>
            <w:vAlign w:val="center"/>
            <w:hideMark/>
          </w:tcPr>
          <w:p w14:paraId="69FF590E" w14:textId="77777777" w:rsidR="00265CF1" w:rsidRPr="00D71FF2" w:rsidRDefault="00265CF1" w:rsidP="00434208">
            <w:pPr>
              <w:jc w:val="right"/>
              <w:rPr>
                <w:rFonts w:ascii="Times New Roman" w:hAnsi="Times New Roman" w:cs="Times New Roman"/>
                <w:sz w:val="18"/>
                <w:szCs w:val="18"/>
              </w:rPr>
            </w:pPr>
            <w:r>
              <w:t>0.740</w:t>
            </w:r>
          </w:p>
        </w:tc>
        <w:tc>
          <w:tcPr>
            <w:tcW w:w="849" w:type="pct"/>
            <w:tcMar>
              <w:top w:w="150" w:type="dxa"/>
              <w:left w:w="240" w:type="dxa"/>
              <w:bottom w:w="150" w:type="dxa"/>
              <w:right w:w="240" w:type="dxa"/>
            </w:tcMar>
            <w:vAlign w:val="center"/>
            <w:hideMark/>
          </w:tcPr>
          <w:p w14:paraId="0408647A"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51034F7F" w14:textId="77777777" w:rsidR="00265CF1" w:rsidRPr="00D71FF2" w:rsidRDefault="00265CF1" w:rsidP="00434208">
            <w:pPr>
              <w:jc w:val="right"/>
              <w:rPr>
                <w:rFonts w:ascii="Times New Roman" w:hAnsi="Times New Roman" w:cs="Times New Roman"/>
                <w:sz w:val="18"/>
                <w:szCs w:val="18"/>
              </w:rPr>
            </w:pPr>
            <w:r>
              <w:t>0.589</w:t>
            </w:r>
          </w:p>
        </w:tc>
      </w:tr>
      <w:tr w:rsidR="00434208" w:rsidRPr="00D71FF2" w14:paraId="19795050" w14:textId="77777777" w:rsidTr="00434208">
        <w:tc>
          <w:tcPr>
            <w:tcW w:w="2547" w:type="pct"/>
            <w:gridSpan w:val="3"/>
            <w:tcBorders>
              <w:bottom w:val="single" w:sz="8" w:space="0" w:color="auto"/>
            </w:tcBorders>
            <w:tcMar>
              <w:top w:w="150" w:type="dxa"/>
              <w:left w:w="0" w:type="dxa"/>
              <w:bottom w:w="150" w:type="dxa"/>
              <w:right w:w="240" w:type="dxa"/>
            </w:tcMar>
            <w:vAlign w:val="center"/>
            <w:hideMark/>
          </w:tcPr>
          <w:p w14:paraId="7E202AC4" w14:textId="2D6700AA" w:rsidR="00434208" w:rsidRPr="00D71FF2" w:rsidRDefault="00434208" w:rsidP="00434208">
            <w:pPr>
              <w:jc w:val="left"/>
              <w:rPr>
                <w:rFonts w:ascii="Times New Roman" w:hAnsi="Times New Roman" w:cs="Times New Roman"/>
                <w:sz w:val="18"/>
                <w:szCs w:val="18"/>
              </w:rPr>
            </w:pPr>
            <w:proofErr w:type="spellStart"/>
            <w:r w:rsidRPr="00D71FF2">
              <w:rPr>
                <w:rFonts w:ascii="Times New Roman" w:hAnsi="Times New Roman" w:cs="Times New Roman"/>
                <w:b/>
                <w:bCs/>
                <w:sz w:val="18"/>
                <w:szCs w:val="18"/>
              </w:rPr>
              <w:t>Mean±SD</w:t>
            </w:r>
            <w:proofErr w:type="spellEnd"/>
          </w:p>
        </w:tc>
        <w:tc>
          <w:tcPr>
            <w:tcW w:w="851" w:type="pct"/>
            <w:tcBorders>
              <w:bottom w:val="single" w:sz="8" w:space="0" w:color="auto"/>
            </w:tcBorders>
            <w:tcMar>
              <w:top w:w="150" w:type="dxa"/>
              <w:left w:w="240" w:type="dxa"/>
              <w:bottom w:w="150" w:type="dxa"/>
              <w:right w:w="240" w:type="dxa"/>
            </w:tcMar>
            <w:vAlign w:val="center"/>
            <w:hideMark/>
          </w:tcPr>
          <w:p w14:paraId="3315993D" w14:textId="070E9B71" w:rsidR="00434208" w:rsidRPr="00D71FF2" w:rsidRDefault="00434208" w:rsidP="00434208">
            <w:pPr>
              <w:jc w:val="right"/>
              <w:rPr>
                <w:rFonts w:ascii="Times New Roman" w:hAnsi="Times New Roman" w:cs="Times New Roman"/>
                <w:sz w:val="18"/>
                <w:szCs w:val="18"/>
              </w:rPr>
            </w:pPr>
            <w:r>
              <w:t>0.776±0.019</w:t>
            </w:r>
          </w:p>
        </w:tc>
        <w:tc>
          <w:tcPr>
            <w:tcW w:w="849" w:type="pct"/>
            <w:tcBorders>
              <w:bottom w:val="single" w:sz="8" w:space="0" w:color="auto"/>
            </w:tcBorders>
            <w:tcMar>
              <w:top w:w="150" w:type="dxa"/>
              <w:left w:w="240" w:type="dxa"/>
              <w:bottom w:w="150" w:type="dxa"/>
              <w:right w:w="240" w:type="dxa"/>
            </w:tcMar>
            <w:vAlign w:val="center"/>
            <w:hideMark/>
          </w:tcPr>
          <w:p w14:paraId="5EA492B3" w14:textId="38BAB249" w:rsidR="00434208" w:rsidRPr="00D71FF2" w:rsidRDefault="00434208" w:rsidP="00434208">
            <w:pPr>
              <w:jc w:val="right"/>
              <w:rPr>
                <w:rFonts w:ascii="Times New Roman" w:hAnsi="Times New Roman" w:cs="Times New Roman"/>
                <w:sz w:val="18"/>
                <w:szCs w:val="18"/>
              </w:rPr>
            </w:pPr>
            <w:r>
              <w:t>0.759±0.020</w:t>
            </w:r>
          </w:p>
        </w:tc>
        <w:tc>
          <w:tcPr>
            <w:tcW w:w="752" w:type="pct"/>
            <w:tcBorders>
              <w:bottom w:val="single" w:sz="8" w:space="0" w:color="auto"/>
            </w:tcBorders>
            <w:tcMar>
              <w:top w:w="150" w:type="dxa"/>
              <w:left w:w="240" w:type="dxa"/>
              <w:bottom w:w="150" w:type="dxa"/>
              <w:right w:w="0" w:type="dxa"/>
            </w:tcMar>
            <w:vAlign w:val="center"/>
            <w:hideMark/>
          </w:tcPr>
          <w:p w14:paraId="6A9CB930" w14:textId="4594EC5D" w:rsidR="00434208" w:rsidRPr="00D71FF2" w:rsidRDefault="00434208" w:rsidP="00434208">
            <w:pPr>
              <w:jc w:val="right"/>
              <w:rPr>
                <w:rFonts w:ascii="Times New Roman" w:hAnsi="Times New Roman" w:cs="Times New Roman"/>
                <w:sz w:val="18"/>
                <w:szCs w:val="18"/>
              </w:rPr>
            </w:pPr>
            <w:r>
              <w:t>0.621±0.024</w:t>
            </w:r>
          </w:p>
        </w:tc>
      </w:tr>
    </w:tbl>
    <w:p w14:paraId="5E0AD9CA" w14:textId="03AB1462" w:rsidR="00265CF1" w:rsidRPr="00D71FF2" w:rsidRDefault="00265CF1" w:rsidP="0080027F">
      <w:pPr>
        <w:pStyle w:val="3"/>
      </w:pPr>
      <w:r w:rsidRPr="00D71FF2">
        <w:t>Calibration</w:t>
      </w:r>
    </w:p>
    <w:p w14:paraId="1C415F3D" w14:textId="12273E60" w:rsidR="003B794F" w:rsidRPr="00D71FF2" w:rsidRDefault="003A7C12" w:rsidP="00265CF1">
      <w:pPr>
        <w:rPr>
          <w:rFonts w:ascii="Times New Roman" w:hAnsi="Times New Roman" w:cs="Times New Roman"/>
        </w:rPr>
      </w:pPr>
      <w:r>
        <w:t>Calibration is evaluated because well-calibrated class probabilities are not merely a goodness-of-fit summary: they can be used as inverse-probability weights or as draws in multiple imputation for downstream sensitivity analyses when labels are missing. We therefore report Brier scores and expected calibration error (ECE) and interpret calibration as a prerequisite for probability-based reuse of imputed labels, not only as a classifier diagnostic.</w:t>
      </w:r>
    </w:p>
    <w:p>
      <w:pPr>
        <w:jc w:val="center"/>
      </w:pPr>
      <w:r>
        <w:drawing>
          <wp:inline xmlns:a="http://schemas.openxmlformats.org/drawingml/2006/main" xmlns:pic="http://schemas.openxmlformats.org/drawingml/2006/picture">
            <wp:extent cx="5669280" cy="186310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1863108"/>
                    </a:xfrm>
                    <a:prstGeom prst="rect"/>
                  </pic:spPr>
                </pic:pic>
              </a:graphicData>
            </a:graphic>
          </wp:inline>
        </w:drawing>
      </w:r>
    </w:p>
    <w:p w14:paraId="42CA5C2C" w14:textId="7AEB66A6" w:rsidR="003B794F" w:rsidRPr="00D71FF2" w:rsidRDefault="003B794F" w:rsidP="00265CF1">
      <w:pPr>
        <w:rPr>
          <w:rFonts w:ascii="Times New Roman" w:hAnsi="Times New Roman" w:cs="Times New Roman"/>
        </w:rPr>
      </w:pPr>
      <w:r w:rsidRPr="00D71FF2">
        <w:rPr>
          <w:rFonts w:ascii="Times New Roman" w:hAnsi="Times New Roman" w:cs="Times New Roman"/>
          <w:b/>
          <w:bCs/>
        </w:rPr>
        <w:t xml:space="preserve">Figure </w:t>
      </w:r>
      <w:r w:rsidR="00A61EDF" w:rsidRPr="00D71FF2">
        <w:rPr>
          <w:rFonts w:ascii="Times New Roman" w:hAnsi="Times New Roman" w:cs="Times New Roman"/>
          <w:b/>
          <w:bCs/>
        </w:rPr>
        <w:t>4</w:t>
      </w:r>
      <w:r w:rsidRPr="00D71FF2">
        <w:rPr>
          <w:rFonts w:ascii="Times New Roman" w:hAnsi="Times New Roman" w:cs="Times New Roman"/>
          <w:b/>
          <w:bCs/>
        </w:rPr>
        <w:t>.</w:t>
      </w:r>
      <w:r w:rsidRPr="00D71FF2">
        <w:rPr>
          <w:rFonts w:ascii="Times New Roman" w:hAnsi="Times New Roman" w:cs="Times New Roman"/>
        </w:rPr>
        <w:t> Calibration curves for the three outcome categories: (a) Rural, (b) Transitional, and (c) Urban. The diagonal dashed line represents perfect calibration. Histograms show the distribution of predicted probabilities. Shaded regions represent 95% confidence intervals from bootstrap resampling (n = 2,000).</w:t>
      </w:r>
    </w:p>
    <w:p w14:paraId="6151F438" w14:textId="1D224E33" w:rsidR="00265CF1" w:rsidRPr="00D71FF2" w:rsidRDefault="003A7C12" w:rsidP="00265CF1">
      <w:pPr>
        <w:rPr>
          <w:rFonts w:ascii="Times New Roman" w:hAnsi="Times New Roman" w:cs="Times New Roman"/>
        </w:rPr>
      </w:pPr>
      <w:r w:rsidRPr="00D71FF2">
        <w:rPr>
          <w:rFonts w:ascii="Times New Roman" w:hAnsi="Times New Roman" w:cs="Times New Roman"/>
        </w:rPr>
        <w:t>This supports the use of probabilistic outputs for sensitivity analyses and uncertainty-aware applications.</w:t>
      </w:r>
    </w:p>
    <w:p w14:paraId="2013006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7. </w:t>
      </w:r>
      <w:r w:rsidRPr="00D71FF2">
        <w:rPr>
          <w:rFonts w:ascii="Times New Roman" w:hAnsi="Times New Roman" w:cs="Times New Roman"/>
        </w:rPr>
        <w:t>Calibration Metrics by Category</w:t>
      </w:r>
    </w:p>
    <w:tbl>
      <w:tblPr>
        <w:tblW w:w="5000" w:type="pct"/>
        <w:tblCellMar>
          <w:top w:w="15" w:type="dxa"/>
          <w:left w:w="15" w:type="dxa"/>
          <w:bottom w:w="15" w:type="dxa"/>
          <w:right w:w="15" w:type="dxa"/>
        </w:tblCellMar>
        <w:tblLook w:val="04A0" w:firstRow="1" w:lastRow="0" w:firstColumn="1" w:lastColumn="0" w:noHBand="0" w:noVBand="1"/>
      </w:tblPr>
      <w:tblGrid>
        <w:gridCol w:w="1234"/>
        <w:gridCol w:w="1457"/>
        <w:gridCol w:w="1088"/>
        <w:gridCol w:w="1802"/>
        <w:gridCol w:w="1841"/>
        <w:gridCol w:w="884"/>
      </w:tblGrid>
      <w:tr w:rsidR="00265CF1" w:rsidRPr="00D71FF2" w14:paraId="17767446" w14:textId="77777777" w:rsidTr="0054052A">
        <w:trPr>
          <w:tblHeader/>
        </w:trPr>
        <w:tc>
          <w:tcPr>
            <w:tcW w:w="742" w:type="pct"/>
            <w:tcBorders>
              <w:top w:val="single" w:sz="8" w:space="0" w:color="auto"/>
              <w:bottom w:val="single" w:sz="4" w:space="0" w:color="auto"/>
            </w:tcBorders>
            <w:tcMar>
              <w:top w:w="150" w:type="dxa"/>
              <w:left w:w="0" w:type="dxa"/>
              <w:bottom w:w="150" w:type="dxa"/>
              <w:right w:w="240" w:type="dxa"/>
            </w:tcMar>
            <w:vAlign w:val="center"/>
            <w:hideMark/>
          </w:tcPr>
          <w:p w14:paraId="140262A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Category</w:t>
            </w:r>
          </w:p>
        </w:tc>
        <w:tc>
          <w:tcPr>
            <w:tcW w:w="877" w:type="pct"/>
            <w:tcBorders>
              <w:top w:val="single" w:sz="8" w:space="0" w:color="auto"/>
              <w:bottom w:val="single" w:sz="4" w:space="0" w:color="auto"/>
            </w:tcBorders>
            <w:tcMar>
              <w:top w:w="150" w:type="dxa"/>
              <w:left w:w="240" w:type="dxa"/>
              <w:bottom w:w="150" w:type="dxa"/>
              <w:right w:w="240" w:type="dxa"/>
            </w:tcMar>
            <w:vAlign w:val="center"/>
            <w:hideMark/>
          </w:tcPr>
          <w:p w14:paraId="3A8E88B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Brier Score</w:t>
            </w:r>
          </w:p>
        </w:tc>
        <w:tc>
          <w:tcPr>
            <w:tcW w:w="655" w:type="pct"/>
            <w:tcBorders>
              <w:top w:val="single" w:sz="8" w:space="0" w:color="auto"/>
              <w:bottom w:val="single" w:sz="4" w:space="0" w:color="auto"/>
            </w:tcBorders>
            <w:tcMar>
              <w:top w:w="150" w:type="dxa"/>
              <w:left w:w="240" w:type="dxa"/>
              <w:bottom w:w="150" w:type="dxa"/>
              <w:right w:w="240" w:type="dxa"/>
            </w:tcMar>
            <w:vAlign w:val="center"/>
            <w:hideMark/>
          </w:tcPr>
          <w:p w14:paraId="091FA03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ECE</w:t>
            </w:r>
          </w:p>
        </w:tc>
        <w:tc>
          <w:tcPr>
            <w:tcW w:w="1085" w:type="pct"/>
            <w:tcBorders>
              <w:top w:val="single" w:sz="8" w:space="0" w:color="auto"/>
              <w:bottom w:val="single" w:sz="4" w:space="0" w:color="auto"/>
            </w:tcBorders>
            <w:tcMar>
              <w:top w:w="150" w:type="dxa"/>
              <w:left w:w="240" w:type="dxa"/>
              <w:bottom w:w="150" w:type="dxa"/>
              <w:right w:w="240" w:type="dxa"/>
            </w:tcMar>
            <w:vAlign w:val="center"/>
            <w:hideMark/>
          </w:tcPr>
          <w:p w14:paraId="1D52E9C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Mean Predicted</w:t>
            </w:r>
          </w:p>
        </w:tc>
        <w:tc>
          <w:tcPr>
            <w:tcW w:w="1108" w:type="pct"/>
            <w:tcBorders>
              <w:top w:val="single" w:sz="8" w:space="0" w:color="auto"/>
              <w:bottom w:val="single" w:sz="4" w:space="0" w:color="auto"/>
            </w:tcBorders>
            <w:tcMar>
              <w:top w:w="150" w:type="dxa"/>
              <w:left w:w="240" w:type="dxa"/>
              <w:bottom w:w="150" w:type="dxa"/>
              <w:right w:w="240" w:type="dxa"/>
            </w:tcMar>
            <w:vAlign w:val="center"/>
            <w:hideMark/>
          </w:tcPr>
          <w:p w14:paraId="10DF31D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Prevalence</w:t>
            </w:r>
          </w:p>
        </w:tc>
        <w:tc>
          <w:tcPr>
            <w:tcW w:w="532" w:type="pct"/>
            <w:tcBorders>
              <w:top w:val="single" w:sz="8" w:space="0" w:color="auto"/>
              <w:bottom w:val="single" w:sz="4" w:space="0" w:color="auto"/>
            </w:tcBorders>
            <w:tcMar>
              <w:top w:w="150" w:type="dxa"/>
              <w:left w:w="240" w:type="dxa"/>
              <w:bottom w:w="150" w:type="dxa"/>
              <w:right w:w="240" w:type="dxa"/>
            </w:tcMar>
            <w:vAlign w:val="center"/>
            <w:hideMark/>
          </w:tcPr>
          <w:p w14:paraId="5D86CD15"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Δ</w:t>
            </w:r>
          </w:p>
        </w:tc>
      </w:tr>
      <w:tr w:rsidR="00265CF1" w:rsidRPr="00D71FF2" w14:paraId="5E67438E" w14:textId="77777777" w:rsidTr="0054052A">
        <w:tc>
          <w:tcPr>
            <w:tcW w:w="742" w:type="pct"/>
            <w:tcBorders>
              <w:top w:val="single" w:sz="4" w:space="0" w:color="auto"/>
            </w:tcBorders>
            <w:tcMar>
              <w:top w:w="150" w:type="dxa"/>
              <w:left w:w="0" w:type="dxa"/>
              <w:bottom w:w="150" w:type="dxa"/>
              <w:right w:w="240" w:type="dxa"/>
            </w:tcMar>
            <w:vAlign w:val="center"/>
            <w:hideMark/>
          </w:tcPr>
          <w:p w14:paraId="36576C82"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Rural</w:t>
            </w:r>
          </w:p>
        </w:tc>
        <w:tc>
          <w:tcPr>
            <w:tcW w:w="877" w:type="pct"/>
            <w:tcBorders>
              <w:top w:val="single" w:sz="4" w:space="0" w:color="auto"/>
            </w:tcBorders>
            <w:tcMar>
              <w:top w:w="150" w:type="dxa"/>
              <w:left w:w="240" w:type="dxa"/>
              <w:bottom w:w="150" w:type="dxa"/>
              <w:right w:w="240" w:type="dxa"/>
            </w:tcMar>
            <w:vAlign w:val="center"/>
            <w:hideMark/>
          </w:tcPr>
          <w:p w14:paraId="52EA9137"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top w:val="single" w:sz="4" w:space="0" w:color="auto"/>
            </w:tcBorders>
            <w:tcMar>
              <w:top w:w="150" w:type="dxa"/>
              <w:left w:w="240" w:type="dxa"/>
              <w:bottom w:w="150" w:type="dxa"/>
              <w:right w:w="240" w:type="dxa"/>
            </w:tcMar>
            <w:vAlign w:val="center"/>
            <w:hideMark/>
          </w:tcPr>
          <w:p w14:paraId="0BD1CA98" w14:textId="77777777" w:rsidR="00265CF1" w:rsidRPr="00D71FF2" w:rsidRDefault="00265CF1" w:rsidP="00434208">
            <w:pPr>
              <w:jc w:val="right"/>
              <w:rPr>
                <w:rFonts w:ascii="Times New Roman" w:hAnsi="Times New Roman" w:cs="Times New Roman"/>
                <w:sz w:val="18"/>
                <w:szCs w:val="20"/>
              </w:rPr>
            </w:pPr>
            <w:r>
              <w:t>0.0075</w:t>
            </w:r>
          </w:p>
        </w:tc>
        <w:tc>
          <w:tcPr>
            <w:tcW w:w="1085" w:type="pct"/>
            <w:tcBorders>
              <w:top w:val="single" w:sz="4" w:space="0" w:color="auto"/>
            </w:tcBorders>
            <w:tcMar>
              <w:top w:w="150" w:type="dxa"/>
              <w:left w:w="240" w:type="dxa"/>
              <w:bottom w:w="150" w:type="dxa"/>
              <w:right w:w="240" w:type="dxa"/>
            </w:tcMar>
            <w:vAlign w:val="center"/>
            <w:hideMark/>
          </w:tcPr>
          <w:p w14:paraId="0A55D402" w14:textId="77777777" w:rsidR="00265CF1" w:rsidRPr="00D71FF2" w:rsidRDefault="00265CF1" w:rsidP="00434208">
            <w:pPr>
              <w:jc w:val="right"/>
              <w:rPr>
                <w:rFonts w:ascii="Times New Roman" w:hAnsi="Times New Roman" w:cs="Times New Roman"/>
                <w:sz w:val="18"/>
                <w:szCs w:val="20"/>
              </w:rPr>
            </w:pPr>
            <w:r>
              <w:t>0.512</w:t>
            </w:r>
          </w:p>
        </w:tc>
        <w:tc>
          <w:tcPr>
            <w:tcW w:w="1108" w:type="pct"/>
            <w:tcBorders>
              <w:top w:val="single" w:sz="4" w:space="0" w:color="auto"/>
            </w:tcBorders>
            <w:tcMar>
              <w:top w:w="150" w:type="dxa"/>
              <w:left w:w="240" w:type="dxa"/>
              <w:bottom w:w="150" w:type="dxa"/>
              <w:right w:w="240" w:type="dxa"/>
            </w:tcMar>
            <w:vAlign w:val="center"/>
            <w:hideMark/>
          </w:tcPr>
          <w:p w14:paraId="19B2F957" w14:textId="77777777" w:rsidR="00265CF1" w:rsidRPr="00D71FF2" w:rsidRDefault="00265CF1" w:rsidP="00434208">
            <w:pPr>
              <w:jc w:val="right"/>
              <w:rPr>
                <w:rFonts w:ascii="Times New Roman" w:hAnsi="Times New Roman" w:cs="Times New Roman"/>
                <w:sz w:val="18"/>
                <w:szCs w:val="20"/>
              </w:rPr>
            </w:pPr>
            <w:r>
              <w:t>0.513</w:t>
            </w:r>
          </w:p>
        </w:tc>
        <w:tc>
          <w:tcPr>
            <w:tcW w:w="532" w:type="pct"/>
            <w:tcBorders>
              <w:top w:val="single" w:sz="4" w:space="0" w:color="auto"/>
            </w:tcBorders>
            <w:tcMar>
              <w:top w:w="150" w:type="dxa"/>
              <w:left w:w="240" w:type="dxa"/>
              <w:bottom w:w="150" w:type="dxa"/>
              <w:right w:w="0" w:type="dxa"/>
            </w:tcMar>
            <w:vAlign w:val="center"/>
            <w:hideMark/>
          </w:tcPr>
          <w:p w14:paraId="02144352" w14:textId="77777777" w:rsidR="00265CF1" w:rsidRPr="00D71FF2" w:rsidRDefault="00265CF1" w:rsidP="00434208">
            <w:pPr>
              <w:jc w:val="right"/>
              <w:rPr>
                <w:rFonts w:ascii="Times New Roman" w:hAnsi="Times New Roman" w:cs="Times New Roman"/>
                <w:sz w:val="18"/>
                <w:szCs w:val="20"/>
              </w:rPr>
            </w:pPr>
            <w:r>
              <w:t>-0.001</w:t>
            </w:r>
          </w:p>
        </w:tc>
      </w:tr>
      <w:tr w:rsidR="00265CF1" w:rsidRPr="00D71FF2" w14:paraId="7165AD68" w14:textId="77777777" w:rsidTr="00434208">
        <w:tc>
          <w:tcPr>
            <w:tcW w:w="742" w:type="pct"/>
            <w:tcMar>
              <w:top w:w="150" w:type="dxa"/>
              <w:left w:w="0" w:type="dxa"/>
              <w:bottom w:w="150" w:type="dxa"/>
              <w:right w:w="240" w:type="dxa"/>
            </w:tcMar>
            <w:vAlign w:val="center"/>
            <w:hideMark/>
          </w:tcPr>
          <w:p w14:paraId="3A97833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Transitional</w:t>
            </w:r>
          </w:p>
        </w:tc>
        <w:tc>
          <w:tcPr>
            <w:tcW w:w="877" w:type="pct"/>
            <w:tcMar>
              <w:top w:w="150" w:type="dxa"/>
              <w:left w:w="240" w:type="dxa"/>
              <w:bottom w:w="150" w:type="dxa"/>
              <w:right w:w="240" w:type="dxa"/>
            </w:tcMar>
            <w:vAlign w:val="center"/>
            <w:hideMark/>
          </w:tcPr>
          <w:p w14:paraId="6191C3A6" w14:textId="77777777" w:rsidR="00265CF1" w:rsidRPr="00D71FF2" w:rsidRDefault="00265CF1" w:rsidP="00434208">
            <w:pPr>
              <w:jc w:val="right"/>
              <w:rPr>
                <w:rFonts w:ascii="Times New Roman" w:hAnsi="Times New Roman" w:cs="Times New Roman"/>
                <w:sz w:val="18"/>
                <w:szCs w:val="20"/>
              </w:rPr>
            </w:pPr>
            <w:r>
              <w:t>0.002</w:t>
            </w:r>
          </w:p>
        </w:tc>
        <w:tc>
          <w:tcPr>
            <w:tcW w:w="655" w:type="pct"/>
            <w:tcMar>
              <w:top w:w="150" w:type="dxa"/>
              <w:left w:w="240" w:type="dxa"/>
              <w:bottom w:w="150" w:type="dxa"/>
              <w:right w:w="240" w:type="dxa"/>
            </w:tcMar>
            <w:vAlign w:val="center"/>
            <w:hideMark/>
          </w:tcPr>
          <w:p w14:paraId="300B9C02" w14:textId="77777777" w:rsidR="00265CF1" w:rsidRPr="00D71FF2" w:rsidRDefault="00265CF1" w:rsidP="00434208">
            <w:pPr>
              <w:jc w:val="right"/>
              <w:rPr>
                <w:rFonts w:ascii="Times New Roman" w:hAnsi="Times New Roman" w:cs="Times New Roman"/>
                <w:sz w:val="18"/>
                <w:szCs w:val="20"/>
              </w:rPr>
            </w:pPr>
            <w:r>
              <w:t>0.0011</w:t>
            </w:r>
          </w:p>
        </w:tc>
        <w:tc>
          <w:tcPr>
            <w:tcW w:w="1085" w:type="pct"/>
            <w:tcMar>
              <w:top w:w="150" w:type="dxa"/>
              <w:left w:w="240" w:type="dxa"/>
              <w:bottom w:w="150" w:type="dxa"/>
              <w:right w:w="240" w:type="dxa"/>
            </w:tcMar>
            <w:vAlign w:val="center"/>
            <w:hideMark/>
          </w:tcPr>
          <w:p w14:paraId="486CD75C" w14:textId="77777777" w:rsidR="00265CF1" w:rsidRPr="00D71FF2" w:rsidRDefault="00265CF1" w:rsidP="00434208">
            <w:pPr>
              <w:jc w:val="right"/>
              <w:rPr>
                <w:rFonts w:ascii="Times New Roman" w:hAnsi="Times New Roman" w:cs="Times New Roman"/>
                <w:sz w:val="18"/>
                <w:szCs w:val="20"/>
              </w:rPr>
            </w:pPr>
            <w:r>
              <w:t>0.225</w:t>
            </w:r>
          </w:p>
        </w:tc>
        <w:tc>
          <w:tcPr>
            <w:tcW w:w="1108" w:type="pct"/>
            <w:tcMar>
              <w:top w:w="150" w:type="dxa"/>
              <w:left w:w="240" w:type="dxa"/>
              <w:bottom w:w="150" w:type="dxa"/>
              <w:right w:w="240" w:type="dxa"/>
            </w:tcMar>
            <w:vAlign w:val="center"/>
            <w:hideMark/>
          </w:tcPr>
          <w:p w14:paraId="128ECE13" w14:textId="77777777" w:rsidR="00265CF1" w:rsidRPr="00D71FF2" w:rsidRDefault="00265CF1" w:rsidP="00434208">
            <w:pPr>
              <w:jc w:val="right"/>
              <w:rPr>
                <w:rFonts w:ascii="Times New Roman" w:hAnsi="Times New Roman" w:cs="Times New Roman"/>
                <w:sz w:val="18"/>
                <w:szCs w:val="20"/>
              </w:rPr>
            </w:pPr>
            <w:r>
              <w:t>0.225</w:t>
            </w:r>
          </w:p>
        </w:tc>
        <w:tc>
          <w:tcPr>
            <w:tcW w:w="532" w:type="pct"/>
            <w:tcMar>
              <w:top w:w="150" w:type="dxa"/>
              <w:left w:w="240" w:type="dxa"/>
              <w:bottom w:w="150" w:type="dxa"/>
              <w:right w:w="0" w:type="dxa"/>
            </w:tcMar>
            <w:vAlign w:val="center"/>
            <w:hideMark/>
          </w:tcPr>
          <w:p w14:paraId="0B8466BA" w14:textId="77777777" w:rsidR="00265CF1" w:rsidRPr="00D71FF2" w:rsidRDefault="00265CF1" w:rsidP="00434208">
            <w:pPr>
              <w:jc w:val="right"/>
              <w:rPr>
                <w:rFonts w:ascii="Times New Roman" w:hAnsi="Times New Roman" w:cs="Times New Roman"/>
                <w:sz w:val="18"/>
                <w:szCs w:val="20"/>
              </w:rPr>
            </w:pPr>
            <w:r>
              <w:t>-0.000</w:t>
            </w:r>
          </w:p>
        </w:tc>
      </w:tr>
      <w:tr w:rsidR="00265CF1" w:rsidRPr="00D71FF2" w14:paraId="1F79CE9C" w14:textId="77777777" w:rsidTr="0054052A">
        <w:tc>
          <w:tcPr>
            <w:tcW w:w="742" w:type="pct"/>
            <w:tcBorders>
              <w:bottom w:val="single" w:sz="8" w:space="0" w:color="auto"/>
            </w:tcBorders>
            <w:tcMar>
              <w:top w:w="150" w:type="dxa"/>
              <w:left w:w="0" w:type="dxa"/>
              <w:bottom w:w="150" w:type="dxa"/>
              <w:right w:w="240" w:type="dxa"/>
            </w:tcMar>
            <w:vAlign w:val="center"/>
            <w:hideMark/>
          </w:tcPr>
          <w:p w14:paraId="64BA65B1"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Urban</w:t>
            </w:r>
          </w:p>
        </w:tc>
        <w:tc>
          <w:tcPr>
            <w:tcW w:w="877" w:type="pct"/>
            <w:tcBorders>
              <w:bottom w:val="single" w:sz="8" w:space="0" w:color="auto"/>
            </w:tcBorders>
            <w:tcMar>
              <w:top w:w="150" w:type="dxa"/>
              <w:left w:w="240" w:type="dxa"/>
              <w:bottom w:w="150" w:type="dxa"/>
              <w:right w:w="240" w:type="dxa"/>
            </w:tcMar>
            <w:vAlign w:val="center"/>
            <w:hideMark/>
          </w:tcPr>
          <w:p w14:paraId="5DDC1B54"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bottom w:val="single" w:sz="8" w:space="0" w:color="auto"/>
            </w:tcBorders>
            <w:tcMar>
              <w:top w:w="150" w:type="dxa"/>
              <w:left w:w="240" w:type="dxa"/>
              <w:bottom w:w="150" w:type="dxa"/>
              <w:right w:w="240" w:type="dxa"/>
            </w:tcMar>
            <w:vAlign w:val="center"/>
            <w:hideMark/>
          </w:tcPr>
          <w:p w14:paraId="60115229" w14:textId="77777777" w:rsidR="00265CF1" w:rsidRPr="00D71FF2" w:rsidRDefault="00265CF1" w:rsidP="00434208">
            <w:pPr>
              <w:jc w:val="right"/>
              <w:rPr>
                <w:rFonts w:ascii="Times New Roman" w:hAnsi="Times New Roman" w:cs="Times New Roman"/>
                <w:sz w:val="18"/>
                <w:szCs w:val="20"/>
              </w:rPr>
            </w:pPr>
            <w:r>
              <w:t>0.0077</w:t>
            </w:r>
          </w:p>
        </w:tc>
        <w:tc>
          <w:tcPr>
            <w:tcW w:w="1085" w:type="pct"/>
            <w:tcBorders>
              <w:bottom w:val="single" w:sz="8" w:space="0" w:color="auto"/>
            </w:tcBorders>
            <w:tcMar>
              <w:top w:w="150" w:type="dxa"/>
              <w:left w:w="240" w:type="dxa"/>
              <w:bottom w:w="150" w:type="dxa"/>
              <w:right w:w="240" w:type="dxa"/>
            </w:tcMar>
            <w:vAlign w:val="center"/>
            <w:hideMark/>
          </w:tcPr>
          <w:p w14:paraId="1389D746" w14:textId="77777777" w:rsidR="00265CF1" w:rsidRPr="00D71FF2" w:rsidRDefault="00265CF1" w:rsidP="00434208">
            <w:pPr>
              <w:jc w:val="right"/>
              <w:rPr>
                <w:rFonts w:ascii="Times New Roman" w:hAnsi="Times New Roman" w:cs="Times New Roman"/>
                <w:sz w:val="18"/>
                <w:szCs w:val="20"/>
              </w:rPr>
            </w:pPr>
            <w:r>
              <w:t>0.263</w:t>
            </w:r>
          </w:p>
        </w:tc>
        <w:tc>
          <w:tcPr>
            <w:tcW w:w="1108" w:type="pct"/>
            <w:tcBorders>
              <w:bottom w:val="single" w:sz="8" w:space="0" w:color="auto"/>
            </w:tcBorders>
            <w:tcMar>
              <w:top w:w="150" w:type="dxa"/>
              <w:left w:w="240" w:type="dxa"/>
              <w:bottom w:w="150" w:type="dxa"/>
              <w:right w:w="240" w:type="dxa"/>
            </w:tcMar>
            <w:vAlign w:val="center"/>
            <w:hideMark/>
          </w:tcPr>
          <w:p w14:paraId="2A144CE2" w14:textId="77777777" w:rsidR="00265CF1" w:rsidRPr="00D71FF2" w:rsidRDefault="00265CF1" w:rsidP="00434208">
            <w:pPr>
              <w:jc w:val="right"/>
              <w:rPr>
                <w:rFonts w:ascii="Times New Roman" w:hAnsi="Times New Roman" w:cs="Times New Roman"/>
                <w:sz w:val="18"/>
                <w:szCs w:val="20"/>
              </w:rPr>
            </w:pPr>
            <w:r>
              <w:t>0.262</w:t>
            </w:r>
          </w:p>
        </w:tc>
        <w:tc>
          <w:tcPr>
            <w:tcW w:w="532" w:type="pct"/>
            <w:tcBorders>
              <w:bottom w:val="single" w:sz="8" w:space="0" w:color="auto"/>
            </w:tcBorders>
            <w:tcMar>
              <w:top w:w="150" w:type="dxa"/>
              <w:left w:w="240" w:type="dxa"/>
              <w:bottom w:w="150" w:type="dxa"/>
              <w:right w:w="0" w:type="dxa"/>
            </w:tcMar>
            <w:vAlign w:val="center"/>
            <w:hideMark/>
          </w:tcPr>
          <w:p w14:paraId="67D63345" w14:textId="77777777" w:rsidR="00265CF1" w:rsidRPr="00D71FF2" w:rsidRDefault="00265CF1" w:rsidP="00434208">
            <w:pPr>
              <w:jc w:val="right"/>
              <w:rPr>
                <w:rFonts w:ascii="Times New Roman" w:hAnsi="Times New Roman" w:cs="Times New Roman"/>
                <w:sz w:val="18"/>
                <w:szCs w:val="20"/>
              </w:rPr>
            </w:pPr>
            <w:r>
              <w:t>+0.002</w:t>
            </w:r>
          </w:p>
        </w:tc>
      </w:tr>
    </w:tbl>
    <w:p w14:paraId="1EF809C5"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ECE: Expected Calibration Error (lower values indicate better calibration). Δ: difference between mean predicted probability and true prevalence.</w:t>
      </w:r>
    </w:p>
    <w:p w14:paraId="2C9B8EE7" w14:textId="3BD13BC6" w:rsidR="00265CF1" w:rsidRPr="00D71FF2" w:rsidRDefault="00140DA9" w:rsidP="0080027F">
      <w:pPr>
        <w:pStyle w:val="3"/>
      </w:pPr>
      <w:r w:rsidRPr="00D71FF2">
        <w:t>Preservation of Downstream Epidemiological Associations</w:t>
      </w:r>
    </w:p>
    <w:p w14:paraId="66C60091" w14:textId="4BBC6724" w:rsidR="00265CF1" w:rsidRPr="00D71FF2" w:rsidRDefault="008C6813" w:rsidP="00265CF1">
      <w:pPr>
        <w:rPr>
          <w:rFonts w:ascii="Times New Roman" w:hAnsi="Times New Roman" w:cs="Times New Roman"/>
        </w:rPr>
      </w:pPr>
      <w:r>
        <w:t>Analyses using imputed labels preserved the direction and statistical significance of urban–rural differences across all dietary indicators (Table 8; Figure 5). Cohen's d was moderately inflated (25% relative increase on average) when using imputed labels, because Transitional observations were assigned to Rural or Urban groups, sharpening group contrasts. Statistical significance was preserved in all cases; imputed labels are better suited to descriptive comparisons or covariate adjustment than standalone effect estimation.</w:t>
      </w:r>
    </w:p>
    <w:p w14:paraId="5510B3E9"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lastRenderedPageBreak/>
        <w:t xml:space="preserve">Table 8. </w:t>
      </w:r>
      <w:r w:rsidRPr="00D71FF2">
        <w:rPr>
          <w:rFonts w:ascii="Times New Roman" w:hAnsi="Times New Roman" w:cs="Times New Roman"/>
        </w:rPr>
        <w:t>Downstream Epidemiological Bias Assessment (30% Missing Rate)</w:t>
      </w:r>
    </w:p>
    <w:tbl>
      <w:tblPr>
        <w:tblW w:w="5063"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220"/>
        <w:gridCol w:w="1277"/>
        <w:gridCol w:w="1277"/>
        <w:gridCol w:w="811"/>
        <w:gridCol w:w="1236"/>
        <w:gridCol w:w="1247"/>
        <w:gridCol w:w="1410"/>
      </w:tblGrid>
      <w:tr w:rsidR="00C91C8F" w:rsidRPr="00D71FF2" w14:paraId="6F504922" w14:textId="77777777" w:rsidTr="00C91C8F">
        <w:trPr>
          <w:tblHeader/>
        </w:trPr>
        <w:tc>
          <w:tcPr>
            <w:tcW w:w="570" w:type="pct"/>
            <w:tcBorders>
              <w:top w:val="single" w:sz="8" w:space="0" w:color="auto"/>
              <w:bottom w:val="single" w:sz="4" w:space="0" w:color="auto"/>
            </w:tcBorders>
            <w:tcMar>
              <w:top w:w="150" w:type="dxa"/>
              <w:left w:w="0" w:type="dxa"/>
              <w:bottom w:w="150" w:type="dxa"/>
              <w:right w:w="240" w:type="dxa"/>
            </w:tcMar>
            <w:vAlign w:val="center"/>
            <w:hideMark/>
          </w:tcPr>
          <w:p w14:paraId="7CD2C76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Feature</w:t>
            </w:r>
          </w:p>
        </w:tc>
        <w:tc>
          <w:tcPr>
            <w:tcW w:w="695" w:type="pct"/>
            <w:tcBorders>
              <w:top w:val="single" w:sz="8" w:space="0" w:color="auto"/>
              <w:bottom w:val="single" w:sz="4" w:space="0" w:color="auto"/>
            </w:tcBorders>
            <w:tcMar>
              <w:top w:w="150" w:type="dxa"/>
              <w:left w:w="240" w:type="dxa"/>
              <w:bottom w:w="150" w:type="dxa"/>
              <w:right w:w="240" w:type="dxa"/>
            </w:tcMar>
            <w:vAlign w:val="center"/>
            <w:hideMark/>
          </w:tcPr>
          <w:p w14:paraId="3D39ECB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Difference</w:t>
            </w:r>
          </w:p>
        </w:tc>
        <w:tc>
          <w:tcPr>
            <w:tcW w:w="633" w:type="pct"/>
            <w:tcBorders>
              <w:top w:val="single" w:sz="8" w:space="0" w:color="auto"/>
              <w:bottom w:val="single" w:sz="4" w:space="0" w:color="auto"/>
            </w:tcBorders>
            <w:tcMar>
              <w:top w:w="150" w:type="dxa"/>
              <w:left w:w="240" w:type="dxa"/>
              <w:bottom w:w="150" w:type="dxa"/>
              <w:right w:w="240" w:type="dxa"/>
            </w:tcMar>
            <w:vAlign w:val="center"/>
            <w:hideMark/>
          </w:tcPr>
          <w:p w14:paraId="723A8722"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 Difference</w:t>
            </w:r>
          </w:p>
        </w:tc>
        <w:tc>
          <w:tcPr>
            <w:tcW w:w="430" w:type="pct"/>
            <w:tcBorders>
              <w:top w:val="single" w:sz="8" w:space="0" w:color="auto"/>
              <w:bottom w:val="single" w:sz="4" w:space="0" w:color="auto"/>
            </w:tcBorders>
            <w:tcMar>
              <w:top w:w="150" w:type="dxa"/>
              <w:left w:w="240" w:type="dxa"/>
              <w:bottom w:w="150" w:type="dxa"/>
              <w:right w:w="240" w:type="dxa"/>
            </w:tcMar>
            <w:vAlign w:val="center"/>
            <w:hideMark/>
          </w:tcPr>
          <w:p w14:paraId="4A5F2A13" w14:textId="77777777" w:rsidR="00265CF1" w:rsidRPr="00D71FF2" w:rsidRDefault="00265CF1" w:rsidP="00265CF1">
            <w:pPr>
              <w:rPr>
                <w:rFonts w:ascii="Times New Roman" w:hAnsi="Times New Roman" w:cs="Times New Roman"/>
                <w:b/>
                <w:bCs/>
                <w:sz w:val="18"/>
                <w:szCs w:val="20"/>
              </w:rPr>
            </w:pPr>
            <w:r>
              <w:t>Relative Change in Cohen's d (%)</w:t>
            </w:r>
          </w:p>
        </w:tc>
        <w:tc>
          <w:tcPr>
            <w:tcW w:w="930" w:type="pct"/>
            <w:tcBorders>
              <w:top w:val="single" w:sz="8" w:space="0" w:color="auto"/>
              <w:bottom w:val="single" w:sz="4" w:space="0" w:color="auto"/>
            </w:tcBorders>
            <w:tcMar>
              <w:top w:w="150" w:type="dxa"/>
              <w:left w:w="240" w:type="dxa"/>
              <w:bottom w:w="150" w:type="dxa"/>
              <w:right w:w="240" w:type="dxa"/>
            </w:tcMar>
            <w:vAlign w:val="center"/>
            <w:hideMark/>
          </w:tcPr>
          <w:p w14:paraId="4469F35E" w14:textId="77777777"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Pr="00D71FF2">
              <w:rPr>
                <w:rFonts w:ascii="Times New Roman" w:hAnsi="Times New Roman" w:cs="Times New Roman"/>
                <w:b/>
                <w:bCs/>
                <w:i/>
                <w:iCs/>
                <w:sz w:val="18"/>
                <w:szCs w:val="20"/>
              </w:rPr>
              <w:t>d</w:t>
            </w:r>
          </w:p>
          <w:p w14:paraId="3FDDE528" w14:textId="6A83268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 (True)</w:t>
            </w:r>
          </w:p>
        </w:tc>
        <w:tc>
          <w:tcPr>
            <w:tcW w:w="1052" w:type="pct"/>
            <w:tcBorders>
              <w:top w:val="single" w:sz="8" w:space="0" w:color="auto"/>
              <w:bottom w:val="single" w:sz="4" w:space="0" w:color="auto"/>
            </w:tcBorders>
            <w:tcMar>
              <w:top w:w="150" w:type="dxa"/>
              <w:left w:w="240" w:type="dxa"/>
              <w:bottom w:w="150" w:type="dxa"/>
              <w:right w:w="240" w:type="dxa"/>
            </w:tcMar>
            <w:vAlign w:val="center"/>
            <w:hideMark/>
          </w:tcPr>
          <w:p w14:paraId="44888C62" w14:textId="1A2118F0"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000F1E49" w:rsidRPr="00D71FF2">
              <w:rPr>
                <w:rFonts w:ascii="Times New Roman" w:hAnsi="Times New Roman" w:cs="Times New Roman"/>
                <w:b/>
                <w:bCs/>
                <w:i/>
                <w:iCs/>
                <w:sz w:val="18"/>
                <w:szCs w:val="20"/>
              </w:rPr>
              <w:t>d</w:t>
            </w:r>
          </w:p>
          <w:p w14:paraId="3EAD0998" w14:textId="1905FA63"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w:t>
            </w:r>
          </w:p>
        </w:tc>
        <w:tc>
          <w:tcPr>
            <w:tcW w:w="691" w:type="pct"/>
            <w:tcBorders>
              <w:top w:val="single" w:sz="8" w:space="0" w:color="auto"/>
              <w:bottom w:val="single" w:sz="4" w:space="0" w:color="auto"/>
            </w:tcBorders>
            <w:tcMar>
              <w:top w:w="150" w:type="dxa"/>
              <w:left w:w="240" w:type="dxa"/>
              <w:bottom w:w="150" w:type="dxa"/>
              <w:right w:w="240" w:type="dxa"/>
            </w:tcMar>
            <w:vAlign w:val="center"/>
            <w:hideMark/>
          </w:tcPr>
          <w:p w14:paraId="0F55F2C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Significance Consistent</w:t>
            </w:r>
          </w:p>
        </w:tc>
      </w:tr>
      <w:tr w:rsidR="00C91C8F" w:rsidRPr="00D71FF2" w14:paraId="03FE5DF6" w14:textId="77777777" w:rsidTr="00C91C8F">
        <w:tc>
          <w:tcPr>
            <w:tcW w:w="570" w:type="pct"/>
            <w:tcBorders>
              <w:top w:val="single" w:sz="4" w:space="0" w:color="auto"/>
            </w:tcBorders>
            <w:tcMar>
              <w:top w:w="150" w:type="dxa"/>
              <w:left w:w="0" w:type="dxa"/>
              <w:bottom w:w="150" w:type="dxa"/>
              <w:right w:w="240" w:type="dxa"/>
            </w:tcMar>
            <w:vAlign w:val="center"/>
            <w:hideMark/>
          </w:tcPr>
          <w:p w14:paraId="76129310"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 energy ratio</w:t>
            </w:r>
          </w:p>
        </w:tc>
        <w:tc>
          <w:tcPr>
            <w:tcW w:w="695" w:type="pct"/>
            <w:tcBorders>
              <w:top w:val="single" w:sz="4" w:space="0" w:color="auto"/>
            </w:tcBorders>
            <w:tcMar>
              <w:top w:w="150" w:type="dxa"/>
              <w:left w:w="240" w:type="dxa"/>
              <w:bottom w:w="150" w:type="dxa"/>
              <w:right w:w="240" w:type="dxa"/>
            </w:tcMar>
            <w:vAlign w:val="center"/>
            <w:hideMark/>
          </w:tcPr>
          <w:p w14:paraId="41A0B470" w14:textId="77777777" w:rsidR="00265CF1" w:rsidRPr="00D71FF2" w:rsidRDefault="00265CF1" w:rsidP="00265CF1">
            <w:pPr>
              <w:rPr>
                <w:rFonts w:ascii="Times New Roman" w:hAnsi="Times New Roman" w:cs="Times New Roman"/>
                <w:sz w:val="18"/>
                <w:szCs w:val="20"/>
              </w:rPr>
            </w:pPr>
            <w:r>
              <w:t>0.0817</w:t>
            </w:r>
          </w:p>
        </w:tc>
        <w:tc>
          <w:tcPr>
            <w:tcW w:w="633" w:type="pct"/>
            <w:tcBorders>
              <w:top w:val="single" w:sz="4" w:space="0" w:color="auto"/>
            </w:tcBorders>
            <w:tcMar>
              <w:top w:w="150" w:type="dxa"/>
              <w:left w:w="240" w:type="dxa"/>
              <w:bottom w:w="150" w:type="dxa"/>
              <w:right w:w="240" w:type="dxa"/>
            </w:tcMar>
            <w:vAlign w:val="center"/>
            <w:hideMark/>
          </w:tcPr>
          <w:p w14:paraId="4D370E9E" w14:textId="77777777" w:rsidR="00265CF1" w:rsidRPr="00D71FF2" w:rsidRDefault="00265CF1" w:rsidP="00265CF1">
            <w:pPr>
              <w:rPr>
                <w:rFonts w:ascii="Times New Roman" w:hAnsi="Times New Roman" w:cs="Times New Roman"/>
                <w:sz w:val="18"/>
                <w:szCs w:val="20"/>
              </w:rPr>
            </w:pPr>
            <w:r>
              <w:t>0.0991</w:t>
            </w:r>
          </w:p>
        </w:tc>
        <w:tc>
          <w:tcPr>
            <w:tcW w:w="430" w:type="pct"/>
            <w:tcBorders>
              <w:top w:val="single" w:sz="4" w:space="0" w:color="auto"/>
            </w:tcBorders>
            <w:tcMar>
              <w:top w:w="150" w:type="dxa"/>
              <w:left w:w="240" w:type="dxa"/>
              <w:bottom w:w="150" w:type="dxa"/>
              <w:right w:w="240" w:type="dxa"/>
            </w:tcMar>
            <w:vAlign w:val="center"/>
            <w:hideMark/>
          </w:tcPr>
          <w:p w14:paraId="5438ACBF" w14:textId="77777777" w:rsidR="00265CF1" w:rsidRPr="00D71FF2" w:rsidRDefault="00265CF1" w:rsidP="00265CF1">
            <w:pPr>
              <w:rPr>
                <w:rFonts w:ascii="Times New Roman" w:hAnsi="Times New Roman" w:cs="Times New Roman"/>
                <w:sz w:val="18"/>
                <w:szCs w:val="20"/>
              </w:rPr>
            </w:pPr>
            <w:r>
              <w:t>21.3</w:t>
            </w:r>
          </w:p>
        </w:tc>
        <w:tc>
          <w:tcPr>
            <w:tcW w:w="930" w:type="pct"/>
            <w:tcBorders>
              <w:top w:val="single" w:sz="4" w:space="0" w:color="auto"/>
            </w:tcBorders>
            <w:tcMar>
              <w:top w:w="150" w:type="dxa"/>
              <w:left w:w="240" w:type="dxa"/>
              <w:bottom w:w="150" w:type="dxa"/>
              <w:right w:w="240" w:type="dxa"/>
            </w:tcMar>
            <w:vAlign w:val="center"/>
            <w:hideMark/>
          </w:tcPr>
          <w:p w14:paraId="1D480410" w14:textId="77777777" w:rsidR="00265CF1" w:rsidRPr="00D71FF2" w:rsidRDefault="00265CF1" w:rsidP="00265CF1">
            <w:pPr>
              <w:rPr>
                <w:rFonts w:ascii="Times New Roman" w:hAnsi="Times New Roman" w:cs="Times New Roman"/>
                <w:sz w:val="18"/>
                <w:szCs w:val="20"/>
              </w:rPr>
            </w:pPr>
            <w:r>
              <w:t>0.631</w:t>
            </w:r>
          </w:p>
        </w:tc>
        <w:tc>
          <w:tcPr>
            <w:tcW w:w="1052" w:type="pct"/>
            <w:tcBorders>
              <w:top w:val="single" w:sz="4" w:space="0" w:color="auto"/>
            </w:tcBorders>
            <w:tcMar>
              <w:top w:w="150" w:type="dxa"/>
              <w:left w:w="240" w:type="dxa"/>
              <w:bottom w:w="150" w:type="dxa"/>
              <w:right w:w="240" w:type="dxa"/>
            </w:tcMar>
            <w:vAlign w:val="center"/>
            <w:hideMark/>
          </w:tcPr>
          <w:p w14:paraId="6ED0AA22" w14:textId="77777777" w:rsidR="00265CF1" w:rsidRPr="00D71FF2" w:rsidRDefault="00265CF1" w:rsidP="00265CF1">
            <w:pPr>
              <w:rPr>
                <w:rFonts w:ascii="Times New Roman" w:hAnsi="Times New Roman" w:cs="Times New Roman"/>
                <w:sz w:val="18"/>
                <w:szCs w:val="20"/>
              </w:rPr>
            </w:pPr>
            <w:r>
              <w:t>0.782</w:t>
            </w:r>
          </w:p>
        </w:tc>
        <w:tc>
          <w:tcPr>
            <w:tcW w:w="691" w:type="pct"/>
            <w:tcBorders>
              <w:top w:val="single" w:sz="4" w:space="0" w:color="auto"/>
            </w:tcBorders>
            <w:tcMar>
              <w:top w:w="150" w:type="dxa"/>
              <w:left w:w="240" w:type="dxa"/>
              <w:bottom w:w="150" w:type="dxa"/>
              <w:right w:w="0" w:type="dxa"/>
            </w:tcMar>
            <w:vAlign w:val="center"/>
            <w:hideMark/>
          </w:tcPr>
          <w:p w14:paraId="561BCFC3" w14:textId="77777777" w:rsidR="00265CF1" w:rsidRPr="00D71FF2" w:rsidRDefault="00265CF1" w:rsidP="00265CF1">
            <w:pPr>
              <w:rPr>
                <w:rFonts w:ascii="Times New Roman" w:hAnsi="Times New Roman" w:cs="Times New Roman"/>
                <w:sz w:val="18"/>
                <w:szCs w:val="20"/>
              </w:rPr>
            </w:pPr>
            <w:r>
              <w:t>Yes</w:t>
            </w:r>
          </w:p>
        </w:tc>
      </w:tr>
      <w:tr w:rsidR="00C91C8F" w:rsidRPr="00D71FF2" w14:paraId="795FF100" w14:textId="77777777" w:rsidTr="00C91C8F">
        <w:tc>
          <w:tcPr>
            <w:tcW w:w="570" w:type="pct"/>
            <w:tcMar>
              <w:top w:w="150" w:type="dxa"/>
              <w:left w:w="0" w:type="dxa"/>
              <w:bottom w:w="150" w:type="dxa"/>
              <w:right w:w="240" w:type="dxa"/>
            </w:tcMar>
            <w:vAlign w:val="center"/>
            <w:hideMark/>
          </w:tcPr>
          <w:p w14:paraId="50674BFB"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Carbohydrate energy ratio</w:t>
            </w:r>
          </w:p>
        </w:tc>
        <w:tc>
          <w:tcPr>
            <w:tcW w:w="695" w:type="pct"/>
            <w:tcMar>
              <w:top w:w="150" w:type="dxa"/>
              <w:left w:w="240" w:type="dxa"/>
              <w:bottom w:w="150" w:type="dxa"/>
              <w:right w:w="240" w:type="dxa"/>
            </w:tcMar>
            <w:vAlign w:val="center"/>
            <w:hideMark/>
          </w:tcPr>
          <w:p w14:paraId="25DABD11" w14:textId="77777777" w:rsidR="00265CF1" w:rsidRPr="00D71FF2" w:rsidRDefault="00265CF1" w:rsidP="00265CF1">
            <w:pPr>
              <w:rPr>
                <w:rFonts w:ascii="Times New Roman" w:hAnsi="Times New Roman" w:cs="Times New Roman"/>
                <w:sz w:val="18"/>
                <w:szCs w:val="20"/>
              </w:rPr>
            </w:pPr>
            <w:r>
              <w:t>-0.0944</w:t>
            </w:r>
          </w:p>
        </w:tc>
        <w:tc>
          <w:tcPr>
            <w:tcW w:w="633" w:type="pct"/>
            <w:tcMar>
              <w:top w:w="150" w:type="dxa"/>
              <w:left w:w="240" w:type="dxa"/>
              <w:bottom w:w="150" w:type="dxa"/>
              <w:right w:w="240" w:type="dxa"/>
            </w:tcMar>
            <w:vAlign w:val="center"/>
            <w:hideMark/>
          </w:tcPr>
          <w:p w14:paraId="539409B2" w14:textId="77777777" w:rsidR="00265CF1" w:rsidRPr="00D71FF2" w:rsidRDefault="00265CF1" w:rsidP="00265CF1">
            <w:pPr>
              <w:rPr>
                <w:rFonts w:ascii="Times New Roman" w:hAnsi="Times New Roman" w:cs="Times New Roman"/>
                <w:sz w:val="18"/>
                <w:szCs w:val="20"/>
              </w:rPr>
            </w:pPr>
            <w:r>
              <w:t>-0.1150</w:t>
            </w:r>
          </w:p>
        </w:tc>
        <w:tc>
          <w:tcPr>
            <w:tcW w:w="430" w:type="pct"/>
            <w:tcMar>
              <w:top w:w="150" w:type="dxa"/>
              <w:left w:w="240" w:type="dxa"/>
              <w:bottom w:w="150" w:type="dxa"/>
              <w:right w:w="240" w:type="dxa"/>
            </w:tcMar>
            <w:vAlign w:val="center"/>
            <w:hideMark/>
          </w:tcPr>
          <w:p w14:paraId="7144C74E" w14:textId="77777777" w:rsidR="00265CF1" w:rsidRPr="00D71FF2" w:rsidRDefault="00265CF1" w:rsidP="00265CF1">
            <w:pPr>
              <w:rPr>
                <w:rFonts w:ascii="Times New Roman" w:hAnsi="Times New Roman" w:cs="Times New Roman"/>
                <w:sz w:val="18"/>
                <w:szCs w:val="20"/>
              </w:rPr>
            </w:pPr>
            <w:r>
              <w:t>21.8</w:t>
            </w:r>
          </w:p>
        </w:tc>
        <w:tc>
          <w:tcPr>
            <w:tcW w:w="930" w:type="pct"/>
            <w:tcMar>
              <w:top w:w="150" w:type="dxa"/>
              <w:left w:w="240" w:type="dxa"/>
              <w:bottom w:w="150" w:type="dxa"/>
              <w:right w:w="240" w:type="dxa"/>
            </w:tcMar>
            <w:vAlign w:val="center"/>
            <w:hideMark/>
          </w:tcPr>
          <w:p w14:paraId="769EECC6" w14:textId="77777777" w:rsidR="00265CF1" w:rsidRPr="00D71FF2" w:rsidRDefault="00265CF1" w:rsidP="00265CF1">
            <w:pPr>
              <w:rPr>
                <w:rFonts w:ascii="Times New Roman" w:hAnsi="Times New Roman" w:cs="Times New Roman"/>
                <w:sz w:val="18"/>
                <w:szCs w:val="20"/>
              </w:rPr>
            </w:pPr>
            <w:r>
              <w:t>-0.710</w:t>
            </w:r>
          </w:p>
        </w:tc>
        <w:tc>
          <w:tcPr>
            <w:tcW w:w="1052" w:type="pct"/>
            <w:tcMar>
              <w:top w:w="150" w:type="dxa"/>
              <w:left w:w="240" w:type="dxa"/>
              <w:bottom w:w="150" w:type="dxa"/>
              <w:right w:w="240" w:type="dxa"/>
            </w:tcMar>
            <w:vAlign w:val="center"/>
            <w:hideMark/>
          </w:tcPr>
          <w:p w14:paraId="49EE686E" w14:textId="77777777" w:rsidR="00265CF1" w:rsidRPr="00D71FF2" w:rsidRDefault="00265CF1" w:rsidP="00265CF1">
            <w:pPr>
              <w:rPr>
                <w:rFonts w:ascii="Times New Roman" w:hAnsi="Times New Roman" w:cs="Times New Roman"/>
                <w:sz w:val="18"/>
                <w:szCs w:val="20"/>
              </w:rPr>
            </w:pPr>
            <w:r>
              <w:t>-0.887</w:t>
            </w:r>
          </w:p>
        </w:tc>
        <w:tc>
          <w:tcPr>
            <w:tcW w:w="691" w:type="pct"/>
            <w:tcMar>
              <w:top w:w="150" w:type="dxa"/>
              <w:left w:w="240" w:type="dxa"/>
              <w:bottom w:w="150" w:type="dxa"/>
              <w:right w:w="0" w:type="dxa"/>
            </w:tcMar>
            <w:vAlign w:val="center"/>
            <w:hideMark/>
          </w:tcPr>
          <w:p w14:paraId="5A293194" w14:textId="77777777" w:rsidR="00265CF1" w:rsidRPr="00D71FF2" w:rsidRDefault="00265CF1" w:rsidP="00265CF1">
            <w:pPr>
              <w:rPr>
                <w:rFonts w:ascii="Times New Roman" w:hAnsi="Times New Roman" w:cs="Times New Roman"/>
                <w:sz w:val="18"/>
                <w:szCs w:val="20"/>
              </w:rPr>
            </w:pPr>
            <w:r>
              <w:t>Yes</w:t>
            </w:r>
          </w:p>
        </w:tc>
      </w:tr>
      <w:tr w:rsidR="00C91C8F" w:rsidRPr="00D71FF2" w14:paraId="10DEE43D" w14:textId="77777777" w:rsidTr="00C91C8F">
        <w:tc>
          <w:tcPr>
            <w:tcW w:w="570" w:type="pct"/>
            <w:tcMar>
              <w:top w:w="150" w:type="dxa"/>
              <w:left w:w="0" w:type="dxa"/>
              <w:bottom w:w="150" w:type="dxa"/>
              <w:right w:w="240" w:type="dxa"/>
            </w:tcMar>
            <w:vAlign w:val="center"/>
            <w:hideMark/>
          </w:tcPr>
          <w:p w14:paraId="70AD7EF7"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Protein energy ratio</w:t>
            </w:r>
          </w:p>
        </w:tc>
        <w:tc>
          <w:tcPr>
            <w:tcW w:w="695" w:type="pct"/>
            <w:tcMar>
              <w:top w:w="150" w:type="dxa"/>
              <w:left w:w="240" w:type="dxa"/>
              <w:bottom w:w="150" w:type="dxa"/>
              <w:right w:w="240" w:type="dxa"/>
            </w:tcMar>
            <w:vAlign w:val="center"/>
            <w:hideMark/>
          </w:tcPr>
          <w:p w14:paraId="4AECAE35" w14:textId="77777777" w:rsidR="00265CF1" w:rsidRPr="00D71FF2" w:rsidRDefault="00265CF1" w:rsidP="00265CF1">
            <w:pPr>
              <w:rPr>
                <w:rFonts w:ascii="Times New Roman" w:hAnsi="Times New Roman" w:cs="Times New Roman"/>
                <w:sz w:val="18"/>
                <w:szCs w:val="20"/>
              </w:rPr>
            </w:pPr>
            <w:r>
              <w:t>0.0120</w:t>
            </w:r>
          </w:p>
        </w:tc>
        <w:tc>
          <w:tcPr>
            <w:tcW w:w="633" w:type="pct"/>
            <w:tcMar>
              <w:top w:w="150" w:type="dxa"/>
              <w:left w:w="240" w:type="dxa"/>
              <w:bottom w:w="150" w:type="dxa"/>
              <w:right w:w="240" w:type="dxa"/>
            </w:tcMar>
            <w:vAlign w:val="center"/>
            <w:hideMark/>
          </w:tcPr>
          <w:p w14:paraId="74E4176B" w14:textId="77777777" w:rsidR="00265CF1" w:rsidRPr="00D71FF2" w:rsidRDefault="00265CF1" w:rsidP="00265CF1">
            <w:pPr>
              <w:rPr>
                <w:rFonts w:ascii="Times New Roman" w:hAnsi="Times New Roman" w:cs="Times New Roman"/>
                <w:sz w:val="18"/>
                <w:szCs w:val="20"/>
              </w:rPr>
            </w:pPr>
            <w:r>
              <w:t>0.0158</w:t>
            </w:r>
          </w:p>
        </w:tc>
        <w:tc>
          <w:tcPr>
            <w:tcW w:w="430" w:type="pct"/>
            <w:tcMar>
              <w:top w:w="150" w:type="dxa"/>
              <w:left w:w="240" w:type="dxa"/>
              <w:bottom w:w="150" w:type="dxa"/>
              <w:right w:w="240" w:type="dxa"/>
            </w:tcMar>
            <w:vAlign w:val="center"/>
            <w:hideMark/>
          </w:tcPr>
          <w:p w14:paraId="6D6360D9" w14:textId="77777777" w:rsidR="00265CF1" w:rsidRPr="00D71FF2" w:rsidRDefault="00265CF1" w:rsidP="00265CF1">
            <w:pPr>
              <w:rPr>
                <w:rFonts w:ascii="Times New Roman" w:hAnsi="Times New Roman" w:cs="Times New Roman"/>
                <w:sz w:val="18"/>
                <w:szCs w:val="20"/>
              </w:rPr>
            </w:pPr>
            <w:r>
              <w:t>31.9</w:t>
            </w:r>
          </w:p>
        </w:tc>
        <w:tc>
          <w:tcPr>
            <w:tcW w:w="930" w:type="pct"/>
            <w:tcMar>
              <w:top w:w="150" w:type="dxa"/>
              <w:left w:w="240" w:type="dxa"/>
              <w:bottom w:w="150" w:type="dxa"/>
              <w:right w:w="240" w:type="dxa"/>
            </w:tcMar>
            <w:vAlign w:val="center"/>
            <w:hideMark/>
          </w:tcPr>
          <w:p w14:paraId="18876423" w14:textId="77777777" w:rsidR="00265CF1" w:rsidRPr="00D71FF2" w:rsidRDefault="00265CF1" w:rsidP="00265CF1">
            <w:pPr>
              <w:rPr>
                <w:rFonts w:ascii="Times New Roman" w:hAnsi="Times New Roman" w:cs="Times New Roman"/>
                <w:sz w:val="18"/>
                <w:szCs w:val="20"/>
              </w:rPr>
            </w:pPr>
            <w:r>
              <w:t>0.430</w:t>
            </w:r>
          </w:p>
        </w:tc>
        <w:tc>
          <w:tcPr>
            <w:tcW w:w="1052" w:type="pct"/>
            <w:tcMar>
              <w:top w:w="150" w:type="dxa"/>
              <w:left w:w="240" w:type="dxa"/>
              <w:bottom w:w="150" w:type="dxa"/>
              <w:right w:w="240" w:type="dxa"/>
            </w:tcMar>
            <w:vAlign w:val="center"/>
            <w:hideMark/>
          </w:tcPr>
          <w:p w14:paraId="1D195D92" w14:textId="77777777" w:rsidR="00265CF1" w:rsidRPr="00D71FF2" w:rsidRDefault="00265CF1" w:rsidP="00265CF1">
            <w:pPr>
              <w:rPr>
                <w:rFonts w:ascii="Times New Roman" w:hAnsi="Times New Roman" w:cs="Times New Roman"/>
                <w:sz w:val="18"/>
                <w:szCs w:val="20"/>
              </w:rPr>
            </w:pPr>
            <w:r>
              <w:t>0.566</w:t>
            </w:r>
          </w:p>
        </w:tc>
        <w:tc>
          <w:tcPr>
            <w:tcW w:w="691" w:type="pct"/>
            <w:tcMar>
              <w:top w:w="150" w:type="dxa"/>
              <w:left w:w="240" w:type="dxa"/>
              <w:bottom w:w="150" w:type="dxa"/>
              <w:right w:w="0" w:type="dxa"/>
            </w:tcMar>
            <w:vAlign w:val="center"/>
            <w:hideMark/>
          </w:tcPr>
          <w:p w14:paraId="71276F1F" w14:textId="77777777" w:rsidR="00265CF1" w:rsidRPr="00D71FF2" w:rsidRDefault="00265CF1" w:rsidP="00265CF1">
            <w:pPr>
              <w:rPr>
                <w:rFonts w:ascii="Times New Roman" w:hAnsi="Times New Roman" w:cs="Times New Roman"/>
                <w:sz w:val="18"/>
                <w:szCs w:val="20"/>
              </w:rPr>
            </w:pPr>
            <w:r>
              <w:t>Yes</w:t>
            </w:r>
          </w:p>
        </w:tc>
      </w:tr>
      <w:tr w:rsidR="00C91C8F" w:rsidRPr="00D71FF2" w14:paraId="0F5DBEC7" w14:textId="77777777" w:rsidTr="00C91C8F">
        <w:tc>
          <w:tcPr>
            <w:tcW w:w="570" w:type="pct"/>
            <w:tcMar>
              <w:top w:w="150" w:type="dxa"/>
              <w:left w:w="0" w:type="dxa"/>
              <w:bottom w:w="150" w:type="dxa"/>
              <w:right w:w="240" w:type="dxa"/>
            </w:tcMar>
            <w:vAlign w:val="center"/>
            <w:hideMark/>
          </w:tcPr>
          <w:p w14:paraId="51E6A1E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Fat-to-carbohydrate ratio</w:t>
            </w:r>
          </w:p>
        </w:tc>
        <w:tc>
          <w:tcPr>
            <w:tcW w:w="695" w:type="pct"/>
            <w:tcMar>
              <w:top w:w="150" w:type="dxa"/>
              <w:left w:w="240" w:type="dxa"/>
              <w:bottom w:w="150" w:type="dxa"/>
              <w:right w:w="240" w:type="dxa"/>
            </w:tcMar>
            <w:vAlign w:val="center"/>
            <w:hideMark/>
          </w:tcPr>
          <w:p w14:paraId="17DDAEB4" w14:textId="77777777" w:rsidR="00265CF1" w:rsidRPr="00D71FF2" w:rsidRDefault="00265CF1" w:rsidP="00265CF1">
            <w:pPr>
              <w:rPr>
                <w:rFonts w:ascii="Times New Roman" w:hAnsi="Times New Roman" w:cs="Times New Roman"/>
                <w:sz w:val="18"/>
                <w:szCs w:val="20"/>
              </w:rPr>
            </w:pPr>
            <w:r>
              <w:t>0.1141</w:t>
            </w:r>
          </w:p>
        </w:tc>
        <w:tc>
          <w:tcPr>
            <w:tcW w:w="633" w:type="pct"/>
            <w:tcMar>
              <w:top w:w="150" w:type="dxa"/>
              <w:left w:w="240" w:type="dxa"/>
              <w:bottom w:w="150" w:type="dxa"/>
              <w:right w:w="240" w:type="dxa"/>
            </w:tcMar>
            <w:vAlign w:val="center"/>
            <w:hideMark/>
          </w:tcPr>
          <w:p w14:paraId="2E83E112" w14:textId="77777777" w:rsidR="00265CF1" w:rsidRPr="00D71FF2" w:rsidRDefault="00265CF1" w:rsidP="00265CF1">
            <w:pPr>
              <w:rPr>
                <w:rFonts w:ascii="Times New Roman" w:hAnsi="Times New Roman" w:cs="Times New Roman"/>
                <w:sz w:val="18"/>
                <w:szCs w:val="20"/>
              </w:rPr>
            </w:pPr>
            <w:r>
              <w:t>0.1414</w:t>
            </w:r>
          </w:p>
        </w:tc>
        <w:tc>
          <w:tcPr>
            <w:tcW w:w="430" w:type="pct"/>
            <w:tcMar>
              <w:top w:w="150" w:type="dxa"/>
              <w:left w:w="240" w:type="dxa"/>
              <w:bottom w:w="150" w:type="dxa"/>
              <w:right w:w="240" w:type="dxa"/>
            </w:tcMar>
            <w:vAlign w:val="center"/>
            <w:hideMark/>
          </w:tcPr>
          <w:p w14:paraId="145E336D" w14:textId="77777777" w:rsidR="00265CF1" w:rsidRPr="00D71FF2" w:rsidRDefault="00265CF1" w:rsidP="00265CF1">
            <w:pPr>
              <w:rPr>
                <w:rFonts w:ascii="Times New Roman" w:hAnsi="Times New Roman" w:cs="Times New Roman"/>
                <w:sz w:val="18"/>
                <w:szCs w:val="20"/>
              </w:rPr>
            </w:pPr>
            <w:r>
              <w:t>24.0</w:t>
            </w:r>
          </w:p>
        </w:tc>
        <w:tc>
          <w:tcPr>
            <w:tcW w:w="930" w:type="pct"/>
            <w:tcMar>
              <w:top w:w="150" w:type="dxa"/>
              <w:left w:w="240" w:type="dxa"/>
              <w:bottom w:w="150" w:type="dxa"/>
              <w:right w:w="240" w:type="dxa"/>
            </w:tcMar>
            <w:vAlign w:val="center"/>
            <w:hideMark/>
          </w:tcPr>
          <w:p w14:paraId="7CE7A5CD" w14:textId="77777777" w:rsidR="00265CF1" w:rsidRPr="00D71FF2" w:rsidRDefault="00265CF1" w:rsidP="00265CF1">
            <w:pPr>
              <w:rPr>
                <w:rFonts w:ascii="Times New Roman" w:hAnsi="Times New Roman" w:cs="Times New Roman"/>
                <w:sz w:val="18"/>
                <w:szCs w:val="20"/>
              </w:rPr>
            </w:pPr>
            <w:r>
              <w:t>0.586</w:t>
            </w:r>
          </w:p>
        </w:tc>
        <w:tc>
          <w:tcPr>
            <w:tcW w:w="1052" w:type="pct"/>
            <w:tcMar>
              <w:top w:w="150" w:type="dxa"/>
              <w:left w:w="240" w:type="dxa"/>
              <w:bottom w:w="150" w:type="dxa"/>
              <w:right w:w="240" w:type="dxa"/>
            </w:tcMar>
            <w:vAlign w:val="center"/>
            <w:hideMark/>
          </w:tcPr>
          <w:p w14:paraId="5DD09511" w14:textId="77777777" w:rsidR="00265CF1" w:rsidRPr="00D71FF2" w:rsidRDefault="00265CF1" w:rsidP="00265CF1">
            <w:pPr>
              <w:rPr>
                <w:rFonts w:ascii="Times New Roman" w:hAnsi="Times New Roman" w:cs="Times New Roman"/>
                <w:sz w:val="18"/>
                <w:szCs w:val="20"/>
              </w:rPr>
            </w:pPr>
            <w:r>
              <w:t>0.731</w:t>
            </w:r>
          </w:p>
        </w:tc>
        <w:tc>
          <w:tcPr>
            <w:tcW w:w="691" w:type="pct"/>
            <w:tcMar>
              <w:top w:w="150" w:type="dxa"/>
              <w:left w:w="240" w:type="dxa"/>
              <w:bottom w:w="150" w:type="dxa"/>
              <w:right w:w="0" w:type="dxa"/>
            </w:tcMar>
            <w:vAlign w:val="center"/>
            <w:hideMark/>
          </w:tcPr>
          <w:p w14:paraId="25F3A716" w14:textId="77777777" w:rsidR="00265CF1" w:rsidRPr="00D71FF2" w:rsidRDefault="00265CF1" w:rsidP="00265CF1">
            <w:pPr>
              <w:rPr>
                <w:rFonts w:ascii="Times New Roman" w:hAnsi="Times New Roman" w:cs="Times New Roman"/>
                <w:sz w:val="18"/>
                <w:szCs w:val="20"/>
              </w:rPr>
            </w:pPr>
            <w:r>
              <w:t>Yes</w:t>
            </w:r>
          </w:p>
        </w:tc>
      </w:tr>
    </w:tbl>
    <w:p w14:paraId="1A6C8C39" w14:textId="4DFDB445" w:rsidR="00265CF1" w:rsidRPr="00D71FF2" w:rsidRDefault="00265CF1" w:rsidP="00265CF1">
      <w:pPr>
        <w:rPr>
          <w:rFonts w:ascii="Times New Roman" w:hAnsi="Times New Roman" w:cs="Times New Roman"/>
          <w:i/>
          <w:iCs/>
        </w:rPr>
      </w:pPr>
      <w:r>
        <w:t>All differences significant at P &lt; 0.001 in both true and inferred analyses. Relative Change (%) = (|inferred d| − |true d|) / |true d| × 100.</w:t>
      </w:r>
    </w:p>
    <w:p>
      <w:pPr>
        <w:jc w:val="center"/>
      </w:pPr>
      <w:r>
        <w:drawing>
          <wp:inline xmlns:a="http://schemas.openxmlformats.org/drawingml/2006/main" xmlns:pic="http://schemas.openxmlformats.org/drawingml/2006/picture">
            <wp:extent cx="5669280" cy="3372112"/>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372112"/>
                    </a:xfrm>
                    <a:prstGeom prst="rect"/>
                  </pic:spPr>
                </pic:pic>
              </a:graphicData>
            </a:graphic>
          </wp:inline>
        </w:drawing>
      </w:r>
    </w:p>
    <w:p w14:paraId="707C9BB7" w14:textId="198A2204" w:rsidR="000F1E49" w:rsidRPr="00D71FF2" w:rsidRDefault="000F1E49" w:rsidP="000F1E49">
      <w:pPr>
        <w:rPr>
          <w:rFonts w:ascii="Times New Roman" w:hAnsi="Times New Roman" w:cs="Times New Roman"/>
        </w:rPr>
      </w:pPr>
      <w:r>
        <w:t>Figure 5. Downstream epidemiological bias assessment under 30% simulated missingness. Comparison of urban–rural effect sizes (Cohen's d) computed using true labels versus imputed labels for four macronutrient features. Error bars represent 95% confidence intervals from bootstrap resampling (n = 2,000).</w:t>
      </w:r>
    </w:p>
    <w:p>
      <w:pPr>
        <w:spacing w:after="120"/>
      </w:pPr>
      <w:r>
        <w:t>Covariate-adjusted downstream preservation. Beyond unadjusted Cohen's d, we fit OLS models of each macronutrient outcome on Urban versus Rural status, adjusting for survey year and province indicators (age and sex are unavailable in this diet-file extract). Under 30% MCAR masking, the Urban coefficient for FatER changed from 0.0697 (SE 0.0020) with true labels to 0.0869 (SE 0.0020) with imputed labels (relative change 24.6%), with sign and statistical significance preserved (Supplementary Table S10). This adjusted contrast is closer to applied epidemiological practice than unadjusted mean differences alone.</w:t>
      </w:r>
    </w:p>
    <w:p w14:paraId="6EE036E4" w14:textId="77777777" w:rsidR="00265CF1" w:rsidRPr="00D71FF2" w:rsidRDefault="00265CF1" w:rsidP="0080027F">
      <w:pPr>
        <w:pStyle w:val="3"/>
      </w:pPr>
      <w:r w:rsidRPr="00D71FF2">
        <w:t>Supplementary Analyses</w:t>
      </w:r>
    </w:p>
    <w:p w14:paraId="72547A5E" w14:textId="77777777" w:rsidR="00E76D46" w:rsidRPr="00E76D46" w:rsidRDefault="00E76D46" w:rsidP="00E76D46">
      <w:pPr>
        <w:rPr>
          <w:rFonts w:ascii="Times New Roman" w:hAnsi="Times New Roman" w:cs="Times New Roman"/>
        </w:rPr>
      </w:pPr>
      <w:r>
        <w:t>Feature-set ablation showed that macronutrients and spatiotemporal covariates contributed jointly to performance (full model accuracy 0.782; macronutrients only 0.769; year and province only 0.518; Supplementary Table S4).</w:t>
      </w:r>
    </w:p>
    <w:p w14:paraId="22502E5F" w14:textId="77777777" w:rsidR="00E76D46" w:rsidRPr="00E76D46" w:rsidRDefault="00E76D46" w:rsidP="00E76D46">
      <w:pPr>
        <w:rPr>
          <w:rFonts w:ascii="Times New Roman" w:hAnsi="Times New Roman" w:cs="Times New Roman"/>
        </w:rPr>
      </w:pPr>
      <w:r>
        <w:t>Feature importance analysis showed that multiple macronutrient indicators contributed to classification (Supplementary Table S1), with fat energy ratio being the most influential (mean |SHAP| = 0.512), followed by carbohydrate energy ratio (0.166) and protein energy ratio (0.140). The SHAP summary plot illustrates the directional effects of each feature on Urban classification (Supplementary Figure S1). Interaction analysis revealed substantial pairwise contributions, with the strongest interaction between fat and carbohydrate energy ratios (interaction strength = 0.051; Supplementary Table S2).</w:t>
      </w:r>
    </w:p>
    <w:p w14:paraId="14ACAD7D" w14:textId="0535A7A9" w:rsidR="009F3126" w:rsidRPr="009F3126" w:rsidRDefault="00E76D46" w:rsidP="009F3126">
      <w:pPr>
        <w:rPr>
          <w:rFonts w:ascii="Times New Roman" w:hAnsi="Times New Roman" w:cs="Times New Roman"/>
        </w:rPr>
      </w:pPr>
      <w:r>
        <w:t>Leave-one-province-out validation demonstrated spatial generalisability, with mean accuracy 0.737 (SD 0.052) across provinces (Supplementary Table S3). Rural and Urban category-specific accuracy remained stable across missing rates (Rural ≈ 0.87–0.89; Urban ≈ 0.41–0.43; Supplementary Table S5); Transitional accuracy is omitted from Table S5 because of partial definitional overlap with FatER.</w:t>
      </w:r>
    </w:p>
    <w:p w14:paraId="25C773F8" w14:textId="77777777" w:rsidR="00C5043E" w:rsidRPr="00D71FF2" w:rsidRDefault="00C5043E" w:rsidP="00C5043E">
      <w:pPr>
        <w:pStyle w:val="2"/>
      </w:pPr>
      <w:r w:rsidRPr="00D71FF2">
        <w:t>Discussion</w:t>
      </w:r>
    </w:p>
    <w:p w14:paraId="6FB8AA69" w14:textId="77777777" w:rsidR="00C5043E" w:rsidRPr="00D71FF2" w:rsidRDefault="00C5043E" w:rsidP="00C5043E">
      <w:pPr>
        <w:pStyle w:val="3"/>
      </w:pPr>
      <w:r w:rsidRPr="00D71FF2">
        <w:t>Principal Findings</w:t>
      </w:r>
    </w:p>
    <w:p w14:paraId="716D121F" w14:textId="77777777" w:rsidR="009511FE" w:rsidRPr="009511FE" w:rsidRDefault="009511FE" w:rsidP="009511FE">
      <w:pPr>
        <w:rPr>
          <w:rFonts w:ascii="Times New Roman" w:hAnsi="Times New Roman" w:cs="Times New Roman"/>
        </w:rPr>
      </w:pPr>
      <w:r>
        <w:t>Three findings are particularly relevant for methodological applications in survey statistics.</w:t>
      </w:r>
    </w:p>
    <w:p w14:paraId="005D3324" w14:textId="0FD44B5D" w:rsidR="009511FE" w:rsidRPr="009511FE" w:rsidRDefault="009511FE" w:rsidP="009511FE">
      <w:pPr>
        <w:rPr>
          <w:rFonts w:ascii="Times New Roman" w:hAnsi="Times New Roman" w:cs="Times New Roman"/>
        </w:rPr>
      </w:pPr>
      <w:r>
        <w:t>First, the framework demonstrated stable performance under realistic data constraints. Inference accuracy varied minimally across missing rates from 10% to 70%, and temporal validation indicated mean leave-one-year-out accuracy of 0.776. These results support application in incomplete longitudinal dietary datasets.</w:t>
      </w:r>
    </w:p>
    <w:p w14:paraId="127F9392" w14:textId="77777777" w:rsidR="009511FE" w:rsidRPr="009511FE" w:rsidRDefault="009511FE" w:rsidP="009511FE">
      <w:pPr>
        <w:rPr>
          <w:rFonts w:ascii="Times New Roman" w:hAnsi="Times New Roman" w:cs="Times New Roman"/>
        </w:rPr>
      </w:pPr>
      <w:r>
        <w:t>Second, because Transitional is defined by a FatER band that also appears among predictors, high category accuracy for this stratum should be interpreted alongside ablation excluding FatER and threshold-sensitivity analyses rather than as standalone evidence of administrative recovery.</w:t>
      </w:r>
    </w:p>
    <w:p w14:paraId="434CF0F4" w14:textId="77777777" w:rsidR="009511FE" w:rsidRPr="009511FE" w:rsidRDefault="009511FE" w:rsidP="009511FE">
      <w:pPr>
        <w:rPr>
          <w:rFonts w:ascii="Times New Roman" w:hAnsi="Times New Roman" w:cs="Times New Roman"/>
        </w:rPr>
      </w:pPr>
      <w:r>
        <w:t>Third, downstream analyses preserved the direction and statistical significance of dietary differences, with moderate inflation of Cohen's d (22–32%). Substantive conclusions were unchanged under the evaluation protocol used here.</w:t>
      </w:r>
    </w:p>
    <w:p>
      <w:r>
        <w:t>Methodological Implications</w:t>
      </w:r>
    </w:p>
    <w:p>
      <w:r>
        <w:t>Missing contextual labels can be treated as a supervised inference problem when complete labels exist in a development cohort. The LOYO plus graded-masking design provides a reusable validation template for other surveys. Probabilistic outputs enable sensitivity analyses with fractional weights. Because outcome categories are FatER-threshold based, we report ablation excluding FatER from predictors as a guard against circularity; remaining features retain substantial predictive information.</w:t>
      </w:r>
    </w:p>
    <w:p w14:paraId="4BC16CCA" w14:textId="77777777" w:rsidR="00C5043E" w:rsidRPr="00D71FF2" w:rsidRDefault="00C5043E" w:rsidP="00C5043E">
      <w:pPr>
        <w:pStyle w:val="3"/>
      </w:pPr>
      <w:r w:rsidRPr="00D71FF2">
        <w:t>Comparison with Existing Approaches</w:t>
      </w:r>
    </w:p>
    <w:p w14:paraId="09BF1918" w14:textId="77777777" w:rsidR="00721AEC" w:rsidRPr="00721AEC" w:rsidRDefault="00721AEC" w:rsidP="00721AEC">
      <w:pPr>
        <w:rPr>
          <w:rFonts w:ascii="Times New Roman" w:hAnsi="Times New Roman" w:cs="Times New Roman"/>
        </w:rPr>
      </w:pPr>
      <w:r>
        <w:t>Majority imputation provided a lower bound (accuracy 0.516 at 30% missingness). KNN achieved 0.721; corrected multinomial-logistic MICE 0.673; LDA 0.546; and RF-imputation 0.777. The proposed framework (0.786) showed incremental gains over the strongest comparator. A key differentiator is the evaluation suite reporting Jensen–Shannon divergence, calibration, LOYO generalisability, threshold sensitivity, and downstream Cohen's d preservation—not accuracy alone.</w:t>
      </w:r>
    </w:p>
    <w:p w14:paraId="413A30A5" w14:textId="77777777" w:rsidR="00721AEC" w:rsidRPr="00721AEC" w:rsidRDefault="00721AEC" w:rsidP="00721AEC">
      <w:pPr>
        <w:rPr>
          <w:rFonts w:ascii="Times New Roman" w:hAnsi="Times New Roman" w:cs="Times New Roman"/>
        </w:rPr>
      </w:pPr>
      <w:r>
        <w:t>The performance of MICE relative to tree-based methods suggests that the relationship between macronutrient composition and administrative residence is inherently non-linear and interaction-dominated, where linear or locally linear imputation assumptions may be suboptimal.</w:t>
      </w:r>
    </w:p>
    <w:p>
      <w:pPr>
        <w:spacing w:after="120"/>
      </w:pPr>
      <w:r>
        <w:t>Given high Rural recall and rural positive predictive value in the binary task, the framework is best positioned as a high-specificity screening tool for identifying non-urban dietary patterns, or for assigning probabilistic weights in sensitivity analyses rather than producing deterministic universal classifications. Methodologically, it is intended for datasets where administrative contextual labels are missing but macronutrient and spatiotemporal fields are available.</w:t>
      </w:r>
    </w:p>
    <w:p>
      <w:pPr>
        <w:spacing w:after="120"/>
      </w:pPr>
      <w:r>
        <w:t>Protocol application guide. Researchers adapting this blueprint to another survey should: (i) choose a reference cohort with complete contextual labels for internal validation; (ii) specify MCAR masking rates matching expected incompleteness and at least one MAR mechanism tied to observed covariates with reported propensity coefficients; (iii) pre-declare a primary estimand that is not defined by the same features used as predictors (prefer administrative or external labels for the primary task); (iv) evaluate both predictive metrics and at least one downstream target parameter (e.g., an adjusted exposure coefficient) under true versus imputed labels; (v) assess temporal and/or spatial holdout generalisability; and (vi) report calibration if probabilities will be reused as weights or multiple-imputation draws. Hyperparameters and comparator imputation methods can be swapped without changing the protocol skeleton.</w:t>
      </w:r>
    </w:p>
    <w:p w14:paraId="43A4F29E" w14:textId="77777777" w:rsidR="00C5043E" w:rsidRPr="00D71FF2" w:rsidRDefault="00C5043E" w:rsidP="00C5043E">
      <w:pPr>
        <w:pStyle w:val="3"/>
      </w:pPr>
      <w:r>
        <w:t>### Strengths</w:t>
      </w:r>
    </w:p>
    <w:p w14:paraId="374C4C84" w14:textId="77777777" w:rsidR="00721AEC" w:rsidRPr="00721AEC" w:rsidRDefault="00721AEC" w:rsidP="00721AEC">
      <w:pPr>
        <w:rPr>
          <w:rFonts w:ascii="Times New Roman" w:hAnsi="Times New Roman" w:cs="Times New Roman"/>
        </w:rPr>
      </w:pPr>
      <w:r>
        <w:t>This study has several strengths. First, the large sample size and longitudinal design enabled robust evaluation across time. Second, the multi-tiered evaluation framework assesses performance beyond accuracy, including distributional agreement, temporal generalisability, calibration, and preservation of epidemiological associations. Third, comparison against multiple baseline imputation methods supports interpretability relative to existing approaches.</w:t>
      </w:r>
    </w:p>
    <w:p>
      <w:r>
        <w:t>### Limitations</w:t>
      </w:r>
    </w:p>
    <w:p w14:paraId="05204836" w14:textId="77777777" w:rsidR="00721AEC" w:rsidRPr="00721AEC" w:rsidRDefault="00721AEC" w:rsidP="00721AEC">
      <w:pPr>
        <w:rPr>
          <w:rFonts w:ascii="Times New Roman" w:hAnsi="Times New Roman" w:cs="Times New Roman"/>
        </w:rPr>
      </w:pPr>
      <w:r>
        <w:t>Several limitations should be considered. First, CHNS 1991–2011 is a single-country illustrative example; LOYO ending in 2011 limits claims about future-wave transportability without retraining. Second, the three-category structure combines administrative T2 labels with a FatER-defined transitional overlay; band sensitivity is reported in Supplementary Table S9, and primary conclusions rely on the binary Rural/Urban task (Supplementary Table S7). Third, short-term 24-hour recalls may not fully reflect habitual intake. Fourth, imputed labels are probabilistic proxies, not administrative substitutes.</w:t>
      </w:r>
    </w:p>
    <w:p w14:paraId="427EF471" w14:textId="77777777" w:rsidR="00721AEC" w:rsidRPr="00721AEC" w:rsidRDefault="00721AEC" w:rsidP="00721AEC">
      <w:pPr>
        <w:rPr>
          <w:rFonts w:ascii="Times New Roman" w:hAnsi="Times New Roman" w:cs="Times New Roman"/>
        </w:rPr>
      </w:pPr>
      <w:r>
        <w:t>Second, the framework was developed using data from a single country. Although internal validation suggests robustness across time and regions within China, external validation in other populations is needed.</w:t>
      </w:r>
    </w:p>
    <w:p w14:paraId="1B746F11"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Third, the approach focuses on urban–rural classification and does not address other contextual variables that may be missing or inconsistently recorded. Extending this framework to additional dimensions of context represents an important area for future research.</w:t>
      </w:r>
    </w:p>
    <w:p w14:paraId="21D45446" w14:textId="60F704F3" w:rsidR="00C5043E" w:rsidRPr="00D71FF2" w:rsidRDefault="00721AEC" w:rsidP="00C5043E">
      <w:pPr>
        <w:rPr>
          <w:rFonts w:ascii="Times New Roman" w:hAnsi="Times New Roman" w:cs="Times New Roman"/>
        </w:rPr>
      </w:pPr>
      <w:r w:rsidRPr="00721AEC">
        <w:rPr>
          <w:rFonts w:ascii="Times New Roman" w:hAnsi="Times New Roman" w:cs="Times New Roman"/>
        </w:rPr>
        <w:t>Fourth, dietary intake was assessed using short-term recall data, which may not fully reflect habitual intake. However, the use of multiple recall days aligns with standard practice in large-scale surveys.</w:t>
      </w:r>
    </w:p>
    <w:p w14:paraId="43D0B22F" w14:textId="26410FFD" w:rsidR="00F4488C" w:rsidRPr="00D71FF2" w:rsidRDefault="00F4488C" w:rsidP="00C5043E">
      <w:pPr>
        <w:rPr>
          <w:rFonts w:ascii="Times New Roman" w:hAnsi="Times New Roman" w:cs="Times New Roman"/>
        </w:rPr>
      </w:pPr>
      <w:r>
        <w:t>Inferred labels are probabilistic proxies for contextual strata when labels are missing; they should not be treated as administrative substitutes when official classifications are available.</w:t>
      </w:r>
    </w:p>
    <w:p w14:paraId="69B1BE45" w14:textId="77777777" w:rsidR="00C5043E" w:rsidRPr="00D71FF2" w:rsidRDefault="00C5043E" w:rsidP="00C5043E">
      <w:pPr>
        <w:pStyle w:val="3"/>
      </w:pPr>
      <w:r w:rsidRPr="00D71FF2">
        <w:t>Future Directions</w:t>
      </w:r>
    </w:p>
    <w:p>
      <w:pPr>
        <w:spacing w:after="120"/>
      </w:pPr>
      <w:r>
        <w:t>Code and data availability. Analysis scripts that regenerate all main and supplementary tables (including Table S9 band sensitivity and Table S10 adjusted regressions) are provided at https://github.com/tyrone1979/nutri2-urban.</w:t>
      </w:r>
    </w:p>
    <w:p w14:paraId="1D4DF32A"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Future work should </w:t>
      </w:r>
      <w:proofErr w:type="spellStart"/>
      <w:r w:rsidRPr="00721AEC">
        <w:rPr>
          <w:rFonts w:ascii="Times New Roman" w:hAnsi="Times New Roman" w:cs="Times New Roman"/>
        </w:rPr>
        <w:t>prioritise</w:t>
      </w:r>
      <w:proofErr w:type="spellEnd"/>
      <w:r w:rsidRPr="00721AEC">
        <w:rPr>
          <w:rFonts w:ascii="Times New Roman" w:hAnsi="Times New Roman" w:cs="Times New Roman"/>
        </w:rPr>
        <w:t xml:space="preserve"> </w:t>
      </w:r>
      <w:r w:rsidRPr="00721AEC">
        <w:rPr>
          <w:rFonts w:ascii="Times New Roman" w:hAnsi="Times New Roman" w:cs="Times New Roman"/>
          <w:b/>
          <w:bCs/>
        </w:rPr>
        <w:t>external validation</w:t>
      </w:r>
      <w:r w:rsidRPr="00721AEC">
        <w:rPr>
          <w:rFonts w:ascii="Times New Roman" w:hAnsi="Times New Roman" w:cs="Times New Roman"/>
        </w:rPr>
        <w:t xml:space="preserve"> in diverse datasets, including those from different stages of nutrition transition. This would clarify the </w:t>
      </w:r>
      <w:proofErr w:type="spellStart"/>
      <w:r w:rsidRPr="00721AEC">
        <w:rPr>
          <w:rFonts w:ascii="Times New Roman" w:hAnsi="Times New Roman" w:cs="Times New Roman"/>
        </w:rPr>
        <w:t>generalisability</w:t>
      </w:r>
      <w:proofErr w:type="spellEnd"/>
      <w:r w:rsidRPr="00721AEC">
        <w:rPr>
          <w:rFonts w:ascii="Times New Roman" w:hAnsi="Times New Roman" w:cs="Times New Roman"/>
        </w:rPr>
        <w:t xml:space="preserve"> of both the inference framework and the three-category classification.</w:t>
      </w:r>
    </w:p>
    <w:p w14:paraId="52764DAD" w14:textId="193282A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Further methodological development could explore the inclusion of additional dietary indicators, such as food group intake or dietary quality scores, which may enhance performance. Extending the framework to </w:t>
      </w:r>
      <w:r w:rsidR="009621B0" w:rsidRPr="00D71FF2">
        <w:rPr>
          <w:rFonts w:ascii="Times New Roman" w:hAnsi="Times New Roman" w:cs="Times New Roman"/>
        </w:rPr>
        <w:t>infer</w:t>
      </w:r>
      <w:r w:rsidRPr="00721AEC">
        <w:rPr>
          <w:rFonts w:ascii="Times New Roman" w:hAnsi="Times New Roman" w:cs="Times New Roman"/>
        </w:rPr>
        <w:t xml:space="preserve"> other contextual variables—such as socioeconomic status or food environment characteristics—may also broaden its applicability.</w:t>
      </w:r>
    </w:p>
    <w:p w14:paraId="41AD7B59" w14:textId="77777777" w:rsidR="009621B0" w:rsidRPr="00D71FF2" w:rsidRDefault="00721AEC" w:rsidP="00721AEC">
      <w:pPr>
        <w:rPr>
          <w:rFonts w:ascii="Times New Roman" w:hAnsi="Times New Roman" w:cs="Times New Roman"/>
        </w:rPr>
      </w:pPr>
      <w:r w:rsidRPr="00721AEC">
        <w:rPr>
          <w:rFonts w:ascii="Times New Roman" w:hAnsi="Times New Roman" w:cs="Times New Roman"/>
        </w:rPr>
        <w:t>Finally, evaluating the impact of this approach in applied epidemiological studies will be important. Comparative analyses examining how different methods of handling missing contextual data affect study conclusions would provide practical guidance for researchers.</w:t>
      </w:r>
      <w:r w:rsidR="009621B0" w:rsidRPr="00D71FF2">
        <w:rPr>
          <w:rFonts w:ascii="Times New Roman" w:hAnsi="Times New Roman" w:cs="Times New Roman"/>
        </w:rPr>
        <w:t xml:space="preserve"> </w:t>
      </w:r>
    </w:p>
    <w:p w14:paraId="6F597B17" w14:textId="77777777" w:rsidR="00C5043E" w:rsidRPr="00D71FF2" w:rsidRDefault="00C5043E" w:rsidP="00C5043E">
      <w:pPr>
        <w:pStyle w:val="2"/>
      </w:pPr>
      <w:r w:rsidRPr="00D71FF2">
        <w:t>Conclusions</w:t>
      </w:r>
    </w:p>
    <w:p w14:paraId="7DC545A4" w14:textId="6F4F7D3B" w:rsidR="00CD67D4" w:rsidRPr="00D71FF2" w:rsidRDefault="00721AEC" w:rsidP="004A0444">
      <w:pPr>
        <w:rPr>
          <w:rFonts w:ascii="Times New Roman" w:hAnsi="Times New Roman" w:cs="Times New Roman"/>
        </w:rPr>
      </w:pPr>
      <w:r>
        <w:t>This study provides a statistically validated framework and evaluation protocol for enhancing data usability when contextual labels are missing in dietary surveys. The contribution is methodological—inference under simulated missingness with temporal, distributional, calibration, and inferential preservation criteria—rather than policy recommendations regarding nutrition transition.</w:t>
      </w:r>
    </w:p>
    <w:p w14:paraId="617DC991" w14:textId="77777777" w:rsidR="00B16B35" w:rsidRPr="00D71FF2" w:rsidRDefault="00B16B35" w:rsidP="00B16B35">
      <w:pPr>
        <w:pStyle w:val="2"/>
      </w:pPr>
      <w:r w:rsidRPr="00D71FF2">
        <w:t>Data Availability</w:t>
      </w:r>
    </w:p>
    <w:p w14:paraId="2BD076B9" w14:textId="29FA262A" w:rsidR="00B16B35" w:rsidRPr="00D71FF2" w:rsidRDefault="00B16B35" w:rsidP="00B16B35">
      <w:pPr>
        <w:rPr>
          <w:rFonts w:ascii="Times New Roman" w:hAnsi="Times New Roman" w:cs="Times New Roman"/>
        </w:rPr>
      </w:pPr>
      <w:r w:rsidRPr="00D71FF2">
        <w:rPr>
          <w:rFonts w:ascii="Times New Roman" w:hAnsi="Times New Roman" w:cs="Times New Roman"/>
        </w:rPr>
        <w:t>Analysis scripts and the pre-trained model are available at https://github.com/tyrone1979/nutri2-urban.</w:t>
      </w:r>
    </w:p>
    <w:p w14:paraId="6BDBCE5D" w14:textId="224D1180" w:rsidR="00CD67D4" w:rsidRPr="00D71FF2" w:rsidRDefault="00CD67D4" w:rsidP="00CD67D4">
      <w:pPr>
        <w:pStyle w:val="2"/>
      </w:pPr>
      <w:r w:rsidRPr="00D71FF2">
        <w:lastRenderedPageBreak/>
        <w:t>References</w:t>
      </w:r>
    </w:p>
    <w:p w14:paraId="17C7A321" w14:textId="77777777" w:rsidR="001A2DC4" w:rsidRPr="00D71FF2" w:rsidRDefault="00916050" w:rsidP="001A2DC4">
      <w:pPr>
        <w:pStyle w:val="ae"/>
        <w:rPr>
          <w:rFonts w:ascii="Times New Roman" w:hAnsi="Times New Roman" w:cs="Times New Roman"/>
        </w:rPr>
      </w:pPr>
      <w:r w:rsidRPr="00D71FF2">
        <w:rPr>
          <w:rFonts w:ascii="Times New Roman" w:hAnsi="Times New Roman" w:cs="Times New Roman"/>
        </w:rPr>
        <w:fldChar w:fldCharType="begin"/>
      </w:r>
      <w:r w:rsidR="001D5D8F" w:rsidRPr="00D71FF2">
        <w:rPr>
          <w:rFonts w:ascii="Times New Roman" w:hAnsi="Times New Roman" w:cs="Times New Roman"/>
        </w:rPr>
        <w:instrText xml:space="preserve"> ADDIN ZOTERO_BIBL {"uncited":[],"omitted":[],"custom":[]} CSL_BIBLIOGRAPHY </w:instrText>
      </w:r>
      <w:r w:rsidRPr="00D71FF2">
        <w:rPr>
          <w:rFonts w:ascii="Times New Roman" w:hAnsi="Times New Roman" w:cs="Times New Roman"/>
        </w:rPr>
        <w:fldChar w:fldCharType="separate"/>
      </w:r>
      <w:r w:rsidR="001A2DC4" w:rsidRPr="00D71FF2">
        <w:rPr>
          <w:rFonts w:ascii="Times New Roman" w:hAnsi="Times New Roman" w:cs="Times New Roman"/>
        </w:rPr>
        <w:t xml:space="preserve">1. </w:t>
      </w:r>
      <w:r w:rsidR="001A2DC4" w:rsidRPr="00D71FF2">
        <w:rPr>
          <w:rFonts w:ascii="Times New Roman" w:hAnsi="Times New Roman" w:cs="Times New Roman"/>
        </w:rPr>
        <w:tab/>
        <w:t xml:space="preserve">Popkin BM &amp; Ng SW (2022) The nutrition transition to a stage of high obesity and noncommunicable disease prevalence dominated by ultra-processed foods is not inevitable. </w:t>
      </w:r>
      <w:r w:rsidR="001A2DC4" w:rsidRPr="00D71FF2">
        <w:rPr>
          <w:rFonts w:ascii="Times New Roman" w:hAnsi="Times New Roman" w:cs="Times New Roman"/>
          <w:i/>
          <w:iCs/>
        </w:rPr>
        <w:t>Obesity Reviews</w:t>
      </w:r>
      <w:r w:rsidR="001A2DC4" w:rsidRPr="00D71FF2">
        <w:rPr>
          <w:rFonts w:ascii="Times New Roman" w:hAnsi="Times New Roman" w:cs="Times New Roman"/>
        </w:rPr>
        <w:t xml:space="preserve"> </w:t>
      </w:r>
      <w:r w:rsidR="001A2DC4" w:rsidRPr="00D71FF2">
        <w:rPr>
          <w:rFonts w:ascii="Times New Roman" w:hAnsi="Times New Roman" w:cs="Times New Roman"/>
          <w:b/>
          <w:bCs/>
        </w:rPr>
        <w:t>23</w:t>
      </w:r>
      <w:r w:rsidR="001A2DC4" w:rsidRPr="00D71FF2">
        <w:rPr>
          <w:rFonts w:ascii="Times New Roman" w:hAnsi="Times New Roman" w:cs="Times New Roman"/>
        </w:rPr>
        <w:t>, e13366.</w:t>
      </w:r>
    </w:p>
    <w:p w14:paraId="60C9F47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 </w:t>
      </w:r>
      <w:r w:rsidRPr="00D71FF2">
        <w:rPr>
          <w:rFonts w:ascii="Times New Roman" w:hAnsi="Times New Roman" w:cs="Times New Roman"/>
        </w:rPr>
        <w:tab/>
        <w:t xml:space="preserve">von Braun J, Afsana K, Fresco LO, et al. (2021) Food system concepts and definitions for science and political action. </w:t>
      </w:r>
      <w:r w:rsidRPr="00D71FF2">
        <w:rPr>
          <w:rFonts w:ascii="Times New Roman" w:hAnsi="Times New Roman" w:cs="Times New Roman"/>
          <w:i/>
          <w:iCs/>
        </w:rPr>
        <w:t>Nature Food</w:t>
      </w:r>
      <w:r w:rsidRPr="00D71FF2">
        <w:rPr>
          <w:rFonts w:ascii="Times New Roman" w:hAnsi="Times New Roman" w:cs="Times New Roman"/>
        </w:rPr>
        <w:t xml:space="preserve"> </w:t>
      </w:r>
      <w:r w:rsidRPr="00D71FF2">
        <w:rPr>
          <w:rFonts w:ascii="Times New Roman" w:hAnsi="Times New Roman" w:cs="Times New Roman"/>
          <w:b/>
          <w:bCs/>
        </w:rPr>
        <w:t>2</w:t>
      </w:r>
      <w:r w:rsidRPr="00D71FF2">
        <w:rPr>
          <w:rFonts w:ascii="Times New Roman" w:hAnsi="Times New Roman" w:cs="Times New Roman"/>
        </w:rPr>
        <w:t>, 748–750.</w:t>
      </w:r>
    </w:p>
    <w:p w14:paraId="3EB3698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3. </w:t>
      </w:r>
      <w:r w:rsidRPr="00D71FF2">
        <w:rPr>
          <w:rFonts w:ascii="Times New Roman" w:hAnsi="Times New Roman" w:cs="Times New Roman"/>
        </w:rPr>
        <w:tab/>
        <w:t xml:space="preserve">Turner C, Kalamatianou S, Drewnowski A, et al. (2020) Food Environment Research in Low- and Middle-Income Countries: A Systematic Scoping Review.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11</w:t>
      </w:r>
      <w:r w:rsidRPr="00D71FF2">
        <w:rPr>
          <w:rFonts w:ascii="Times New Roman" w:hAnsi="Times New Roman" w:cs="Times New Roman"/>
        </w:rPr>
        <w:t>, 387–397.</w:t>
      </w:r>
    </w:p>
    <w:p w14:paraId="03E3DE53"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4. </w:t>
      </w:r>
      <w:r w:rsidRPr="00D71FF2">
        <w:rPr>
          <w:rFonts w:ascii="Times New Roman" w:hAnsi="Times New Roman" w:cs="Times New Roman"/>
        </w:rPr>
        <w:tab/>
        <w:t xml:space="preserve">Vandevijvere S, Jaacks LM, Monteiro CA, et al. (2019) Global trends in ultraprocessed food and drink product sales and their association with adult body mass index trajectories.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20</w:t>
      </w:r>
      <w:r w:rsidRPr="00D71FF2">
        <w:rPr>
          <w:rFonts w:ascii="Times New Roman" w:hAnsi="Times New Roman" w:cs="Times New Roman"/>
        </w:rPr>
        <w:t>, 10–19.</w:t>
      </w:r>
    </w:p>
    <w:p w14:paraId="57D4C2C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5. </w:t>
      </w:r>
      <w:r w:rsidRPr="00D71FF2">
        <w:rPr>
          <w:rFonts w:ascii="Times New Roman" w:hAnsi="Times New Roman" w:cs="Times New Roman"/>
        </w:rPr>
        <w:tab/>
        <w:t xml:space="preserve">Murray CJL, Aravkin AY, Zheng P, et al. (2020) Global burden of 87 risk factors in 204 countries and territories, 1990–2019: a systematic analysis for the Global Burden of Disease Study 2019.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396</w:t>
      </w:r>
      <w:r w:rsidRPr="00D71FF2">
        <w:rPr>
          <w:rFonts w:ascii="Times New Roman" w:hAnsi="Times New Roman" w:cs="Times New Roman"/>
        </w:rPr>
        <w:t>, 1223–1249. Elsevier.</w:t>
      </w:r>
    </w:p>
    <w:p w14:paraId="184262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6. </w:t>
      </w:r>
      <w:r w:rsidRPr="00D71FF2">
        <w:rPr>
          <w:rFonts w:ascii="Times New Roman" w:hAnsi="Times New Roman" w:cs="Times New Roman"/>
        </w:rPr>
        <w:tab/>
        <w:t xml:space="preserve">Afshin A, Sur PJ, Fay KA, et al. (2019) Health effects of dietary risks in 195 countries, 1990–2017: a systematic analysis for the Global Burden of Disease Study 2017.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393</w:t>
      </w:r>
      <w:r w:rsidRPr="00D71FF2">
        <w:rPr>
          <w:rFonts w:ascii="Times New Roman" w:hAnsi="Times New Roman" w:cs="Times New Roman"/>
        </w:rPr>
        <w:t>, 1958–1972. Elsevier.</w:t>
      </w:r>
    </w:p>
    <w:p w14:paraId="45DA153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7. </w:t>
      </w:r>
      <w:r w:rsidRPr="00D71FF2">
        <w:rPr>
          <w:rFonts w:ascii="Times New Roman" w:hAnsi="Times New Roman" w:cs="Times New Roman"/>
        </w:rPr>
        <w:tab/>
        <w:t xml:space="preserve">Turner C, Aggarwal A, Walls H, et al. (2018) Concepts and critical perspectives for food environment research: A global framework with implications for action in low- and middle-income countries. </w:t>
      </w:r>
      <w:r w:rsidRPr="00D71FF2">
        <w:rPr>
          <w:rFonts w:ascii="Times New Roman" w:hAnsi="Times New Roman" w:cs="Times New Roman"/>
          <w:i/>
          <w:iCs/>
        </w:rPr>
        <w:t>Global Food Security</w:t>
      </w:r>
      <w:r w:rsidRPr="00D71FF2">
        <w:rPr>
          <w:rFonts w:ascii="Times New Roman" w:hAnsi="Times New Roman" w:cs="Times New Roman"/>
        </w:rPr>
        <w:t xml:space="preserve"> </w:t>
      </w:r>
      <w:r w:rsidRPr="00D71FF2">
        <w:rPr>
          <w:rFonts w:ascii="Times New Roman" w:hAnsi="Times New Roman" w:cs="Times New Roman"/>
          <w:b/>
          <w:bCs/>
        </w:rPr>
        <w:t>18</w:t>
      </w:r>
      <w:r w:rsidRPr="00D71FF2">
        <w:rPr>
          <w:rFonts w:ascii="Times New Roman" w:hAnsi="Times New Roman" w:cs="Times New Roman"/>
        </w:rPr>
        <w:t>, 93–101.</w:t>
      </w:r>
    </w:p>
    <w:p w14:paraId="5A6D714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8. </w:t>
      </w:r>
      <w:r w:rsidRPr="00D71FF2">
        <w:rPr>
          <w:rFonts w:ascii="Times New Roman" w:hAnsi="Times New Roman" w:cs="Times New Roman"/>
        </w:rPr>
        <w:tab/>
        <w:t xml:space="preserve">Zhai FY, Du SF, Wang ZH, et al. (2014) Dynamics of the Chinese diet and the role of urbanicity, 1991–2011.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16–26.</w:t>
      </w:r>
    </w:p>
    <w:p w14:paraId="33A0239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9. </w:t>
      </w:r>
      <w:r w:rsidRPr="00D71FF2">
        <w:rPr>
          <w:rFonts w:ascii="Times New Roman" w:hAnsi="Times New Roman" w:cs="Times New Roman"/>
        </w:rPr>
        <w:tab/>
        <w:t xml:space="preserve">Zhao J, Zuo L, Sun J, et al. (2023) Geographic and urban–rural disparities in dietary energy and macronutrient composition among women of childbearing age: findings from the China health and nutrition survey,1991–2015. </w:t>
      </w:r>
      <w:r w:rsidRPr="00D71FF2">
        <w:rPr>
          <w:rFonts w:ascii="Times New Roman" w:hAnsi="Times New Roman" w:cs="Times New Roman"/>
          <w:i/>
          <w:iCs/>
        </w:rPr>
        <w:t>Nutrition Journal</w:t>
      </w:r>
      <w:r w:rsidRPr="00D71FF2">
        <w:rPr>
          <w:rFonts w:ascii="Times New Roman" w:hAnsi="Times New Roman" w:cs="Times New Roman"/>
        </w:rPr>
        <w:t xml:space="preserve"> </w:t>
      </w:r>
      <w:r w:rsidRPr="00D71FF2">
        <w:rPr>
          <w:rFonts w:ascii="Times New Roman" w:hAnsi="Times New Roman" w:cs="Times New Roman"/>
          <w:b/>
          <w:bCs/>
        </w:rPr>
        <w:t>22</w:t>
      </w:r>
      <w:r w:rsidRPr="00D71FF2">
        <w:rPr>
          <w:rFonts w:ascii="Times New Roman" w:hAnsi="Times New Roman" w:cs="Times New Roman"/>
        </w:rPr>
        <w:t>, 23.</w:t>
      </w:r>
    </w:p>
    <w:p w14:paraId="21811292"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10. </w:t>
      </w:r>
      <w:r w:rsidRPr="00D71FF2">
        <w:rPr>
          <w:rFonts w:ascii="Times New Roman" w:hAnsi="Times New Roman" w:cs="Times New Roman"/>
        </w:rPr>
        <w:tab/>
        <w:t xml:space="preserve">Huang L, Wang L, Jiang H, et al. (2023) Trends in dietary carbohydrates, protein and fat intake and diet quality among Chinese adults, 1991–2015: results from the China Health and Nutrition Survey.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26</w:t>
      </w:r>
      <w:r w:rsidRPr="00D71FF2">
        <w:rPr>
          <w:rFonts w:ascii="Times New Roman" w:hAnsi="Times New Roman" w:cs="Times New Roman"/>
        </w:rPr>
        <w:t>, 2022/10/05 edn, 834–843. Cambridge University Press.</w:t>
      </w:r>
    </w:p>
    <w:p w14:paraId="6FB23AE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11. </w:t>
      </w:r>
      <w:r w:rsidRPr="00D71FF2">
        <w:rPr>
          <w:rFonts w:ascii="Times New Roman" w:hAnsi="Times New Roman" w:cs="Times New Roman"/>
        </w:rPr>
        <w:tab/>
        <w:t xml:space="preserve">Zhang B, Zhai F, Du S, et al. (2014) The China Health and Nutrition Survey, 1989-2011.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2–7. Wiley Online Library.</w:t>
      </w:r>
    </w:p>
    <w:p w14:paraId="238AEE9D"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12. </w:t>
      </w:r>
      <w:r w:rsidRPr="00D71FF2">
        <w:rPr>
          <w:rFonts w:ascii="Times New Roman" w:hAnsi="Times New Roman" w:cs="Times New Roman"/>
        </w:rPr>
        <w:tab/>
        <w:t>National Center for Health Statistics (2024) NCHS Geographic Variables: Urban-Rural Classification. Centers for Disease Control and Prevention.</w:t>
      </w:r>
    </w:p>
    <w:p w14:paraId="23F0BB27"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13. </w:t>
      </w:r>
      <w:r w:rsidRPr="00D71FF2">
        <w:rPr>
          <w:rFonts w:ascii="Times New Roman" w:hAnsi="Times New Roman" w:cs="Times New Roman"/>
        </w:rPr>
        <w:tab/>
        <w:t xml:space="preserve">Brooks MM, Mueller JT &amp; Thiede BC (2020) County Reclassifications and Rural–Urban </w:t>
      </w:r>
      <w:r w:rsidRPr="00D71FF2">
        <w:rPr>
          <w:rFonts w:ascii="Times New Roman" w:hAnsi="Times New Roman" w:cs="Times New Roman"/>
        </w:rPr>
        <w:lastRenderedPageBreak/>
        <w:t xml:space="preserve">Mortality Disparities in the United States (1970–2018). </w:t>
      </w:r>
      <w:r w:rsidRPr="00D71FF2">
        <w:rPr>
          <w:rFonts w:ascii="Times New Roman" w:hAnsi="Times New Roman" w:cs="Times New Roman"/>
          <w:i/>
          <w:iCs/>
        </w:rPr>
        <w:t>Am J Public Health</w:t>
      </w:r>
      <w:r w:rsidRPr="00D71FF2">
        <w:rPr>
          <w:rFonts w:ascii="Times New Roman" w:hAnsi="Times New Roman" w:cs="Times New Roman"/>
        </w:rPr>
        <w:t xml:space="preserve"> </w:t>
      </w:r>
      <w:r w:rsidRPr="00D71FF2">
        <w:rPr>
          <w:rFonts w:ascii="Times New Roman" w:hAnsi="Times New Roman" w:cs="Times New Roman"/>
          <w:b/>
          <w:bCs/>
        </w:rPr>
        <w:t>110</w:t>
      </w:r>
      <w:r w:rsidRPr="00D71FF2">
        <w:rPr>
          <w:rFonts w:ascii="Times New Roman" w:hAnsi="Times New Roman" w:cs="Times New Roman"/>
        </w:rPr>
        <w:t>, 1814–1816. American Public Health Association.</w:t>
      </w:r>
    </w:p>
    <w:p w14:paraId="654890E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14. </w:t>
      </w:r>
      <w:r w:rsidRPr="00D71FF2">
        <w:rPr>
          <w:rFonts w:ascii="Times New Roman" w:hAnsi="Times New Roman" w:cs="Times New Roman"/>
        </w:rPr>
        <w:tab/>
        <w:t xml:space="preserve">Song Y, Deziel NC &amp; Bell ML (2024) Delineating Urbanicity and Rurality: Impact on Environmental Exposure Assessment. </w:t>
      </w:r>
      <w:r w:rsidRPr="00D71FF2">
        <w:rPr>
          <w:rFonts w:ascii="Times New Roman" w:hAnsi="Times New Roman" w:cs="Times New Roman"/>
          <w:i/>
          <w:iCs/>
        </w:rPr>
        <w:t>Environ. Sci. Technol.</w:t>
      </w:r>
      <w:r w:rsidRPr="00D71FF2">
        <w:rPr>
          <w:rFonts w:ascii="Times New Roman" w:hAnsi="Times New Roman" w:cs="Times New Roman"/>
        </w:rPr>
        <w:t xml:space="preserve"> </w:t>
      </w:r>
      <w:r w:rsidRPr="00D71FF2">
        <w:rPr>
          <w:rFonts w:ascii="Times New Roman" w:hAnsi="Times New Roman" w:cs="Times New Roman"/>
          <w:b/>
          <w:bCs/>
        </w:rPr>
        <w:t>58</w:t>
      </w:r>
      <w:r w:rsidRPr="00D71FF2">
        <w:rPr>
          <w:rFonts w:ascii="Times New Roman" w:hAnsi="Times New Roman" w:cs="Times New Roman"/>
        </w:rPr>
        <w:t>, 19178–19188. American Chemical Society.</w:t>
      </w:r>
    </w:p>
    <w:p w14:paraId="2BEB9734"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15. </w:t>
      </w:r>
      <w:r w:rsidRPr="00D71FF2">
        <w:rPr>
          <w:rFonts w:ascii="Times New Roman" w:hAnsi="Times New Roman" w:cs="Times New Roman"/>
        </w:rPr>
        <w:tab/>
        <w:t xml:space="preserve">Wright C, Riva S, Crichton M, et al. (2026) Measuring cancer equity globally: harmonising international rural-urban classifications for exploring cancer outcomes. </w:t>
      </w:r>
      <w:r w:rsidRPr="00D71FF2">
        <w:rPr>
          <w:rFonts w:ascii="Times New Roman" w:hAnsi="Times New Roman" w:cs="Times New Roman"/>
          <w:i/>
          <w:iCs/>
        </w:rPr>
        <w:t>The Lancet Regional Health – Western Pacific</w:t>
      </w:r>
      <w:r w:rsidRPr="00D71FF2">
        <w:rPr>
          <w:rFonts w:ascii="Times New Roman" w:hAnsi="Times New Roman" w:cs="Times New Roman"/>
        </w:rPr>
        <w:t xml:space="preserve"> </w:t>
      </w:r>
      <w:r w:rsidRPr="00D71FF2">
        <w:rPr>
          <w:rFonts w:ascii="Times New Roman" w:hAnsi="Times New Roman" w:cs="Times New Roman"/>
          <w:b/>
          <w:bCs/>
        </w:rPr>
        <w:t>66</w:t>
      </w:r>
      <w:r w:rsidRPr="00D71FF2">
        <w:rPr>
          <w:rFonts w:ascii="Times New Roman" w:hAnsi="Times New Roman" w:cs="Times New Roman"/>
        </w:rPr>
        <w:t>. Elsevier.</w:t>
      </w:r>
    </w:p>
    <w:p w14:paraId="081482F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16. </w:t>
      </w:r>
      <w:r w:rsidRPr="00D71FF2">
        <w:rPr>
          <w:rFonts w:ascii="Times New Roman" w:hAnsi="Times New Roman" w:cs="Times New Roman"/>
        </w:rPr>
        <w:tab/>
        <w:t xml:space="preserve">Meadows RJ, Paskett ED, Bower JK, et al. (2024) Socio-demographic differences in the dietary inflammatory index from National Health and Nutrition Examination Survey 2005–2018: a comparison of multiple imputation versus complete case analysis.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27</w:t>
      </w:r>
      <w:r w:rsidRPr="00D71FF2">
        <w:rPr>
          <w:rFonts w:ascii="Times New Roman" w:hAnsi="Times New Roman" w:cs="Times New Roman"/>
        </w:rPr>
        <w:t>, 2024/09/27 edn, e184. Cambridge University Press.</w:t>
      </w:r>
    </w:p>
    <w:p w14:paraId="15F0950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17. </w:t>
      </w:r>
      <w:r w:rsidRPr="00D71FF2">
        <w:rPr>
          <w:rFonts w:ascii="Times New Roman" w:hAnsi="Times New Roman" w:cs="Times New Roman"/>
        </w:rPr>
        <w:tab/>
        <w:t xml:space="preserve">Beretta L &amp; Santaniello A (2016) Nearest neighbor imputation algorithms: a critical evaluation. </w:t>
      </w:r>
      <w:r w:rsidRPr="00D71FF2">
        <w:rPr>
          <w:rFonts w:ascii="Times New Roman" w:hAnsi="Times New Roman" w:cs="Times New Roman"/>
          <w:i/>
          <w:iCs/>
        </w:rPr>
        <w:t>BMC Medical Informatics and Decision Making</w:t>
      </w:r>
      <w:r w:rsidRPr="00D71FF2">
        <w:rPr>
          <w:rFonts w:ascii="Times New Roman" w:hAnsi="Times New Roman" w:cs="Times New Roman"/>
        </w:rPr>
        <w:t xml:space="preserve"> </w:t>
      </w:r>
      <w:r w:rsidRPr="00D71FF2">
        <w:rPr>
          <w:rFonts w:ascii="Times New Roman" w:hAnsi="Times New Roman" w:cs="Times New Roman"/>
          <w:b/>
          <w:bCs/>
        </w:rPr>
        <w:t>16</w:t>
      </w:r>
      <w:r w:rsidRPr="00D71FF2">
        <w:rPr>
          <w:rFonts w:ascii="Times New Roman" w:hAnsi="Times New Roman" w:cs="Times New Roman"/>
        </w:rPr>
        <w:t>, 74.</w:t>
      </w:r>
    </w:p>
    <w:p w14:paraId="4992AEF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18. </w:t>
      </w:r>
      <w:r w:rsidRPr="00D71FF2">
        <w:rPr>
          <w:rFonts w:ascii="Times New Roman" w:hAnsi="Times New Roman" w:cs="Times New Roman"/>
        </w:rPr>
        <w:tab/>
        <w:t xml:space="preserve">Sterne JAC, White IR, Carlin JB, et al. (2009) Multiple imputation for missing data in epidemiological and clinical research: potential and pitfalls. </w:t>
      </w:r>
      <w:r w:rsidRPr="00D71FF2">
        <w:rPr>
          <w:rFonts w:ascii="Times New Roman" w:hAnsi="Times New Roman" w:cs="Times New Roman"/>
          <w:i/>
          <w:iCs/>
        </w:rPr>
        <w:t>BMJ</w:t>
      </w:r>
      <w:r w:rsidRPr="00D71FF2">
        <w:rPr>
          <w:rFonts w:ascii="Times New Roman" w:hAnsi="Times New Roman" w:cs="Times New Roman"/>
        </w:rPr>
        <w:t xml:space="preserve"> </w:t>
      </w:r>
      <w:r w:rsidRPr="00D71FF2">
        <w:rPr>
          <w:rFonts w:ascii="Times New Roman" w:hAnsi="Times New Roman" w:cs="Times New Roman"/>
          <w:b/>
          <w:bCs/>
        </w:rPr>
        <w:t>338</w:t>
      </w:r>
      <w:r w:rsidRPr="00D71FF2">
        <w:rPr>
          <w:rFonts w:ascii="Times New Roman" w:hAnsi="Times New Roman" w:cs="Times New Roman"/>
        </w:rPr>
        <w:t>, b2393.</w:t>
      </w:r>
    </w:p>
    <w:p w14:paraId="1B504AF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19. </w:t>
      </w:r>
      <w:r w:rsidRPr="00D71FF2">
        <w:rPr>
          <w:rFonts w:ascii="Times New Roman" w:hAnsi="Times New Roman" w:cs="Times New Roman"/>
        </w:rPr>
        <w:tab/>
        <w:t xml:space="preserve">White IR, Royston P &amp; Wood AM (2011) Multiple imputation using chained equations: Issues and guidance for practice. </w:t>
      </w:r>
      <w:r w:rsidRPr="00D71FF2">
        <w:rPr>
          <w:rFonts w:ascii="Times New Roman" w:hAnsi="Times New Roman" w:cs="Times New Roman"/>
          <w:i/>
          <w:iCs/>
        </w:rPr>
        <w:t>Statistics in Medicine</w:t>
      </w:r>
      <w:r w:rsidRPr="00D71FF2">
        <w:rPr>
          <w:rFonts w:ascii="Times New Roman" w:hAnsi="Times New Roman" w:cs="Times New Roman"/>
        </w:rPr>
        <w:t xml:space="preserve"> </w:t>
      </w:r>
      <w:r w:rsidRPr="00D71FF2">
        <w:rPr>
          <w:rFonts w:ascii="Times New Roman" w:hAnsi="Times New Roman" w:cs="Times New Roman"/>
          <w:b/>
          <w:bCs/>
        </w:rPr>
        <w:t>30</w:t>
      </w:r>
      <w:r w:rsidRPr="00D71FF2">
        <w:rPr>
          <w:rFonts w:ascii="Times New Roman" w:hAnsi="Times New Roman" w:cs="Times New Roman"/>
        </w:rPr>
        <w:t>, 377–399.</w:t>
      </w:r>
    </w:p>
    <w:p w14:paraId="7259003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20. </w:t>
      </w:r>
      <w:r w:rsidRPr="00D71FF2">
        <w:rPr>
          <w:rFonts w:ascii="Times New Roman" w:hAnsi="Times New Roman" w:cs="Times New Roman"/>
        </w:rPr>
        <w:tab/>
        <w:t xml:space="preserve">Chen T &amp; Guestrin C (2016) XGBoost: A Scalable Tree Boosting System. In </w:t>
      </w:r>
      <w:r w:rsidRPr="00D71FF2">
        <w:rPr>
          <w:rFonts w:ascii="Times New Roman" w:hAnsi="Times New Roman" w:cs="Times New Roman"/>
          <w:i/>
          <w:iCs/>
        </w:rPr>
        <w:t>Proceedings of the 22nd ACM SIGKDD International Conference on Knowledge Discovery and Data Mining</w:t>
      </w:r>
      <w:r w:rsidRPr="00D71FF2">
        <w:rPr>
          <w:rFonts w:ascii="Times New Roman" w:hAnsi="Times New Roman" w:cs="Times New Roman"/>
        </w:rPr>
        <w:t>, pp. 785–794. New York, NY, USA: Association for Computing Machinery.</w:t>
      </w:r>
    </w:p>
    <w:p w14:paraId="5B6AC61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21. </w:t>
      </w:r>
      <w:r w:rsidRPr="00D71FF2">
        <w:rPr>
          <w:rFonts w:ascii="Times New Roman" w:hAnsi="Times New Roman" w:cs="Times New Roman"/>
        </w:rPr>
        <w:tab/>
        <w:t>Lundberg S &amp; Lee S-I (2017) A Unified Approach to Interpreting Model Predictions. .</w:t>
      </w:r>
    </w:p>
    <w:p w14:paraId="2A3EB8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22. </w:t>
      </w:r>
      <w:r w:rsidRPr="00D71FF2">
        <w:rPr>
          <w:rFonts w:ascii="Times New Roman" w:hAnsi="Times New Roman" w:cs="Times New Roman"/>
        </w:rPr>
        <w:tab/>
        <w:t xml:space="preserve">Sharma IK, Di Prima S, Essink D, et al. (2021) Nutrition-Sensitive Agriculture: A Systematic Review of Impact Pathways to Nutrition Outcomes.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12</w:t>
      </w:r>
      <w:r w:rsidRPr="00D71FF2">
        <w:rPr>
          <w:rFonts w:ascii="Times New Roman" w:hAnsi="Times New Roman" w:cs="Times New Roman"/>
        </w:rPr>
        <w:t>, 251–275.</w:t>
      </w:r>
    </w:p>
    <w:p w14:paraId="432E484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23. </w:t>
      </w:r>
      <w:r w:rsidRPr="00D71FF2">
        <w:rPr>
          <w:rFonts w:ascii="Times New Roman" w:hAnsi="Times New Roman" w:cs="Times New Roman"/>
        </w:rPr>
        <w:tab/>
        <w:t xml:space="preserve">Kirk D, Kok E, Tufano M, et al. (2022) Machine Learning in Nutrition Research.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13</w:t>
      </w:r>
      <w:r w:rsidRPr="00D71FF2">
        <w:rPr>
          <w:rFonts w:ascii="Times New Roman" w:hAnsi="Times New Roman" w:cs="Times New Roman"/>
        </w:rPr>
        <w:t>, 2573–2589.</w:t>
      </w:r>
    </w:p>
    <w:p w14:paraId="6198E4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24. </w:t>
      </w:r>
      <w:r w:rsidRPr="00D71FF2">
        <w:rPr>
          <w:rFonts w:ascii="Times New Roman" w:hAnsi="Times New Roman" w:cs="Times New Roman"/>
        </w:rPr>
        <w:tab/>
        <w:t xml:space="preserve">Popkin BM, Du S, Zhai F, et al. (2010) Cohort Profile: The China Health and Nutrition Survey—monitoring and understanding socio-economic and health change in China, 1989–2011. </w:t>
      </w:r>
      <w:r w:rsidRPr="00D71FF2">
        <w:rPr>
          <w:rFonts w:ascii="Times New Roman" w:hAnsi="Times New Roman" w:cs="Times New Roman"/>
          <w:i/>
          <w:iCs/>
        </w:rPr>
        <w:t>International Journal of Epidemiology</w:t>
      </w:r>
      <w:r w:rsidRPr="00D71FF2">
        <w:rPr>
          <w:rFonts w:ascii="Times New Roman" w:hAnsi="Times New Roman" w:cs="Times New Roman"/>
        </w:rPr>
        <w:t xml:space="preserve"> </w:t>
      </w:r>
      <w:r w:rsidRPr="00D71FF2">
        <w:rPr>
          <w:rFonts w:ascii="Times New Roman" w:hAnsi="Times New Roman" w:cs="Times New Roman"/>
          <w:b/>
          <w:bCs/>
        </w:rPr>
        <w:t>39</w:t>
      </w:r>
      <w:r w:rsidRPr="00D71FF2">
        <w:rPr>
          <w:rFonts w:ascii="Times New Roman" w:hAnsi="Times New Roman" w:cs="Times New Roman"/>
        </w:rPr>
        <w:t>, 1435–1440.</w:t>
      </w:r>
    </w:p>
    <w:p w14:paraId="417863A1"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25. </w:t>
      </w:r>
      <w:r w:rsidRPr="00D71FF2">
        <w:rPr>
          <w:rFonts w:ascii="Times New Roman" w:hAnsi="Times New Roman" w:cs="Times New Roman"/>
        </w:rPr>
        <w:tab/>
        <w:t xml:space="preserve">Yang Y (editor) (2018) </w:t>
      </w:r>
      <w:r w:rsidRPr="00D71FF2">
        <w:rPr>
          <w:rFonts w:ascii="Times New Roman" w:hAnsi="Times New Roman" w:cs="Times New Roman"/>
          <w:i/>
          <w:iCs/>
        </w:rPr>
        <w:t>China Food Composition Tables, Book 1: Standard Edition</w:t>
      </w:r>
      <w:r w:rsidRPr="00D71FF2">
        <w:rPr>
          <w:rFonts w:ascii="Times New Roman" w:hAnsi="Times New Roman" w:cs="Times New Roman"/>
        </w:rPr>
        <w:t>. 6th edn. Beijing, China: Peking University Medical Press.</w:t>
      </w:r>
    </w:p>
    <w:p w14:paraId="4292FA2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26. </w:t>
      </w:r>
      <w:r w:rsidRPr="00D71FF2">
        <w:rPr>
          <w:rFonts w:ascii="Times New Roman" w:hAnsi="Times New Roman" w:cs="Times New Roman"/>
        </w:rPr>
        <w:tab/>
        <w:t xml:space="preserve">Seidelmann SB, Claggett B, Cheng S, et al. (2018) Dietary carbohydrate intake and mortality: a prospective cohort study and meta-analysis. </w:t>
      </w:r>
      <w:r w:rsidRPr="00D71FF2">
        <w:rPr>
          <w:rFonts w:ascii="Times New Roman" w:hAnsi="Times New Roman" w:cs="Times New Roman"/>
          <w:i/>
          <w:iCs/>
        </w:rPr>
        <w:t>The Lancet Public Health</w:t>
      </w:r>
      <w:r w:rsidRPr="00D71FF2">
        <w:rPr>
          <w:rFonts w:ascii="Times New Roman" w:hAnsi="Times New Roman" w:cs="Times New Roman"/>
        </w:rPr>
        <w:t xml:space="preserve"> </w:t>
      </w:r>
      <w:r w:rsidRPr="00D71FF2">
        <w:rPr>
          <w:rFonts w:ascii="Times New Roman" w:hAnsi="Times New Roman" w:cs="Times New Roman"/>
          <w:b/>
          <w:bCs/>
        </w:rPr>
        <w:t>3</w:t>
      </w:r>
      <w:r w:rsidRPr="00D71FF2">
        <w:rPr>
          <w:rFonts w:ascii="Times New Roman" w:hAnsi="Times New Roman" w:cs="Times New Roman"/>
        </w:rPr>
        <w:t>, e419–e428. Elsevier.</w:t>
      </w:r>
    </w:p>
    <w:p w14:paraId="1B9425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27. </w:t>
      </w:r>
      <w:r w:rsidRPr="00D71FF2">
        <w:rPr>
          <w:rFonts w:ascii="Times New Roman" w:hAnsi="Times New Roman" w:cs="Times New Roman"/>
        </w:rPr>
        <w:tab/>
        <w:t xml:space="preserve">Jones-Smith JC &amp; Popkin BM (2010) Understanding community context and adult health </w:t>
      </w:r>
      <w:r w:rsidRPr="00D71FF2">
        <w:rPr>
          <w:rFonts w:ascii="Times New Roman" w:hAnsi="Times New Roman" w:cs="Times New Roman"/>
        </w:rPr>
        <w:lastRenderedPageBreak/>
        <w:t xml:space="preserve">changes in China: Development of an urbanicity scale. </w:t>
      </w:r>
      <w:r w:rsidRPr="00D71FF2">
        <w:rPr>
          <w:rFonts w:ascii="Times New Roman" w:hAnsi="Times New Roman" w:cs="Times New Roman"/>
          <w:i/>
          <w:iCs/>
        </w:rPr>
        <w:t>Social Science &amp; Medicine</w:t>
      </w:r>
      <w:r w:rsidRPr="00D71FF2">
        <w:rPr>
          <w:rFonts w:ascii="Times New Roman" w:hAnsi="Times New Roman" w:cs="Times New Roman"/>
        </w:rPr>
        <w:t xml:space="preserve"> </w:t>
      </w:r>
      <w:r w:rsidRPr="00D71FF2">
        <w:rPr>
          <w:rFonts w:ascii="Times New Roman" w:hAnsi="Times New Roman" w:cs="Times New Roman"/>
          <w:b/>
          <w:bCs/>
        </w:rPr>
        <w:t>71</w:t>
      </w:r>
      <w:r w:rsidRPr="00D71FF2">
        <w:rPr>
          <w:rFonts w:ascii="Times New Roman" w:hAnsi="Times New Roman" w:cs="Times New Roman"/>
        </w:rPr>
        <w:t>, 1436–1446.</w:t>
      </w:r>
    </w:p>
    <w:sectPr w:rsidR="00CD67D4" w:rsidRPr="00D71FF2" w:rsidSect="00CA343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92510" w14:textId="77777777" w:rsidR="00FB727C" w:rsidRDefault="00FB727C" w:rsidP="00A67F51">
      <w:r>
        <w:separator/>
      </w:r>
    </w:p>
  </w:endnote>
  <w:endnote w:type="continuationSeparator" w:id="0">
    <w:p w14:paraId="54BC9691" w14:textId="77777777" w:rsidR="00FB727C" w:rsidRDefault="00FB727C" w:rsidP="00A67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D7131" w14:textId="77777777" w:rsidR="00FB727C" w:rsidRDefault="00FB727C" w:rsidP="00A67F51">
      <w:r>
        <w:separator/>
      </w:r>
    </w:p>
  </w:footnote>
  <w:footnote w:type="continuationSeparator" w:id="0">
    <w:p w14:paraId="42F80C78" w14:textId="77777777" w:rsidR="00FB727C" w:rsidRDefault="00FB727C" w:rsidP="00A67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F749BF"/>
    <w:multiLevelType w:val="hybridMultilevel"/>
    <w:tmpl w:val="F1062BCC"/>
    <w:lvl w:ilvl="0" w:tplc="90323AFE">
      <w:start w:val="1"/>
      <w:numFmt w:val="bullet"/>
      <w:lvlText w:val="•"/>
      <w:lvlJc w:val="left"/>
      <w:pPr>
        <w:tabs>
          <w:tab w:val="num" w:pos="720"/>
        </w:tabs>
        <w:ind w:left="720" w:hanging="360"/>
      </w:pPr>
      <w:rPr>
        <w:rFonts w:ascii="Arial" w:hAnsi="Arial" w:hint="default"/>
      </w:rPr>
    </w:lvl>
    <w:lvl w:ilvl="1" w:tplc="968874D0" w:tentative="1">
      <w:start w:val="1"/>
      <w:numFmt w:val="bullet"/>
      <w:lvlText w:val="•"/>
      <w:lvlJc w:val="left"/>
      <w:pPr>
        <w:tabs>
          <w:tab w:val="num" w:pos="1440"/>
        </w:tabs>
        <w:ind w:left="1440" w:hanging="360"/>
      </w:pPr>
      <w:rPr>
        <w:rFonts w:ascii="Arial" w:hAnsi="Arial" w:hint="default"/>
      </w:rPr>
    </w:lvl>
    <w:lvl w:ilvl="2" w:tplc="E1BA45BE" w:tentative="1">
      <w:start w:val="1"/>
      <w:numFmt w:val="bullet"/>
      <w:lvlText w:val="•"/>
      <w:lvlJc w:val="left"/>
      <w:pPr>
        <w:tabs>
          <w:tab w:val="num" w:pos="2160"/>
        </w:tabs>
        <w:ind w:left="2160" w:hanging="360"/>
      </w:pPr>
      <w:rPr>
        <w:rFonts w:ascii="Arial" w:hAnsi="Arial" w:hint="default"/>
      </w:rPr>
    </w:lvl>
    <w:lvl w:ilvl="3" w:tplc="DE76CDC8" w:tentative="1">
      <w:start w:val="1"/>
      <w:numFmt w:val="bullet"/>
      <w:lvlText w:val="•"/>
      <w:lvlJc w:val="left"/>
      <w:pPr>
        <w:tabs>
          <w:tab w:val="num" w:pos="2880"/>
        </w:tabs>
        <w:ind w:left="2880" w:hanging="360"/>
      </w:pPr>
      <w:rPr>
        <w:rFonts w:ascii="Arial" w:hAnsi="Arial" w:hint="default"/>
      </w:rPr>
    </w:lvl>
    <w:lvl w:ilvl="4" w:tplc="F9D63DBA" w:tentative="1">
      <w:start w:val="1"/>
      <w:numFmt w:val="bullet"/>
      <w:lvlText w:val="•"/>
      <w:lvlJc w:val="left"/>
      <w:pPr>
        <w:tabs>
          <w:tab w:val="num" w:pos="3600"/>
        </w:tabs>
        <w:ind w:left="3600" w:hanging="360"/>
      </w:pPr>
      <w:rPr>
        <w:rFonts w:ascii="Arial" w:hAnsi="Arial" w:hint="default"/>
      </w:rPr>
    </w:lvl>
    <w:lvl w:ilvl="5" w:tplc="843A48CC" w:tentative="1">
      <w:start w:val="1"/>
      <w:numFmt w:val="bullet"/>
      <w:lvlText w:val="•"/>
      <w:lvlJc w:val="left"/>
      <w:pPr>
        <w:tabs>
          <w:tab w:val="num" w:pos="4320"/>
        </w:tabs>
        <w:ind w:left="4320" w:hanging="360"/>
      </w:pPr>
      <w:rPr>
        <w:rFonts w:ascii="Arial" w:hAnsi="Arial" w:hint="default"/>
      </w:rPr>
    </w:lvl>
    <w:lvl w:ilvl="6" w:tplc="1F0A46D6" w:tentative="1">
      <w:start w:val="1"/>
      <w:numFmt w:val="bullet"/>
      <w:lvlText w:val="•"/>
      <w:lvlJc w:val="left"/>
      <w:pPr>
        <w:tabs>
          <w:tab w:val="num" w:pos="5040"/>
        </w:tabs>
        <w:ind w:left="5040" w:hanging="360"/>
      </w:pPr>
      <w:rPr>
        <w:rFonts w:ascii="Arial" w:hAnsi="Arial" w:hint="default"/>
      </w:rPr>
    </w:lvl>
    <w:lvl w:ilvl="7" w:tplc="01CAFF28" w:tentative="1">
      <w:start w:val="1"/>
      <w:numFmt w:val="bullet"/>
      <w:lvlText w:val="•"/>
      <w:lvlJc w:val="left"/>
      <w:pPr>
        <w:tabs>
          <w:tab w:val="num" w:pos="5760"/>
        </w:tabs>
        <w:ind w:left="5760" w:hanging="360"/>
      </w:pPr>
      <w:rPr>
        <w:rFonts w:ascii="Arial" w:hAnsi="Arial" w:hint="default"/>
      </w:rPr>
    </w:lvl>
    <w:lvl w:ilvl="8" w:tplc="64F8F7D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52764C4B"/>
    <w:multiLevelType w:val="hybridMultilevel"/>
    <w:tmpl w:val="9D6CAC3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57F81BEB"/>
    <w:multiLevelType w:val="hybridMultilevel"/>
    <w:tmpl w:val="6A746A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622380">
    <w:abstractNumId w:val="0"/>
  </w:num>
  <w:num w:numId="2" w16cid:durableId="559825399">
    <w:abstractNumId w:val="2"/>
  </w:num>
  <w:num w:numId="3" w16cid:durableId="561404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44"/>
    <w:rsid w:val="0001289D"/>
    <w:rsid w:val="000165EB"/>
    <w:rsid w:val="00033F49"/>
    <w:rsid w:val="00043F86"/>
    <w:rsid w:val="00052344"/>
    <w:rsid w:val="0006046F"/>
    <w:rsid w:val="000622CB"/>
    <w:rsid w:val="00066B27"/>
    <w:rsid w:val="000708C3"/>
    <w:rsid w:val="00075693"/>
    <w:rsid w:val="000764FB"/>
    <w:rsid w:val="00077971"/>
    <w:rsid w:val="000A74FA"/>
    <w:rsid w:val="000B23C2"/>
    <w:rsid w:val="000B548D"/>
    <w:rsid w:val="000D6F51"/>
    <w:rsid w:val="000F1E49"/>
    <w:rsid w:val="000F2AE1"/>
    <w:rsid w:val="000F356F"/>
    <w:rsid w:val="000F7152"/>
    <w:rsid w:val="000F77EB"/>
    <w:rsid w:val="0010147B"/>
    <w:rsid w:val="00103136"/>
    <w:rsid w:val="001103BF"/>
    <w:rsid w:val="001206CF"/>
    <w:rsid w:val="00122D5E"/>
    <w:rsid w:val="0013466F"/>
    <w:rsid w:val="00140DA9"/>
    <w:rsid w:val="00150E3E"/>
    <w:rsid w:val="001621AD"/>
    <w:rsid w:val="001654D3"/>
    <w:rsid w:val="00187036"/>
    <w:rsid w:val="00187ED3"/>
    <w:rsid w:val="00195D54"/>
    <w:rsid w:val="00197444"/>
    <w:rsid w:val="001A2DC4"/>
    <w:rsid w:val="001B583B"/>
    <w:rsid w:val="001D5D8F"/>
    <w:rsid w:val="001E1CC7"/>
    <w:rsid w:val="001F08FB"/>
    <w:rsid w:val="001F5388"/>
    <w:rsid w:val="00203A4E"/>
    <w:rsid w:val="00214852"/>
    <w:rsid w:val="0022005E"/>
    <w:rsid w:val="002260AA"/>
    <w:rsid w:val="00243C6B"/>
    <w:rsid w:val="00244F7E"/>
    <w:rsid w:val="0026191B"/>
    <w:rsid w:val="00265CF1"/>
    <w:rsid w:val="00287F4E"/>
    <w:rsid w:val="002A5F5A"/>
    <w:rsid w:val="002A681F"/>
    <w:rsid w:val="002B1BBE"/>
    <w:rsid w:val="002E0D85"/>
    <w:rsid w:val="002F3D71"/>
    <w:rsid w:val="003170B3"/>
    <w:rsid w:val="00322862"/>
    <w:rsid w:val="00322A60"/>
    <w:rsid w:val="00331E66"/>
    <w:rsid w:val="00336362"/>
    <w:rsid w:val="00344196"/>
    <w:rsid w:val="00363DBA"/>
    <w:rsid w:val="00371563"/>
    <w:rsid w:val="00376ECA"/>
    <w:rsid w:val="003839E2"/>
    <w:rsid w:val="00383F85"/>
    <w:rsid w:val="00384968"/>
    <w:rsid w:val="00385A17"/>
    <w:rsid w:val="00385E25"/>
    <w:rsid w:val="00391A25"/>
    <w:rsid w:val="00391D66"/>
    <w:rsid w:val="00397C5A"/>
    <w:rsid w:val="003A7C12"/>
    <w:rsid w:val="003B234A"/>
    <w:rsid w:val="003B794F"/>
    <w:rsid w:val="003D61DB"/>
    <w:rsid w:val="003F5618"/>
    <w:rsid w:val="00400AB5"/>
    <w:rsid w:val="004136A4"/>
    <w:rsid w:val="00434208"/>
    <w:rsid w:val="00436833"/>
    <w:rsid w:val="0045655F"/>
    <w:rsid w:val="004A0444"/>
    <w:rsid w:val="004A32A1"/>
    <w:rsid w:val="004A5499"/>
    <w:rsid w:val="004B082E"/>
    <w:rsid w:val="004C2A9D"/>
    <w:rsid w:val="004C7FE6"/>
    <w:rsid w:val="004E3641"/>
    <w:rsid w:val="00501793"/>
    <w:rsid w:val="005110A2"/>
    <w:rsid w:val="00511164"/>
    <w:rsid w:val="0051662B"/>
    <w:rsid w:val="00523C82"/>
    <w:rsid w:val="00525533"/>
    <w:rsid w:val="0054052A"/>
    <w:rsid w:val="00541414"/>
    <w:rsid w:val="00543DAA"/>
    <w:rsid w:val="0055157C"/>
    <w:rsid w:val="005523EE"/>
    <w:rsid w:val="00555125"/>
    <w:rsid w:val="00555805"/>
    <w:rsid w:val="005719E7"/>
    <w:rsid w:val="00571D4F"/>
    <w:rsid w:val="00574098"/>
    <w:rsid w:val="00583786"/>
    <w:rsid w:val="005A094C"/>
    <w:rsid w:val="005A4D79"/>
    <w:rsid w:val="005B4594"/>
    <w:rsid w:val="005B70FA"/>
    <w:rsid w:val="005C02E1"/>
    <w:rsid w:val="005C73C4"/>
    <w:rsid w:val="005E4686"/>
    <w:rsid w:val="005F55F1"/>
    <w:rsid w:val="005F6BAB"/>
    <w:rsid w:val="00603380"/>
    <w:rsid w:val="00605B2F"/>
    <w:rsid w:val="006068C6"/>
    <w:rsid w:val="00607CF2"/>
    <w:rsid w:val="00633C1E"/>
    <w:rsid w:val="0064142E"/>
    <w:rsid w:val="00644FFF"/>
    <w:rsid w:val="00645F02"/>
    <w:rsid w:val="006505A6"/>
    <w:rsid w:val="00651FC3"/>
    <w:rsid w:val="00656DE6"/>
    <w:rsid w:val="006572F5"/>
    <w:rsid w:val="00662D9D"/>
    <w:rsid w:val="00670B5C"/>
    <w:rsid w:val="006766C0"/>
    <w:rsid w:val="00684B1D"/>
    <w:rsid w:val="00692FA0"/>
    <w:rsid w:val="006A2C07"/>
    <w:rsid w:val="006A56D5"/>
    <w:rsid w:val="006B25CB"/>
    <w:rsid w:val="006B2E8F"/>
    <w:rsid w:val="006B2F97"/>
    <w:rsid w:val="006C7BE0"/>
    <w:rsid w:val="006E2AAE"/>
    <w:rsid w:val="007003AD"/>
    <w:rsid w:val="00700CEA"/>
    <w:rsid w:val="0070503E"/>
    <w:rsid w:val="00720ABC"/>
    <w:rsid w:val="00720D9E"/>
    <w:rsid w:val="00721AEC"/>
    <w:rsid w:val="00730E7D"/>
    <w:rsid w:val="0073580C"/>
    <w:rsid w:val="0075476A"/>
    <w:rsid w:val="00755D90"/>
    <w:rsid w:val="0075728F"/>
    <w:rsid w:val="007735B5"/>
    <w:rsid w:val="0078069D"/>
    <w:rsid w:val="007B7812"/>
    <w:rsid w:val="007B7D5F"/>
    <w:rsid w:val="007C1510"/>
    <w:rsid w:val="007D1715"/>
    <w:rsid w:val="007F7F93"/>
    <w:rsid w:val="0080027F"/>
    <w:rsid w:val="008128CB"/>
    <w:rsid w:val="00815EB2"/>
    <w:rsid w:val="00823FA3"/>
    <w:rsid w:val="008462BF"/>
    <w:rsid w:val="00855D24"/>
    <w:rsid w:val="00860F0E"/>
    <w:rsid w:val="008672C9"/>
    <w:rsid w:val="008679E5"/>
    <w:rsid w:val="00876511"/>
    <w:rsid w:val="00885697"/>
    <w:rsid w:val="00886075"/>
    <w:rsid w:val="008973E1"/>
    <w:rsid w:val="008B67B3"/>
    <w:rsid w:val="008C1FA4"/>
    <w:rsid w:val="008C6813"/>
    <w:rsid w:val="008F052D"/>
    <w:rsid w:val="008F06EC"/>
    <w:rsid w:val="008F6C57"/>
    <w:rsid w:val="008F76EB"/>
    <w:rsid w:val="009061BA"/>
    <w:rsid w:val="0091290B"/>
    <w:rsid w:val="00916050"/>
    <w:rsid w:val="00925510"/>
    <w:rsid w:val="0093324C"/>
    <w:rsid w:val="00936B7F"/>
    <w:rsid w:val="00936FCC"/>
    <w:rsid w:val="00944E1E"/>
    <w:rsid w:val="009511FE"/>
    <w:rsid w:val="0095132B"/>
    <w:rsid w:val="00952EEA"/>
    <w:rsid w:val="009568D2"/>
    <w:rsid w:val="00957088"/>
    <w:rsid w:val="00960D2F"/>
    <w:rsid w:val="009621B0"/>
    <w:rsid w:val="0096298D"/>
    <w:rsid w:val="00977704"/>
    <w:rsid w:val="00985220"/>
    <w:rsid w:val="00994014"/>
    <w:rsid w:val="00996121"/>
    <w:rsid w:val="009A3DCB"/>
    <w:rsid w:val="009A51B8"/>
    <w:rsid w:val="009B3135"/>
    <w:rsid w:val="009C177D"/>
    <w:rsid w:val="009C2A20"/>
    <w:rsid w:val="009D12C1"/>
    <w:rsid w:val="009E21BC"/>
    <w:rsid w:val="009F3126"/>
    <w:rsid w:val="009F3ADD"/>
    <w:rsid w:val="00A00812"/>
    <w:rsid w:val="00A02CD8"/>
    <w:rsid w:val="00A11163"/>
    <w:rsid w:val="00A1263E"/>
    <w:rsid w:val="00A15D75"/>
    <w:rsid w:val="00A2399A"/>
    <w:rsid w:val="00A26D84"/>
    <w:rsid w:val="00A33969"/>
    <w:rsid w:val="00A3464D"/>
    <w:rsid w:val="00A36456"/>
    <w:rsid w:val="00A51EEC"/>
    <w:rsid w:val="00A61EDF"/>
    <w:rsid w:val="00A6497C"/>
    <w:rsid w:val="00A65AD0"/>
    <w:rsid w:val="00A67F51"/>
    <w:rsid w:val="00A74D52"/>
    <w:rsid w:val="00A802BD"/>
    <w:rsid w:val="00A83F10"/>
    <w:rsid w:val="00A90BDF"/>
    <w:rsid w:val="00A93C6E"/>
    <w:rsid w:val="00A94654"/>
    <w:rsid w:val="00A96483"/>
    <w:rsid w:val="00AA131D"/>
    <w:rsid w:val="00AB0FAF"/>
    <w:rsid w:val="00AB6230"/>
    <w:rsid w:val="00AC6C27"/>
    <w:rsid w:val="00AD0456"/>
    <w:rsid w:val="00AD216A"/>
    <w:rsid w:val="00AE5AE2"/>
    <w:rsid w:val="00AF74DC"/>
    <w:rsid w:val="00B009D1"/>
    <w:rsid w:val="00B00F0C"/>
    <w:rsid w:val="00B16B35"/>
    <w:rsid w:val="00B21CC9"/>
    <w:rsid w:val="00B2337B"/>
    <w:rsid w:val="00B23F0A"/>
    <w:rsid w:val="00B2458C"/>
    <w:rsid w:val="00B26018"/>
    <w:rsid w:val="00B31589"/>
    <w:rsid w:val="00B32557"/>
    <w:rsid w:val="00B40B22"/>
    <w:rsid w:val="00B53CB8"/>
    <w:rsid w:val="00B5442F"/>
    <w:rsid w:val="00B54B72"/>
    <w:rsid w:val="00B6159E"/>
    <w:rsid w:val="00B61E6E"/>
    <w:rsid w:val="00B63BC3"/>
    <w:rsid w:val="00B67B46"/>
    <w:rsid w:val="00B70CF9"/>
    <w:rsid w:val="00B736C0"/>
    <w:rsid w:val="00B8184D"/>
    <w:rsid w:val="00B82B28"/>
    <w:rsid w:val="00B91818"/>
    <w:rsid w:val="00B95B6C"/>
    <w:rsid w:val="00BA0DAC"/>
    <w:rsid w:val="00BA164F"/>
    <w:rsid w:val="00BA3475"/>
    <w:rsid w:val="00BA432B"/>
    <w:rsid w:val="00BA59E8"/>
    <w:rsid w:val="00BC000C"/>
    <w:rsid w:val="00BC4053"/>
    <w:rsid w:val="00BD4B6E"/>
    <w:rsid w:val="00BF4999"/>
    <w:rsid w:val="00C02A18"/>
    <w:rsid w:val="00C0610D"/>
    <w:rsid w:val="00C24026"/>
    <w:rsid w:val="00C5043E"/>
    <w:rsid w:val="00C54BC8"/>
    <w:rsid w:val="00C7769C"/>
    <w:rsid w:val="00C83300"/>
    <w:rsid w:val="00C91C8F"/>
    <w:rsid w:val="00CA058D"/>
    <w:rsid w:val="00CA3430"/>
    <w:rsid w:val="00CB3056"/>
    <w:rsid w:val="00CB6FDD"/>
    <w:rsid w:val="00CD67D4"/>
    <w:rsid w:val="00D37B9B"/>
    <w:rsid w:val="00D42BA2"/>
    <w:rsid w:val="00D44546"/>
    <w:rsid w:val="00D539F5"/>
    <w:rsid w:val="00D561F7"/>
    <w:rsid w:val="00D61569"/>
    <w:rsid w:val="00D63DCF"/>
    <w:rsid w:val="00D65E7F"/>
    <w:rsid w:val="00D67411"/>
    <w:rsid w:val="00D71FF2"/>
    <w:rsid w:val="00D7218D"/>
    <w:rsid w:val="00D76387"/>
    <w:rsid w:val="00D8196A"/>
    <w:rsid w:val="00D90F68"/>
    <w:rsid w:val="00D93A21"/>
    <w:rsid w:val="00DB0501"/>
    <w:rsid w:val="00DB0E9F"/>
    <w:rsid w:val="00DB183E"/>
    <w:rsid w:val="00DC2D1D"/>
    <w:rsid w:val="00DD49D2"/>
    <w:rsid w:val="00DE488B"/>
    <w:rsid w:val="00DF6FA6"/>
    <w:rsid w:val="00E02C70"/>
    <w:rsid w:val="00E03223"/>
    <w:rsid w:val="00E14842"/>
    <w:rsid w:val="00E43BA6"/>
    <w:rsid w:val="00E447D6"/>
    <w:rsid w:val="00E4728F"/>
    <w:rsid w:val="00E728FC"/>
    <w:rsid w:val="00E76D46"/>
    <w:rsid w:val="00E9597E"/>
    <w:rsid w:val="00E9647C"/>
    <w:rsid w:val="00EA2FF2"/>
    <w:rsid w:val="00EA41CE"/>
    <w:rsid w:val="00EB0509"/>
    <w:rsid w:val="00EB6D76"/>
    <w:rsid w:val="00EB7D30"/>
    <w:rsid w:val="00ED70DC"/>
    <w:rsid w:val="00EE44B8"/>
    <w:rsid w:val="00EE4528"/>
    <w:rsid w:val="00EE6D64"/>
    <w:rsid w:val="00F1426E"/>
    <w:rsid w:val="00F15530"/>
    <w:rsid w:val="00F17179"/>
    <w:rsid w:val="00F25BF4"/>
    <w:rsid w:val="00F36FAA"/>
    <w:rsid w:val="00F4488C"/>
    <w:rsid w:val="00F519D2"/>
    <w:rsid w:val="00F5696B"/>
    <w:rsid w:val="00F64801"/>
    <w:rsid w:val="00F66E67"/>
    <w:rsid w:val="00F73047"/>
    <w:rsid w:val="00F73467"/>
    <w:rsid w:val="00F961E7"/>
    <w:rsid w:val="00F9732F"/>
    <w:rsid w:val="00F97668"/>
    <w:rsid w:val="00F97F29"/>
    <w:rsid w:val="00FA0133"/>
    <w:rsid w:val="00FA1C23"/>
    <w:rsid w:val="00FB0590"/>
    <w:rsid w:val="00FB1C36"/>
    <w:rsid w:val="00FB5182"/>
    <w:rsid w:val="00FB727C"/>
    <w:rsid w:val="00FC718B"/>
    <w:rsid w:val="00FE5D14"/>
    <w:rsid w:val="00FF309E"/>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0D7FA"/>
  <w15:chartTrackingRefBased/>
  <w15:docId w15:val="{F7FE859C-DA87-4578-9716-6F4BA4620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D67D4"/>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CD67D4"/>
    <w:pPr>
      <w:keepNext/>
      <w:keepLines/>
      <w:spacing w:before="160" w:after="80"/>
      <w:outlineLvl w:val="1"/>
    </w:pPr>
    <w:rPr>
      <w:rFonts w:ascii="Times New Roman" w:eastAsiaTheme="majorEastAsia" w:hAnsi="Times New Roman" w:cs="Times New Roman"/>
      <w:b/>
      <w:bCs/>
      <w:sz w:val="28"/>
      <w:szCs w:val="28"/>
    </w:rPr>
  </w:style>
  <w:style w:type="paragraph" w:styleId="3">
    <w:name w:val="heading 3"/>
    <w:basedOn w:val="a"/>
    <w:next w:val="a"/>
    <w:link w:val="30"/>
    <w:uiPriority w:val="9"/>
    <w:unhideWhenUsed/>
    <w:qFormat/>
    <w:rsid w:val="006B25CB"/>
    <w:pPr>
      <w:keepNext/>
      <w:keepLines/>
      <w:spacing w:before="160" w:after="80"/>
      <w:outlineLvl w:val="2"/>
    </w:pPr>
    <w:rPr>
      <w:rFonts w:ascii="Times New Roman" w:eastAsiaTheme="majorEastAsia" w:hAnsi="Times New Roman" w:cs="Times New Roman"/>
      <w:b/>
      <w:bCs/>
      <w:sz w:val="24"/>
      <w:szCs w:val="24"/>
    </w:rPr>
  </w:style>
  <w:style w:type="paragraph" w:styleId="4">
    <w:name w:val="heading 4"/>
    <w:basedOn w:val="a"/>
    <w:next w:val="a"/>
    <w:link w:val="40"/>
    <w:uiPriority w:val="9"/>
    <w:unhideWhenUsed/>
    <w:qFormat/>
    <w:rsid w:val="008128CB"/>
    <w:pPr>
      <w:keepNext/>
      <w:keepLines/>
      <w:spacing w:before="80" w:after="40"/>
      <w:outlineLvl w:val="3"/>
    </w:pPr>
    <w:rPr>
      <w:rFonts w:ascii="Times New Roman" w:hAnsi="Times New Roman" w:cs="Times New Roman"/>
      <w:b/>
      <w:bCs/>
      <w:szCs w:val="21"/>
    </w:rPr>
  </w:style>
  <w:style w:type="paragraph" w:styleId="5">
    <w:name w:val="heading 5"/>
    <w:basedOn w:val="a"/>
    <w:next w:val="a"/>
    <w:link w:val="50"/>
    <w:uiPriority w:val="9"/>
    <w:semiHidden/>
    <w:unhideWhenUsed/>
    <w:qFormat/>
    <w:rsid w:val="004A044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A044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A044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A044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A044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7D4"/>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CD67D4"/>
    <w:rPr>
      <w:rFonts w:ascii="Times New Roman" w:eastAsiaTheme="majorEastAsia" w:hAnsi="Times New Roman" w:cs="Times New Roman"/>
      <w:b/>
      <w:bCs/>
      <w:sz w:val="28"/>
      <w:szCs w:val="28"/>
    </w:rPr>
  </w:style>
  <w:style w:type="character" w:customStyle="1" w:styleId="30">
    <w:name w:val="标题 3 字符"/>
    <w:basedOn w:val="a0"/>
    <w:link w:val="3"/>
    <w:uiPriority w:val="9"/>
    <w:rsid w:val="006B25CB"/>
    <w:rPr>
      <w:rFonts w:ascii="Times New Roman" w:eastAsiaTheme="majorEastAsia" w:hAnsi="Times New Roman" w:cs="Times New Roman"/>
      <w:b/>
      <w:bCs/>
      <w:sz w:val="24"/>
      <w:szCs w:val="24"/>
    </w:rPr>
  </w:style>
  <w:style w:type="character" w:customStyle="1" w:styleId="40">
    <w:name w:val="标题 4 字符"/>
    <w:basedOn w:val="a0"/>
    <w:link w:val="4"/>
    <w:uiPriority w:val="9"/>
    <w:rsid w:val="008128CB"/>
    <w:rPr>
      <w:rFonts w:ascii="Times New Roman" w:hAnsi="Times New Roman" w:cs="Times New Roman"/>
      <w:b/>
      <w:bCs/>
      <w:szCs w:val="21"/>
    </w:rPr>
  </w:style>
  <w:style w:type="character" w:customStyle="1" w:styleId="50">
    <w:name w:val="标题 5 字符"/>
    <w:basedOn w:val="a0"/>
    <w:link w:val="5"/>
    <w:uiPriority w:val="9"/>
    <w:semiHidden/>
    <w:rsid w:val="004A0444"/>
    <w:rPr>
      <w:rFonts w:cstheme="majorBidi"/>
      <w:color w:val="2F5496" w:themeColor="accent1" w:themeShade="BF"/>
      <w:sz w:val="24"/>
      <w:szCs w:val="24"/>
    </w:rPr>
  </w:style>
  <w:style w:type="character" w:customStyle="1" w:styleId="60">
    <w:name w:val="标题 6 字符"/>
    <w:basedOn w:val="a0"/>
    <w:link w:val="6"/>
    <w:uiPriority w:val="9"/>
    <w:semiHidden/>
    <w:rsid w:val="004A0444"/>
    <w:rPr>
      <w:rFonts w:cstheme="majorBidi"/>
      <w:b/>
      <w:bCs/>
      <w:color w:val="2F5496" w:themeColor="accent1" w:themeShade="BF"/>
    </w:rPr>
  </w:style>
  <w:style w:type="character" w:customStyle="1" w:styleId="70">
    <w:name w:val="标题 7 字符"/>
    <w:basedOn w:val="a0"/>
    <w:link w:val="7"/>
    <w:uiPriority w:val="9"/>
    <w:semiHidden/>
    <w:rsid w:val="004A0444"/>
    <w:rPr>
      <w:rFonts w:cstheme="majorBidi"/>
      <w:b/>
      <w:bCs/>
      <w:color w:val="595959" w:themeColor="text1" w:themeTint="A6"/>
    </w:rPr>
  </w:style>
  <w:style w:type="character" w:customStyle="1" w:styleId="80">
    <w:name w:val="标题 8 字符"/>
    <w:basedOn w:val="a0"/>
    <w:link w:val="8"/>
    <w:uiPriority w:val="9"/>
    <w:semiHidden/>
    <w:rsid w:val="004A0444"/>
    <w:rPr>
      <w:rFonts w:cstheme="majorBidi"/>
      <w:color w:val="595959" w:themeColor="text1" w:themeTint="A6"/>
    </w:rPr>
  </w:style>
  <w:style w:type="character" w:customStyle="1" w:styleId="90">
    <w:name w:val="标题 9 字符"/>
    <w:basedOn w:val="a0"/>
    <w:link w:val="9"/>
    <w:uiPriority w:val="9"/>
    <w:semiHidden/>
    <w:rsid w:val="004A0444"/>
    <w:rPr>
      <w:rFonts w:eastAsiaTheme="majorEastAsia" w:cstheme="majorBidi"/>
      <w:color w:val="595959" w:themeColor="text1" w:themeTint="A6"/>
    </w:rPr>
  </w:style>
  <w:style w:type="paragraph" w:styleId="a3">
    <w:name w:val="Title"/>
    <w:basedOn w:val="a"/>
    <w:next w:val="a"/>
    <w:link w:val="a4"/>
    <w:uiPriority w:val="10"/>
    <w:qFormat/>
    <w:rsid w:val="004A044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A044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A044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A044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A0444"/>
    <w:pPr>
      <w:spacing w:before="160" w:after="160"/>
      <w:jc w:val="center"/>
    </w:pPr>
    <w:rPr>
      <w:i/>
      <w:iCs/>
      <w:color w:val="404040" w:themeColor="text1" w:themeTint="BF"/>
    </w:rPr>
  </w:style>
  <w:style w:type="character" w:customStyle="1" w:styleId="a8">
    <w:name w:val="引用 字符"/>
    <w:basedOn w:val="a0"/>
    <w:link w:val="a7"/>
    <w:uiPriority w:val="29"/>
    <w:rsid w:val="004A0444"/>
    <w:rPr>
      <w:i/>
      <w:iCs/>
      <w:color w:val="404040" w:themeColor="text1" w:themeTint="BF"/>
    </w:rPr>
  </w:style>
  <w:style w:type="paragraph" w:styleId="a9">
    <w:name w:val="List Paragraph"/>
    <w:basedOn w:val="a"/>
    <w:uiPriority w:val="34"/>
    <w:qFormat/>
    <w:rsid w:val="004A0444"/>
    <w:pPr>
      <w:ind w:left="720"/>
      <w:contextualSpacing/>
    </w:pPr>
  </w:style>
  <w:style w:type="character" w:styleId="aa">
    <w:name w:val="Intense Emphasis"/>
    <w:basedOn w:val="a0"/>
    <w:uiPriority w:val="21"/>
    <w:qFormat/>
    <w:rsid w:val="004A0444"/>
    <w:rPr>
      <w:i/>
      <w:iCs/>
      <w:color w:val="2F5496" w:themeColor="accent1" w:themeShade="BF"/>
    </w:rPr>
  </w:style>
  <w:style w:type="paragraph" w:styleId="ab">
    <w:name w:val="Intense Quote"/>
    <w:basedOn w:val="a"/>
    <w:next w:val="a"/>
    <w:link w:val="ac"/>
    <w:uiPriority w:val="30"/>
    <w:qFormat/>
    <w:rsid w:val="004A04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A0444"/>
    <w:rPr>
      <w:i/>
      <w:iCs/>
      <w:color w:val="2F5496" w:themeColor="accent1" w:themeShade="BF"/>
    </w:rPr>
  </w:style>
  <w:style w:type="character" w:styleId="ad">
    <w:name w:val="Intense Reference"/>
    <w:basedOn w:val="a0"/>
    <w:uiPriority w:val="32"/>
    <w:qFormat/>
    <w:rsid w:val="004A0444"/>
    <w:rPr>
      <w:b/>
      <w:bCs/>
      <w:smallCaps/>
      <w:color w:val="2F5496" w:themeColor="accent1" w:themeShade="BF"/>
      <w:spacing w:val="5"/>
    </w:rPr>
  </w:style>
  <w:style w:type="paragraph" w:styleId="ae">
    <w:name w:val="Bibliography"/>
    <w:basedOn w:val="a"/>
    <w:next w:val="a"/>
    <w:uiPriority w:val="37"/>
    <w:unhideWhenUsed/>
    <w:rsid w:val="00916050"/>
    <w:pPr>
      <w:tabs>
        <w:tab w:val="left" w:pos="384"/>
      </w:tabs>
      <w:spacing w:after="240"/>
      <w:ind w:left="384" w:hanging="384"/>
    </w:pPr>
  </w:style>
  <w:style w:type="character" w:styleId="af">
    <w:name w:val="Hyperlink"/>
    <w:basedOn w:val="a0"/>
    <w:uiPriority w:val="99"/>
    <w:unhideWhenUsed/>
    <w:rsid w:val="006B25CB"/>
    <w:rPr>
      <w:color w:val="0563C1" w:themeColor="hyperlink"/>
      <w:u w:val="single"/>
    </w:rPr>
  </w:style>
  <w:style w:type="character" w:styleId="af0">
    <w:name w:val="Unresolved Mention"/>
    <w:basedOn w:val="a0"/>
    <w:uiPriority w:val="99"/>
    <w:semiHidden/>
    <w:unhideWhenUsed/>
    <w:rsid w:val="006B25CB"/>
    <w:rPr>
      <w:color w:val="605E5C"/>
      <w:shd w:val="clear" w:color="auto" w:fill="E1DFDD"/>
    </w:rPr>
  </w:style>
  <w:style w:type="paragraph" w:styleId="af1">
    <w:name w:val="header"/>
    <w:basedOn w:val="a"/>
    <w:link w:val="af2"/>
    <w:uiPriority w:val="99"/>
    <w:unhideWhenUsed/>
    <w:rsid w:val="00A67F51"/>
    <w:pPr>
      <w:tabs>
        <w:tab w:val="center" w:pos="4153"/>
        <w:tab w:val="right" w:pos="8306"/>
      </w:tabs>
      <w:snapToGrid w:val="0"/>
      <w:jc w:val="center"/>
    </w:pPr>
    <w:rPr>
      <w:sz w:val="18"/>
      <w:szCs w:val="18"/>
    </w:rPr>
  </w:style>
  <w:style w:type="character" w:customStyle="1" w:styleId="af2">
    <w:name w:val="页眉 字符"/>
    <w:basedOn w:val="a0"/>
    <w:link w:val="af1"/>
    <w:uiPriority w:val="99"/>
    <w:rsid w:val="00A67F51"/>
    <w:rPr>
      <w:sz w:val="18"/>
      <w:szCs w:val="18"/>
    </w:rPr>
  </w:style>
  <w:style w:type="paragraph" w:styleId="af3">
    <w:name w:val="footer"/>
    <w:basedOn w:val="a"/>
    <w:link w:val="af4"/>
    <w:uiPriority w:val="99"/>
    <w:unhideWhenUsed/>
    <w:rsid w:val="00A67F51"/>
    <w:pPr>
      <w:tabs>
        <w:tab w:val="center" w:pos="4153"/>
        <w:tab w:val="right" w:pos="8306"/>
      </w:tabs>
      <w:snapToGrid w:val="0"/>
      <w:jc w:val="left"/>
    </w:pPr>
    <w:rPr>
      <w:sz w:val="18"/>
      <w:szCs w:val="18"/>
    </w:rPr>
  </w:style>
  <w:style w:type="character" w:customStyle="1" w:styleId="af4">
    <w:name w:val="页脚 字符"/>
    <w:basedOn w:val="a0"/>
    <w:link w:val="af3"/>
    <w:uiPriority w:val="99"/>
    <w:rsid w:val="00A67F51"/>
    <w:rPr>
      <w:sz w:val="18"/>
      <w:szCs w:val="18"/>
    </w:rPr>
  </w:style>
  <w:style w:type="paragraph" w:styleId="HTML">
    <w:name w:val="HTML Preformatted"/>
    <w:basedOn w:val="a"/>
    <w:link w:val="HTML0"/>
    <w:uiPriority w:val="99"/>
    <w:semiHidden/>
    <w:unhideWhenUsed/>
    <w:rsid w:val="00A6497C"/>
    <w:rPr>
      <w:rFonts w:ascii="Courier New" w:hAnsi="Courier New" w:cs="Courier New"/>
      <w:sz w:val="20"/>
      <w:szCs w:val="20"/>
    </w:rPr>
  </w:style>
  <w:style w:type="character" w:customStyle="1" w:styleId="HTML0">
    <w:name w:val="HTML 预设格式 字符"/>
    <w:basedOn w:val="a0"/>
    <w:link w:val="HTML"/>
    <w:uiPriority w:val="99"/>
    <w:semiHidden/>
    <w:rsid w:val="00A6497C"/>
    <w:rPr>
      <w:rFonts w:ascii="Courier New" w:hAnsi="Courier New" w:cs="Courier New"/>
      <w:sz w:val="20"/>
      <w:szCs w:val="20"/>
    </w:rPr>
  </w:style>
  <w:style w:type="character" w:styleId="af5">
    <w:name w:val="line number"/>
    <w:basedOn w:val="a0"/>
    <w:uiPriority w:val="99"/>
    <w:semiHidden/>
    <w:unhideWhenUsed/>
    <w:rsid w:val="00CA34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yrone1979/nutri2-urba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tiff"/><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19</Pages>
  <Words>21894</Words>
  <Characters>124802</Characters>
  <Application>Microsoft Office Word</Application>
  <DocSecurity>0</DocSecurity>
  <Lines>1040</Lines>
  <Paragraphs>292</Paragraphs>
  <ScaleCrop>false</ScaleCrop>
  <Company/>
  <LinksUpToDate>false</LinksUpToDate>
  <CharactersWithSpaces>146404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磊 赵</cp:lastModifiedBy>
  <cp:revision>102</cp:revision>
  <dcterms:created xsi:type="dcterms:W3CDTF">2026-04-21T05:48:00Z</dcterms:created>
  <dcterms:modified xsi:type="dcterms:W3CDTF">2026-04-25T11:16:00Z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id="OX0g02tr"/&gt;&lt;style id="http://www.zotero.org/styles/public-health-nutrition" hasBibliography="1" bibliographyStyleHasBeenSet="1"/&gt;&lt;prefs&gt;&lt;pref name="fieldType" value="Field"/&gt;&lt;/prefs&gt;&lt;/data&gt;</vt:lpwstr>
  </property>
</Properties>
</file>