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Editor,</w:t>
      </w:r>
    </w:p>
    <w:p>
      <w:r>
        <w:t>We submit the manuscript entitled "A Statistical Evaluation Protocol for Inferring Missing Contextual Labels from Dietary Survey Data: Multi-Dimensional Validation in the China Health and Nutrition Survey" for consideration as a Methods and Algorithms paper in Statistics in Medicine.</w:t>
      </w:r>
    </w:p>
    <w:p>
      <w:r>
        <w:t>Contextual variables such as urban–rural residence are often missing or inconsistently recorded in large dietary surveys, yet are essential for confounding control and subgroup analysis. Existing imputation methods optimise covariate completion but rarely evaluate whether recovered labels preserve population distributions or downstream epidemiological inferences. We address this gap by proposing a class-weighted gradient-boosted inference framework and a multi-dimensional validation protocol comprising leave-one-year-out temporal holdout, graded label masking (10%–70%), structured missingness scenarios, probability calibration, feature-set ablation, threshold sensitivity, and downstream effect-preservation assessment.</w:t>
      </w:r>
    </w:p>
    <w:p>
      <w:r>
        <w:t>Using the China Health and Nutrition Survey (1991–2011; n = 101,926) as an illustrative example with masked ground-truth labels defined by fat energy ratio thresholds, we demonstrate stable inference accuracy (LOYO mean 0.998; 30% missingness accuracy 0.999), well-calibrated probabilities, and preserved urban–rural effect significance. Comparisons against KNN, MICE, LDA, and RF imputation are reported. We believe the manuscript aligns with the journal's aim to influence medical and epidemiological practice through statistically principled methods, offering both a reusable evaluation template and an open-source implementation (https://github.com/tyrone1979/nutri2-urban).</w:t>
      </w:r>
    </w:p>
    <w:p>
      <w:r>
        <w:t>This manuscript is original, has not been published elsewhere, and is not under consideration by another journal. All authors approve the submission. We declare no conflicts of interest. We will select the subscription publication route.</w:t>
      </w:r>
    </w:p>
    <w:p>
      <w:r>
        <w:t>Suggested reviewers:</w:t>
        <w:br/>
        <w:t>1. [Name, Institution, email] — missing data / imputation methodology</w:t>
        <w:br/>
        <w:t>2. [Name, Institution, email] — nutritional epidemiology / survey methods</w:t>
        <w:br/>
        <w:t>3. [Name, Institution, email] — machine learning in biomedical applications</w:t>
      </w:r>
    </w:p>
    <w:p>
      <w:r>
        <w:t>Thank you for your consideration.</w:t>
      </w:r>
    </w:p>
    <w:p>
      <w:r>
        <w:t>Sincerely,</w:t>
        <w:br/>
        <w:t>[Corresponding Author Name, PhD]</w:t>
        <w:br/>
        <w:t>[Affiliation]</w:t>
        <w:br/>
        <w:t>[Email]</w:t>
      </w:r>
    </w:p>
    <w:p/>
    <w:p>
      <w:r>
        <w:t>We wish to clarify two methodological points emphasized in the revised manuscript. First, the three-category structure (Rural/Transitional/Urban) is retained for descriptive utility; however, the primary inferential target is binary administrative discrimination (Rural vs. Urban). The Transitional category, defined by FatER 23–30%, creates partial circularity when macronutrient predictors are used—a limitation we now explicitly discuss and address by focusing main evaluation on the binary task. Second, Urban classification accuracy was 0.421 under default three-class assignment. This reflects inherent dietary heterogeneity in administratively urban areas; we interpret this as an empirical limit of dietary data rather than a failure of the framework. We position the method as a high-specificity screening tool for non-urban patterns and as a template for statistical evaluation protocols, consistent with the scope of Statistics in Medicine.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