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Cover Letter — Statistics in Medicine</w:t>
      </w:r>
    </w:p>
    <w:p>
      <w:pPr>
        <w:spacing w:after="120"/>
      </w:pPr>
      <w:r>
        <w:t>Dear Editor,</w:t>
      </w:r>
    </w:p>
    <w:p>
      <w:pPr>
        <w:spacing w:after="120"/>
      </w:pPr>
    </w:p>
    <w:p>
      <w:pPr>
        <w:spacing w:after="120"/>
      </w:pPr>
      <w:r>
        <w:t>We submit the manuscript entitled “A Gradient-Boosted Inference Framework for Missing Contextual Labels in Nutritional Surveys: Validation via Leave-One-Year-Out and Simulated Missingness” for consideration as a Methods and Algorithms paper in Statistics in Medicine.</w:t>
      </w:r>
    </w:p>
    <w:p>
      <w:pPr>
        <w:spacing w:after="120"/>
      </w:pPr>
    </w:p>
    <w:p>
      <w:pPr>
        <w:spacing w:after="120"/>
      </w:pPr>
      <w:r>
        <w:t>Large dietary surveys often lack complete or harmonised urban–rural residence indicators. We present a reproducible evaluation protocol for inferring missing administrative contextual labels from macronutrient composition and spatiotemporal covariates, using the China Health and Nutrition Survey (1991–2011; n = 101,926) as an illustrative cohort with complete T2 administrative ground truth.</w:t>
      </w:r>
    </w:p>
    <w:p>
      <w:pPr>
        <w:spacing w:after="120"/>
      </w:pPr>
    </w:p>
    <w:p>
      <w:pPr>
        <w:spacing w:after="120"/>
      </w:pPr>
      <w:r>
        <w:t>The three-category structure was chosen to retain a meaningful intermediate dietary stratum for descriptive epidemiology, while ensuring that the primary binary discrimination task (T2-based Rural vs Urban) is not circularly defined by macronutrient predictors.</w:t>
      </w:r>
    </w:p>
    <w:p>
      <w:pPr>
        <w:spacing w:after="120"/>
      </w:pPr>
    </w:p>
    <w:p>
      <w:pPr>
        <w:spacing w:after="120"/>
      </w:pPr>
      <w:r>
        <w:t>A reviewer may ask why we did not restrict the outcome to a binary T2 classification. We retained a three-category structure because Transitional denotes a descriptive dietary stratum (FatER 23–30%) that is analytically useful for epidemiological reporting, while Rural and Urban remain anchored to administrative T2 except where overwritten by the transitional band. Primary performance is therefore interpreted using category-specific metrics and T2-aligned Rural/Urban discrimination rather than overall accuracy alone.</w:t>
      </w:r>
    </w:p>
    <w:p>
      <w:pPr>
        <w:spacing w:after="120"/>
      </w:pPr>
    </w:p>
    <w:p>
      <w:pPr>
        <w:spacing w:after="120"/>
      </w:pPr>
      <w:r>
        <w:t>The manuscript emphasises statistical evaluation—simulated label missingness (10%–70%), leave-one-year-out temporal holdout, comparator imputation methods, calibration, distributional fidelity, and downstream effect preservation—rather than public health policy recommendations. Under 30% simulated missingness, the proposed gradient-boosted classifier achieved accuracy 0.786 and macro-F1 0.770, outperforming KNN (0.721) with stable performance across missing rates.</w:t>
      </w:r>
    </w:p>
    <w:p>
      <w:pPr>
        <w:spacing w:after="120"/>
      </w:pPr>
    </w:p>
    <w:p>
      <w:pPr>
        <w:spacing w:after="120"/>
      </w:pPr>
      <w:r>
        <w:t>We confirm that this work is original, has not been published elsewhere, and is not under consideration by another journal. All authors have approved the manuscript and agree with its submission to Statistics in Medicine.</w:t>
      </w:r>
    </w:p>
    <w:p>
      <w:pPr>
        <w:spacing w:after="120"/>
      </w:pPr>
    </w:p>
    <w:p>
      <w:pPr>
        <w:spacing w:after="120"/>
      </w:pPr>
      <w:r>
        <w:t>Thank you for your consideration.</w:t>
      </w:r>
    </w:p>
    <w:p>
      <w:pPr>
        <w:spacing w:after="120"/>
      </w:pPr>
    </w:p>
    <w:p>
      <w:pPr>
        <w:spacing w:after="120"/>
      </w:pPr>
      <w:r>
        <w:t>Sincerely,</w:t>
      </w:r>
    </w:p>
    <w:p>
      <w:pPr>
        <w:spacing w:after="120"/>
      </w:pPr>
      <w:r>
        <w:t>[Corresponding author name]</w:t>
      </w:r>
    </w:p>
    <w:p>
      <w:pPr>
        <w:spacing w:after="120"/>
      </w:pPr>
      <w:r>
        <w:t>[Affiliation]</w:t>
      </w:r>
    </w:p>
    <w:p>
      <w:pPr>
        <w:spacing w:after="120"/>
      </w:pPr>
      <w:r>
        <w:t>[Email]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