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5E215" w14:textId="098CCE8A" w:rsidR="00D37B9B" w:rsidRPr="00D71FF2" w:rsidRDefault="00A94654" w:rsidP="00CD67D4">
      <w:pPr>
        <w:pStyle w:val="1"/>
      </w:pPr>
      <w:r>
        <w:t>A Statistical Evaluation Protocol for Inferring Missing Contextual Labels from Dietary Survey Data: Multi-Dimensional Validation in the China Health and Nutrition Survey</w:t>
      </w:r>
    </w:p>
    <w:p w14:paraId="4F193407" w14:textId="27774561" w:rsidR="00CD67D4" w:rsidRPr="00D71FF2" w:rsidRDefault="00CD67D4" w:rsidP="00CD67D4">
      <w:pPr>
        <w:pStyle w:val="2"/>
      </w:pPr>
      <w:r w:rsidRPr="00D71FF2">
        <w:t>Abstract</w:t>
      </w:r>
    </w:p>
    <w:p w14:paraId="5FB99B49" w14:textId="0DA634F6" w:rsidR="00CD67D4" w:rsidRPr="00D71FF2" w:rsidRDefault="00CD67D4" w:rsidP="00CD67D4">
      <w:pPr>
        <w:rPr>
          <w:rFonts w:ascii="Times New Roman" w:hAnsi="Times New Roman" w:cs="Times New Roman"/>
        </w:rPr>
      </w:pPr>
      <w:r>
        <w:t>Objective:</w:t>
        <w:br/>
        <w:t>We propose a reproducible statistical evaluation protocol for assessing inference of missing administrative contextual labels in dietary surveys, using macronutrient composition and spatiotemporal covariates as predictors.</w:t>
      </w:r>
    </w:p>
    <w:p w14:paraId="6E872725" w14:textId="480C2B2B" w:rsidR="00CD67D4" w:rsidRPr="00D71FF2" w:rsidRDefault="00CD67D4" w:rsidP="00CD67D4">
      <w:pPr>
        <w:rPr>
          <w:rFonts w:ascii="Times New Roman" w:hAnsi="Times New Roman" w:cs="Times New Roman"/>
        </w:rPr>
      </w:pPr>
      <w:r>
        <w:t>Design:</w:t>
        <w:br/>
        <w:t>Using the China Health and Nutrition Survey (1991–2011; n = 101,926) as an illustrative cohort with complete administrative labels (T2), we defined a three-category outcome combining administrative urban–rural classification with a transitional dietary stratum (fat energy ratio 23–30%). A class-weighted XGBoost classifier was evaluated under simulated label missingness (10%–70%), leave-one-year-out temporal holdout, comparator imputation methods, calibration analysis, and downstream effect-preservation assessment.</w:t>
      </w:r>
    </w:p>
    <w:p w14:paraId="51F5984C" w14:textId="77777777" w:rsidR="00CD67D4" w:rsidRPr="00D71FF2" w:rsidRDefault="00CD67D4" w:rsidP="00CD67D4">
      <w:pPr>
        <w:rPr>
          <w:rFonts w:ascii="Times New Roman" w:hAnsi="Times New Roman" w:cs="Times New Roman"/>
        </w:rPr>
      </w:pPr>
      <w:r w:rsidRPr="00D71FF2">
        <w:rPr>
          <w:rFonts w:ascii="Times New Roman" w:hAnsi="Times New Roman" w:cs="Times New Roman"/>
          <w:b/>
          <w:bCs/>
        </w:rPr>
        <w:t>Setting:</w:t>
      </w:r>
      <w:r w:rsidRPr="00D71FF2">
        <w:rPr>
          <w:rFonts w:ascii="Times New Roman" w:hAnsi="Times New Roman" w:cs="Times New Roman"/>
        </w:rPr>
        <w:br/>
        <w:t>China Health and Nutrition Survey (1991–2011).</w:t>
      </w:r>
    </w:p>
    <w:p w14:paraId="55E07E24" w14:textId="7220D48A" w:rsidR="00CD67D4" w:rsidRPr="00D71FF2" w:rsidRDefault="00CD67D4" w:rsidP="00CD67D4">
      <w:pPr>
        <w:rPr>
          <w:rFonts w:ascii="Times New Roman" w:hAnsi="Times New Roman" w:cs="Times New Roman"/>
        </w:rPr>
      </w:pPr>
      <w:r w:rsidRPr="00D71FF2">
        <w:rPr>
          <w:rFonts w:ascii="Times New Roman" w:hAnsi="Times New Roman" w:cs="Times New Roman"/>
          <w:b/>
          <w:bCs/>
        </w:rPr>
        <w:t>Participants:</w:t>
      </w:r>
      <w:r w:rsidRPr="00D71FF2">
        <w:rPr>
          <w:rFonts w:ascii="Times New Roman" w:hAnsi="Times New Roman" w:cs="Times New Roman"/>
        </w:rPr>
        <w:br/>
      </w:r>
      <w:r w:rsidR="00E728FC" w:rsidRPr="00D71FF2">
        <w:rPr>
          <w:rFonts w:ascii="Times New Roman" w:hAnsi="Times New Roman" w:cs="Times New Roman"/>
        </w:rPr>
        <w:t>101,926 observations from Chinese adults across multiple provinces and survey waves</w:t>
      </w:r>
      <w:r w:rsidRPr="00D71FF2">
        <w:rPr>
          <w:rFonts w:ascii="Times New Roman" w:hAnsi="Times New Roman" w:cs="Times New Roman"/>
        </w:rPr>
        <w:t>.</w:t>
      </w:r>
    </w:p>
    <w:p w14:paraId="2053FF73" w14:textId="30DB6BA5" w:rsidR="00CD67D4" w:rsidRPr="00D71FF2" w:rsidRDefault="00CD67D4" w:rsidP="00CD67D4">
      <w:pPr>
        <w:rPr>
          <w:rFonts w:ascii="Times New Roman" w:hAnsi="Times New Roman" w:cs="Times New Roman"/>
        </w:rPr>
      </w:pPr>
      <w:r>
        <w:t>Results:</w:t>
        <w:br/>
        <w:t>For the primary binary task (Rural vs. Urban, excluding the transitional stratum, n=15,790), masked-label accuracy was 0.716 (macro-F1 0.505; weighted-F1 0.698). Exploratory three-class accuracy was 0.786, although this reflects partial definitional overlap for the Transitional stratum; the primary binary task accuracy was 0.716. Transitional accuracy was 0.993 (partially definitional), while Urban accuracy was 0.421. The gradient-boosted classifier showed incremental improvements over KNN (0.721) and corrected multinomial-logistic MICE (0.673). Downstream contrasts preserved statistical significance with moderate Cohen's d inflation (25% on average).</w:t>
      </w:r>
    </w:p>
    <w:p w14:paraId="517BA67C" w14:textId="5794BB7F" w:rsidR="00CD67D4" w:rsidRPr="00D71FF2" w:rsidRDefault="00CD67D4" w:rsidP="00CD67D4">
      <w:pPr>
        <w:rPr>
          <w:rFonts w:ascii="Times New Roman" w:hAnsi="Times New Roman" w:cs="Times New Roman"/>
        </w:rPr>
      </w:pPr>
      <w:r>
        <w:t>Conclusions:</w:t>
        <w:br/>
        <w:t>Macronutrient profiles together with survey year and province provide non-trivial information for inferring missing administrative contextual labels under a statistically principled evaluation protocol. The framework offers a template for assessing label-imputation methods when ground-truth contextual variables are available for internal validation.</w:t>
      </w:r>
    </w:p>
    <w:p w14:paraId="1F3E8C9C" w14:textId="774B6C7B" w:rsidR="00CD67D4" w:rsidRPr="00D71FF2" w:rsidRDefault="00CD67D4" w:rsidP="00CD67D4">
      <w:pPr>
        <w:pStyle w:val="2"/>
      </w:pPr>
      <w:bookmarkStart w:id="0" w:name="OLE_LINK2"/>
      <w:r w:rsidRPr="00D71FF2">
        <w:t>Introduction</w:t>
      </w:r>
    </w:p>
    <w:p w14:paraId="7B3E93BC" w14:textId="787DE1E1" w:rsidR="00052344" w:rsidRPr="00D71FF2" w:rsidRDefault="00E728FC" w:rsidP="00052344">
      <w:pPr>
        <w:rPr>
          <w:rFonts w:ascii="Times New Roman" w:hAnsi="Times New Roman" w:cs="Times New Roman"/>
        </w:rPr>
      </w:pPr>
      <w:r w:rsidRPr="00D71FF2">
        <w:rPr>
          <w:rFonts w:ascii="Times New Roman" w:hAnsi="Times New Roman" w:cs="Times New Roman"/>
        </w:rPr>
        <w:t xml:space="preserve">Urban–rural disparities in dietary intake remain a central concern in nutritional epidemiology, particularly in countries undergoing rapid socioeconomic transformation. </w:t>
      </w:r>
      <w:proofErr w:type="spellStart"/>
      <w:r w:rsidRPr="00D71FF2">
        <w:rPr>
          <w:rFonts w:ascii="Times New Roman" w:hAnsi="Times New Roman" w:cs="Times New Roman"/>
        </w:rPr>
        <w:t>Urbanisation</w:t>
      </w:r>
      <w:proofErr w:type="spellEnd"/>
      <w:r w:rsidRPr="00D71FF2">
        <w:rPr>
          <w:rFonts w:ascii="Times New Roman" w:hAnsi="Times New Roman" w:cs="Times New Roman"/>
        </w:rPr>
        <w:t xml:space="preserve"> is associated with substantial changes in food environments, including increased availability of processed and animal-source foods and reduced reliance on traditional staple-based diets</w:t>
      </w:r>
      <w:r w:rsidR="00F1426E" w:rsidRPr="00D71FF2">
        <w:rPr>
          <w:rFonts w:ascii="Times New Roman" w:hAnsi="Times New Roman" w:cs="Times New Roman"/>
        </w:rPr>
        <w:fldChar w:fldCharType="begin"/>
      </w:r>
      <w:r w:rsidR="00F519D2" w:rsidRPr="00D71FF2">
        <w:rPr>
          <w:rFonts w:ascii="Times New Roman" w:hAnsi="Times New Roman" w:cs="Times New Roman"/>
        </w:rPr>
        <w:instrText xml:space="preserve"> ADDIN ZOTERO_ITEM CSL_CITATION {"citationID":"yLM2ZlLg","properties":{"unsorted":false,"formattedCitation":"\\super (1\\uc0\\u8211{}3)\\nosupersub{}","plainCitation":"(1–3)","noteIndex":0},"citationItems":[{"id":1137,"uris":["http://zotero.org/users/12575705/items/PZZVLVR8"],"itemData":{"id":1137,"type":"article-journal","abstract":"Summary The Nutrition Transition model is presented with the nature and pace of change in key stages varying by location and subpopulations. At present, all high-income and many low- and middle-income countries are in a stage of the transition where nutrition-related noncommunicable diseases including obesity, type 2 diabetes, and hypertension are dominating adult morbidity and mortality and are very high or growing rapidly in prevalence. Some countries still have key subpopulations facing hunger and undernutrition defined by stunting or extreme thinness among adults. We call these double burden of malnutrition countries. All low- and middle-income countries face rapid growth in consumption of ultra-processed food and beverages, but it is not inevitable that these countries will reach the same high levels of consumption seen in high-income countries, with all the negative impacts of this diet on health. With great political and civil society commitment to adoption of policies shown in other countries to have improved dietary choices and social norms around foods, we can arrest and even reverse the rapid shift to diets dominated by a stage of high ultra-processed food intake and increasing prevalence of nutrition-related noncommunicable diseases.","container-title":"Obesity Reviews","DOI":"https://doi.org/10.1111/obr.13366","issue":"1","note":"_eprint: https://onlinelibrary.wiley.com/doi/pdf/10.1111/obr.13366","page":"e13366","title":"The nutrition transition to a stage of high obesity and noncommunicable disease prevalence dominated by ultra-processed foods is not inevitable","URL":"https://onlinelibrary.wiley.com/doi/abs/10.1111/obr.13366","volume":"23","author":[{"family":"Popkin","given":"Barry M."},{"family":"Ng","given":"Shu Wen"}],"issued":{"date-parts":[["2022"]]}}},{"id":1139,"uris":["http://zotero.org/users/12575705/items/2R5B2TZT"],"itemData":{"id":1139,"type":"article-journal","abstract":"For fruitful deliberations and concerted action at the science–politics interface, the concepts of food systems and drivers of change need to be clearly understood and employed by all.","container-title":"Nature Food","DOI":"10.1038/s43016-021-00361-2","ISSN":"2662-1355","issue":"10","journalAbbreviation":"Nature Food","page":"748-750","title":"Food system concepts and definitions for science and political action","URL":"https://doi.org/10.1038/s43016-021-00361-2","volume":"2","author":[{"family":"Braun","given":"Joachim","non-dropping-particle":"von"},{"family":"Afsana","given":"Kaosar"},{"family":"Fresco","given":"Louise Ottilie"},{"family":"Hassan","given":"Mohamed"},{"family":"Torero","given":"Maximo"}],"issued":{"date-parts":[["2021",10,1]]}}},{"id":1142,"uris":["http://zotero.org/users/12575705/items/DK7J5XMK"],"itemData":{"id":1142,"type":"article-journal","abstract":"ABSTRACT\nFood environment research is increasingly gaining prominence in low- and middle-income countries (LMICs). However, in the absence of a systematic review of the literature, little is known about the emerging body of evidence from these settings. This systematic scoping review aims to address this gap. A systematic search of 6 databases was conducted in December 2017 and retrieved 920 records. In total, 70 peer-reviewed articles met the eligibility criteria and were included. Collectively, articles spanned 22 LMICs, including upper-middle-income countries (n = 49, 70%) and lower-middle-income countries (n = 18, 26%). No articles included low-income countries. Articles featured quantitative (n = 45, 64%), qualitative (n = 17, 24%), and mixed-method designs (n = 11, 8%). Studies analyzed the food environment at national, community, school, and household scales. Twenty-three articles (55%) assessed associations between food environment exposures and outcomes of interest, including diets (n = 14), nutrition status (n = 13), and health (n = 1). Food availability was associated with dietary outcomes at the community and school scales across multiple LMICs, although associations varied by vendor type. Evidence regarding associations between the food environment and nutrition and health outcomes was inconclusive. The paucity of evidence from high-quality studies is a severe limitation, highlighting the critical need for improved study designs and standardized methods and metrics. Future food environment research must address low-income and lower-middle-income countries, and include the full spectrum of dietary, nutrition, and health outcomes. Improving the quality of food environment research will be critical to the design of feasible, appropriate, and effective interventions to improve public health nutrition in LMICs.","container-title":"Advances in Nutrition","DOI":"10.1093/advances/nmz031","ISSN":"2161-8313","issue":"2","journalAbbreviation":"Advances in Nutrition","page":"387-397","title":"Food Environment Research in Low- and Middle-Income Countries: A Systematic Scoping Review","URL":"https://www.sciencedirect.com/science/article/pii/S2161831322002630","volume":"11","author":[{"family":"Turner","given":"Christopher"},{"family":"Kalamatianou","given":"Sofia"},{"family":"Drewnowski","given":"Adam"},{"family":"Kulkarni","given":"Bharati"},{"family":"Kinra","given":"Sanjay"},{"family":"Kadiyala","given":"Suneetha"}],"issued":{"date-parts":[["2020",3,1]]}}}],"schema":"https://github.com/citation-style-language/schema/raw/master/csl-citation.json"} </w:instrText>
      </w:r>
      <w:r w:rsidR="00F1426E" w:rsidRPr="00D71FF2">
        <w:rPr>
          <w:rFonts w:ascii="Times New Roman" w:hAnsi="Times New Roman" w:cs="Times New Roman"/>
        </w:rPr>
        <w:fldChar w:fldCharType="separate"/>
      </w:r>
      <w:r w:rsidR="00F519D2" w:rsidRPr="00D71FF2">
        <w:rPr>
          <w:rFonts w:ascii="Times New Roman" w:eastAsia="DengXian" w:hAnsi="Times New Roman" w:cs="Times New Roman"/>
          <w:kern w:val="0"/>
          <w:vertAlign w:val="superscript"/>
        </w:rPr>
        <w:t>(1–3)</w:t>
      </w:r>
      <w:r w:rsidR="00F1426E" w:rsidRPr="00D71FF2">
        <w:rPr>
          <w:rFonts w:ascii="Times New Roman" w:hAnsi="Times New Roman" w:cs="Times New Roman"/>
        </w:rPr>
        <w:fldChar w:fldCharType="end"/>
      </w:r>
      <w:r w:rsidR="00052344" w:rsidRPr="00D71FF2">
        <w:rPr>
          <w:rFonts w:ascii="Times New Roman" w:hAnsi="Times New Roman" w:cs="Times New Roman"/>
        </w:rPr>
        <w:t xml:space="preserve">. </w:t>
      </w:r>
      <w:r w:rsidRPr="00D71FF2">
        <w:rPr>
          <w:rFonts w:ascii="Times New Roman" w:hAnsi="Times New Roman" w:cs="Times New Roman"/>
        </w:rPr>
        <w:t>These shifts—commonly described as the nutrition transition—are closely linked to rising burdens of obesity and diet-related non-communicable diseases worldwide</w:t>
      </w:r>
      <w:r w:rsidR="00052344" w:rsidRPr="00D71FF2">
        <w:rPr>
          <w:rFonts w:ascii="Times New Roman" w:hAnsi="Times New Roman" w:cs="Times New Roman"/>
        </w:rPr>
        <w:t xml:space="preserve"> </w:t>
      </w:r>
      <w:r w:rsidR="00F519D2" w:rsidRPr="00D71FF2">
        <w:rPr>
          <w:rFonts w:ascii="Times New Roman" w:hAnsi="Times New Roman" w:cs="Times New Roman"/>
        </w:rPr>
        <w:fldChar w:fldCharType="begin"/>
      </w:r>
      <w:r w:rsidR="00F519D2" w:rsidRPr="00D71FF2">
        <w:rPr>
          <w:rFonts w:ascii="Times New Roman" w:hAnsi="Times New Roman" w:cs="Times New Roman"/>
        </w:rPr>
        <w:instrText xml:space="preserve"> ADDIN ZOTERO_ITEM CSL_CITATION {"citationID":"izH9Mggg","properties":{"unsorted":false,"formattedCitation":"\\super (4\\uc0\\u8211{}6)\\nosupersub{}","plainCitation":"(4–6)","noteIndex":0},"citationItems":[{"id":1138,"uris":["http://zotero.org/users/12575705/items/3VCS68R8"],"itemData":{"id":1138,"type":"article-journal","abstract":"Summary This study evaluated global trends in ultraprocessed food and drink (UPFD) volume sales/capita and associations with adult body mass index (BMI) trajectories. Total food/drink volume sales/capita from Euromonitor for 80 countries (2002-2016) were matched to mean adult BMI from the NCD Risk Factor Collaboration (2002-2014). Products were classified as UPFD/non-UPFD according to the NOVA classification system. Mixed models for repeated measures were used to analyse associations between UPFD volume sales/capita and adult BMI trajectories, controlling for confounding factors. The increase in UPF volume sales was highest for South and Southeast Asia (67.3%) and North Africa and the Middle East (57.6%), while for UPD, the increase was highest for South and Southeast Asia (120.0%) and Africa (70.7%). In 2016, baked goods were the biggest contributor to UPF volume sales (13.1%-44.5%), while carbonated drinks were the biggest contributor to UPD volume sales (40.2%-86.0%). For every standard deviation increase (51 kg/capita, 2002) in UPD volume sales, mean BMI increased by 0.195 kg/m2 for men (P &lt; .001) and 0.072 kg/m2 for women (P = .003). For every standard deviation (40 kg/capita, 2002) increase in UPF volume sales, mean BMI increased by 0.316 kg/m2 for men (P &lt; .001), while the association was not significant for women. Increases in UPFD volume sales/capita were positively associated with population-level BMI trajectories.","container-title":"Obesity Reviews","DOI":"https://doi.org/10.1111/obr.12860","issue":"S2","note":"_eprint: https://onlinelibrary.wiley.com/doi/pdf/10.1111/obr.12860","page":"10-19","title":"Global trends in ultraprocessed food and drink product sales and their association with adult body mass index trajectories","URL":"https://onlinelibrary.wiley.com/doi/abs/10.1111/obr.12860","volume":"20","author":[{"family":"Vandevijvere","given":"Stefanie"},{"family":"Jaacks","given":"Lindsay M."},{"family":"Monteiro","given":"Carlos A."},{"family":"Moubarac","given":"Jean-Claude"},{"family":"Girling-Butcher","given":"Martin"},{"family":"Lee","given":"Arier C."},{"family":"Pan","given":"An"},{"family":"Bentham","given":"James"},{"family":"Swinburn","given":"Boyd"}],"issued":{"date-parts":[["2019"]]}}},{"id":1140,"uris":["http://zotero.org/users/12575705/items/BV8RA9D5"],"itemData":{"id":1140,"type":"article-journal","abstract":"BackgroundRigorous analysis of levels and trends in exposure to leading risk factors and quantification of their effect on human health are important to identify where public health is making progress and in which cases current efforts are inadequate. The Global Burden of Diseases, Injuries, and Risk Factors Study (GBD) 2019 provides a standardised and comprehensive assessment of the magnitude of risk factor exposure, relative risk, and attributable burden of disease.","container-title":"The Lancet","DOI":"10.1016/S0140-6736(20)30752-2","ISSN":"0140-6736","issue":"10258","page":"1223-1249","publisher":"Elsevier","title":"Global burden of 87 risk factors in 204 countries and territories, 1990–2019: a systematic analysis for the Global Burden of Disease Study 2019","URL":"https://doi.org/10.1016/S0140-6736(20)30752-2","volume":"396","author":[{"family":"Murray","given":"Christopher J L"},{"family":"Aravkin","given":"Aleksandr Y"},{"family":"Zheng","given":"Peng"},{"family":"Abbafati","given":"Cristiana"},{"family":"Abbas","given":"Kaja M"},{"family":"Abbasi-Kangevari","given":"Mohsen"},{"family":"Abd-Allah","given":"Foad"},{"family":"Abdelalim","given":"Ahmed"},{"family":"Abdollahi","given":"Mohammad"},{"family":"Abdollahpour","given":"Ibrahim"},{"family":"Abegaz","given":"Kedir Hussein"},{"family":"Abolhassani","given":"Hassan"},{"family":"Aboyans","given":"Victor"},{"family":"Abreu","given":"Lucas Guimarães"},{"family":"Abrigo","given":"Michael R M"},{"family":"Abualhasan","given":"Ahmed"},{"family":"Abu-Raddad","given":"Laith Jamal"},{"family":"Abushouk","given":"Abdelrahman I"},{"family":"Adabi","given":"Maryam"},{"family":"Adekanmbi","given":"Victor"},{"family":"Adeoye","given":"Abiodun Moshood"},{"family":"Adetokunboh","given":"Olatunji O"},{"family":"Adham","given":"Davoud"},{"family":"Advani","given":"Shailesh M"},{"family":"Agarwal","given":"Gina"},{"family":"Aghamir","given":"Seyed Mohammad Kazem"},{"family":"Agrawal","given":"Anurag"},{"family":"Ahmad","given":"Tauseef"},{"family":"Ahmadi","given":"Keivan"},{"family":"Ahmadi","given":"Mehdi"},{"family":"Ahmadieh","given":"Hamid"},{"family":"Ahmed","given":"Muktar Beshir"},{"family":"Akalu","given":"Temesgen Yihunie"},{"family":"Akinyemi","given":"Rufus Olusola"},{"family":"Akinyemiju","given":"Tomi"},{"family":"Akombi","given":"Blessing"},{"family":"Akunna","given":"Chisom Joyqueenet"},{"family":"Alahdab","given":"Fares"},{"family":"Al-Aly","given":"Ziyad"},{"family":"Alam","given":"Khurshid"},{"family":"Alam","given":"Samiah"},{"family":"Alam","given":"Tahiya"},{"family":"Alanezi","given":"Fahad Mashhour"},{"family":"Alanzi","given":"Turki M"},{"family":"Alemu","given":"Biresaw","dropping-particle":"wassihun"},{"family":"Alhabib","given":"Khalid F"},{"family":"Ali","given":"Muhammad"},{"family":"Ali","given":"Saqib"},{"family":"Alicandro","given":"Gianfranco"},{"family":"Alinia","given":"Cyrus"},{"family":"Alipour","given":"Vahid"},{"family":"Alizade","given":"Hesam"},{"family":"Aljunid","given":"Syed Mohamed"},{"family":"Alla","given":"François"},{"family":"Allebeck","given":"Peter"},{"family":"Almasi-Hashiani","given":"Amir"},{"family":"Al-Mekhlafi","given":"Hesham M"},{"family":"Alonso","given":"Jordi"},{"family":"Altirkawi","given":"Khalid A"},{"family":"Amini-Rarani","given":"Mostafa"},{"family":"Amiri","given":"Fatemeh"},{"family":"Amugsi","given":"Dickson A"},{"family":"Ancuceanu","given":"Robert"},{"family":"Anderlini","given":"Deanna"},{"family":"Anderson","given":"Jason A"},{"family":"Andrei","given":"Catalina Liliana"},{"family":"Andrei","given":"Tudorel"},{"family":"Angus","given":"Colin"},{"family":"Anjomshoa","given":"Mina"},{"family":"Ansari","given":"Fereshteh"},{"family":"Ansari-Moghaddam","given":"Alireza"},{"family":"Antonazzo","given":"Ippazio Cosimo"},{"family":"Antonio","given":"Carl Abelardo T"},{"family":"Antony","given":"Catherine M"},{"family":"Antriyandarti","given":"Ernoiz"},{"family":"Anvari","given":"Davood"},{"family":"Anwer","given":"Razique"},{"family":"Appiah","given":"Seth Christopher Yaw"},{"family":"Arabloo","given":"Jalal"},{"family":"Arab-Zozani","given":"Morteza"},{"family":"Ariani","given":"Filippo"},{"family":"Armoon","given":"Bahram"},{"family":"Ärnlöv","given":"Johan"},{"family":"Arzani","given":"Afsaneh"},{"family":"Asadi-Aliabadi","given":"Mehran"},{"family":"Asadi-Pooya","given":"Ali A"},{"family":"Ashbaugh","given":"Charlie"},{"family":"Assmus","given":"Michael"},{"family":"Atafar","given":"Zahra"},{"family":"Atnafu","given":"Desta Debalkie"},{"family":"Atout","given":"Maha Moh'd Wahbi"},{"family":"Ausloos","given":"Floriane"},{"family":"Ausloos","given":"Marcel"},{"family":"Ayala Quintanilla","given":"Beatriz Paulina"},{"family":"Ayano","given":"Getinet"},{"family":"Ayanore","given":"Martin Amogre"},{"family":"Azari","given":"Samad"},{"family":"Azarian","given":"Ghasem"},{"family":"Azene","given":"Zelalem Nigussie"},{"family":"Badawi","given":"Alaa"},{"family":"Badiye","given":"Ashish D"},{"family":"Bahrami","given":"Mohammad Amin"},{"family":"Bakhshaei","given":"Mohammad Hossein"},{"family":"Bakhtiari","given":"Ahad"},{"family":"Bakkannavar","given":"Shankar M"},{"family":"Baldasseroni","given":"Alberto"},{"family":"Ball","given":"Kylie"},{"family":"Ballew","given":"Shoshana H"},{"family":"Balzi","given":"Daniela"},{"family":"Banach","given":"Maciej"},{"family":"Banerjee","given":"Srikanta K"},{"family":"Bante","given":"Agegnehu Bante"},{"family":"Baraki","given":"Adhanom Gebreegziabher"},{"family":"Barker-Collo","given":"Suzanne Lyn"},{"family":"Bärnighausen","given":"Till Winfried"},{"family":"Barrero","given":"Lope H"},{"family":"Barthelemy","given":"Celine M"},{"family":"Barua","given":"Lingkan"},{"family":"Basu","given":"Sanjay"},{"family":"Baune","given":"Bernhard T"},{"family":"Bayati","given":"Mohsen"},{"family":"Becker","given":"Jacob S"},{"family":"Bedi","given":"Neeraj"},{"family":"Beghi","given":"Ettore"},{"family":"Béjot","given":"Yannick"},{"family":"Bell","given":"Michellr L"},{"family":"Bennitt","given":"Fiona B"},{"family":"Bensenor","given":"Isabela M"},{"family":"Berhe","given":"Kidanemaryam"},{"family":"Berman","given":"Adam E"},{"family":"Bhagavathula","given":"Akshaya Srikanth"},{"family":"Bhageerathy","given":"Reshmi"},{"family":"Bhala","given":"Neeraj"},{"family":"Bhandari","given":"Dinesh"},{"family":"Bhattacharyya","given":"Krittika"},{"family":"Bhutta","given":"Zulfiqar A"},{"family":"Bijani","given":"Ali"},{"family":"Bikbov","given":"Boris"},{"family":"Bin Sayeed","given":"Muhammad Shahdaat"},{"family":"Biondi","given":"Antonio"},{"family":"Birihane","given":"Binyam Minuye"},{"family":"Bisignano","given":"Catherine"},{"family":"Biswas","given":"Raaj Kishore"},{"family":"Bitew","given":"Helen"},{"family":"Bohlouli","given":"Somayeh"},{"family":"Bohluli","given":"Mehdi"},{"family":"Boon-Dooley","given":"Alexandra S"},{"family":"Borges","given":"Guilherme"},{"family":"Borzì","given":"Antonio Maria"},{"family":"Borzouei","given":"Shiva"},{"family":"Bosetti","given":"Cristina"},{"family":"Boufous","given":"Soufiane"},{"family":"Braithwaite","given":"Dejana"},{"family":"Breitborde","given":"Nicholas J K"},{"family":"Breitner","given":"Susanne"},{"family":"Brenner","given":"Hermann"},{"family":"Briant","given":"Paul Svitil"},{"family":"Briko","given":"Andrey Nikolaevich"},{"family":"Briko","given":"Nikolay Ivanovich"},{"family":"Britton","given":"Gabrielle B"},{"family":"Bryazka","given":"Dana"},{"family":"Bumgarner","given":"Blair R"},{"family":"Burkart","given":"Katrin"},{"family":"Burnett","given":"Richard Thomas"},{"family":"Burugina Nagaraja","given":"Sharath"},{"family":"Butt","given":"Zahid A"},{"family":"Caetano dos Santos","given":"Florentino Luciano"},{"family":"Cahill","given":"Leah E"},{"family":"Cámera","given":"Luis LA Alberto"},{"family":"Campos-Nonato","given":"Ismael R"},{"family":"Cárdenas","given":"Rosario"},{"family":"Carreras","given":"Giulia"},{"family":"Carrero","given":"Juan J"},{"family":"Carvalho","given":"Felix"},{"family":"Castaldelli-Maia","given":"Joao Mauricio"},{"family":"Castañeda-Orjuela","given":"Carlos A"},{"family":"Castelpietra","given":"Giulio"},{"family":"Castro","given":"Franz"},{"family":"Causey","given":"Kate"},{"family":"Cederroth","given":"Christopher R"},{"family":"Cercy","given":"Kelly M"},{"family":"Cerin","given":"Ester"},{"family":"Chandan","given":"Joht Singh"},{"family":"Chang","given":"Kai-Lan"},{"family":"Charlson","given":"Fiona J"},{"family":"Chattu","given":"Vijay Kumar"},{"family":"Chaturvedi","given":"Sarika"},{"family":"Cherbuin","given":"Nicolas"},{"family":"Chimed-Ochir","given":"Odgerel"},{"family":"Cho","given":"Daniel Youngwhan"},{"family":"Choi","given":"Jee-Young Jasmine"},{"family":"Christensen","given":"Hanne"},{"family":"Chu","given":"Dinh-Toi"},{"family":"Chung","given":"Michael T"},{"family":"Chung","given":"Sheng-Chia"},{"family":"Cicuttini","given":"Flavia M"},{"family":"Ciobanu","given":"Liliana G"},{"family":"Cirillo","given":"Massimo"},{"family":"Classen","given":"Thomas Khaled Dwayne"},{"family":"Cohen","given":"Aaron J"},{"family":"Compton","given":"Kelly"},{"family":"Cooper","given":"Owen R"},{"family":"Costa","given":"Vera Marisa"},{"family":"Cousin","given":"Ewerton"},{"family":"Cowden","given":"Richard G"},{"family":"Cross","given":"Di H"},{"family":"Cruz","given":"Jessica A"},{"family":"Dahlawi","given":"Saad M A"},{"family":"Damasceno","given":"Albertino Antonio Moura"},{"family":"Damiani","given":"Giovanni"},{"family":"Dandona","given":"Lalit"},{"family":"Dandona","given":"Rakhi"},{"family":"Dangel","given":"William James"},{"family":"Danielsson","given":"Anna-Karin"},{"family":"Dargan","given":"Paul I"},{"family":"Darwesh","given":"Aso Mohammad"},{"family":"Daryani","given":"Ahmad"},{"family":"Das","given":"Jai K"},{"family":"Das Gupta","given":"Rajat"},{"family":"Neves","given":"José","non-dropping-particle":"das"},{"family":"Dávila-Cervantes","given":"Claudio Alberto"},{"family":"Davitoiu","given":"Dragos Virgil"},{"family":"De Leo","given":"Diego"},{"family":"Degenhardt","given":"Louisa"},{"family":"DeLang","given":"Marissa"},{"family":"Dellavalle","given":"Robert Paul"},{"family":"Demeke","given":"Feleke Mekonnen"},{"family":"Demoz","given":"Gebre Teklemariam"},{"family":"Demsie","given":"Desalegn Getnet"},{"family":"Denova-Gutiérrez","given":"Edgar"},{"family":"Dervenis","given":"Nikolaos"},{"family":"Dhungana","given":"Govinda Prasad"},{"family":"Dianatinasab","given":"Mostafa"},{"family":"Dias da Silva","given":"Diana"},{"family":"Diaz","given":"Daniel"},{"family":"Dibaji Forooshani","given":"Zahra Sadat"},{"family":"Djalalinia","given":"Shirin"},{"family":"Do","given":"Hoa Thi"},{"family":"Dokova","given":"Klara"},{"family":"Dorostkar","given":"Fariba"},{"family":"Doshmangir","given":"Leila"},{"family":"Driscoll","given":"Tim Robert"},{"family":"Duncan","given":"Bruce B"},{"family":"Duraes","given":"Andre Rodrigues"},{"family":"Eagan","given":"Arielle Wilder"},{"family":"Edvardsson","given":"David"},{"family":"El Nahas","given":"Nevine"},{"family":"El Sayed","given":"Iman"},{"family":"El Tantawi","given":"Maha"},{"family":"Elbarazi","given":"Iffat"},{"family":"Elgendy","given":"Islam Y"},{"family":"El-Jaafary","given":"Shaimaa I"},{"family":"Elyazar","given":"Iqbal RF"},{"family":"Emmons-Bell","given":"Sophia"},{"family":"Erskine","given":"Holly E"},{"family":"Eskandarieh","given":"Sharareh"},{"family":"Esmaeilnejad","given":"Saman"},{"family":"Esteghamati","given":"Alireza"},{"family":"Estep","given":"Kara"},{"family":"Etemadi","given":"Arash"},{"family":"Etisso","given":"Atkilt Esaiyas"},{"family":"Fanzo","given":"Jessica"},{"family":"Farahmand","given":"Mohammad"},{"family":"Fareed","given":"Mohammad"},{"family":"Faridnia","given":"Roghiyeh"},{"family":"Farioli","given":"Andrea"},{"family":"Faro","given":"Andre"},{"family":"Faruque","given":"Mithila"},{"family":"Farzadfar","given":"Farshad"},{"family":"Fattahi","given":"Nazir"},{"family":"Fazlzadeh","given":"Mehdi"},{"family":"Feigin","given":"Valery L"},{"family":"Feldman","given":"Rachel"},{"family":"Fereshtehnejad","given":"Seyed-Mohammad"},{"family":"Fernandes","given":"Eduarda"},{"family":"Ferrara","given":"Giannina"},{"family":"Ferrari","given":"Alize J"},{"family":"Ferreira","given":"Manuela L"},{"family":"Filip","given":"Irina"},{"family":"Fischer","given":"Florian"},{"family":"Fisher","given":"James L"},{"family":"Flor","given":"Luisa Sorio"},{"family":"Foigt","given":"Nataliya A"},{"family":"Folayan","given":"Morenike Oluwatoyin"},{"family":"Fomenkov","given":"Artem Alekseevich"},{"family":"Force","given":"Lisa M"},{"family":"Foroutan","given":"Masoud"},{"family":"Franklin","given":"Richard Charles"},{"family":"Freitas","given":"Marisa"},{"family":"Fu","given":"Weijia"},{"family":"Fukumoto","given":"Takeshi"},{"family":"Furtado","given":"João M"},{"family":"Gad","given":"Mohamed M"},{"family":"Gakidou","given":"Emmanuela"},{"family":"Gallus","given":"Silvano"},{"family":"Garcia-Basteiro","given":"Alberto L"},{"family":"Gardner","given":"William M"},{"family":"Geberemariyam","given":"Biniyam Sahiledengle"},{"family":"Gebreslassie","given":"Assefa Ayalew Ayalew Ayalew"},{"family":"Geremew","given":"Abraham"},{"family":"Gershberg Hayoon","given":"Anna"},{"family":"Gething","given":"Peter W"},{"family":"Ghadimi","given":"Maryam"},{"family":"Ghadiri","given":"Keyghobad"},{"family":"Ghaffarifar","given":"Fatemeh"},{"family":"Ghafourifard","given":"Mansour"},{"family":"Ghamari","given":"Farhad"},{"family":"Ghashghaee","given":"Ahmad"},{"family":"Ghiasvand","given":"Hesam"},{"family":"Ghith","given":"Nermin"},{"family":"Gholamian","given":"Asadollah"},{"family":"Ghosh","given":"Rakesh"},{"family":"Gill","given":"Paramjit Singh"},{"family":"Ginindza","given":"Themba G G"},{"family":"Giussani","given":"Giorgia"},{"family":"Gnedovskaya","given":"Elena V"},{"family":"Goharinezhad","given":"Salime"},{"family":"Gopalani","given":"Sameer Vali"},{"family":"Gorini","given":"Giuseppe"},{"family":"Goudarzi","given":"Houman"},{"family":"Goulart","given":"Alessandra C"},{"family":"Greaves","given":"Felix"},{"family":"Grivna","given":"Michal"},{"family":"Grosso","given":"Giuseppe"},{"family":"Gubari","given":"Mohammed Ibrahim Mohialdeen"},{"family":"Gugnani","given":"Harish Chander"},{"family":"Guimarães","given":"Rafael Alves"},{"family":"Guled","given":"Rashid Abdi"},{"family":"Guo","given":"Gaorui"},{"family":"Guo","given":"Yuming"},{"family":"Gupta","given":"Rajeev"},{"family":"Gupta","given":"Tarun"},{"family":"Haddock","given":"Beatrix"},{"family":"Hafezi-Nejad","given":"Nima"},{"family":"Hafiz","given":"Abdul"},{"family":"Haj-Mirzaian","given":"Arvin"},{"family":"Haj-Mirzaian","given":"Arya"},{"family":"Hall","given":"Brian J"},{"family":"Halvaei","given":"Iman"},{"family":"Hamadeh","given":"Randah R"},{"family":"Hamidi","given":"Samer"},{"family":"Hammer","given":"Melanie S"},{"family":"Hankey","given":"Graeme J"},{"family":"Haririan","given":"Hamidreza"},{"family":"Haro","given":"Josep Maria"},{"family":"Hasaballah","given":"Ahmed I"},{"family":"Hasan","given":"Md Mehedi"},{"family":"Hasanpoor","given":"Edris"},{"family":"Hashi","given":"Abdiwahab"},{"family":"Hassanipour","given":"Soheil"},{"family":"Hassankhani","given":"Hadi"},{"family":"Havmoeller","given":"Rasmus J"},{"family":"Hay","given":"Simon I"},{"family":"Hayat","given":"Khezar"},{"family":"Heidari","given":"Golnaz"},{"family":"Heidari-Soureshjani","given":"Reza"},{"family":"Henrikson","given":"Hannah J"},{"family":"Herbert","given":"Molly E"},{"family":"Herteliu","given":"Claudiu"},{"family":"Heydarpour","given":"Fatemeh"},{"family":"Hird","given":"Thomas R"},{"family":"Hoek","given":"Hans W"},{"family":"Holla","given":"Ramesh"},{"family":"Hoogar","given":"Praveen"},{"family":"Hosgood","given":"H Dean"},{"family":"Hossain","given":"Naznin"},{"family":"Hosseini","given":"Mostafa"},{"family":"Hosseinzadeh","given":"Mehdi"},{"family":"Hostiuc","given":"Mihaela"},{"family":"Hostiuc","given":"Sorin"},{"family":"Househ","given":"Mowafa"},{"family":"Hsairi","given":"Mohamed"},{"family":"Hsieh","given":"Vivian Chia-rong"},{"family":"Hu","given":"Guoqing"},{"family":"Hu","given":"Kejia"},{"family":"Huda","given":"Tanvir M"},{"family":"Humayun","given":"Ayesha"},{"family":"Huynh","given":"Chantal K"},{"family":"Hwang","given":"Bing-Fang"},{"family":"Iannucci","given":"Vincent C"},{"family":"Ibitoye","given":"Segun Emmanuel"},{"family":"Ikeda","given":"Nayu"},{"family":"Ikuta","given":"Kevin S"},{"family":"Ilesanmi","given":"Olayinka Stephen"},{"family":"Ilic","given":"Irena M"},{"family":"Ilic","given":"Milena D"},{"family":"Inbaraj","given":"Leeberk Raja"},{"family":"Ippolito","given":"Helen"},{"family":"Iqbal","given":"Usman"},{"family":"Irvani","given":"Seyed Sina Naghibi"},{"family":"Irvine","given":"Caleb Mackay Salpeter"},{"family":"Islam","given":"M Mofizul"},{"family":"Islam","given":"Sheikh Mohammed Shariful"},{"family":"Iso","given":"Hiroyasu"},{"family":"Ivers","given":"Rebecca Q"},{"family":"Iwu","given":"Chidozie C D"},{"family":"Iwu","given":"Chinwe Juliana"},{"family":"Iyamu","given":"Ihoghosa Osamuyi"},{"family":"Jaafari","given":"Jalil"},{"family":"Jacobsen","given":"Kathryn H"},{"family":"Jafari","given":"Hussain"},{"family":"Jafarinia","given":"Morteza"},{"family":"Jahani","given":"Mohammad Ali"},{"family":"Jakovljevic","given":"Mihajlo"},{"family":"Jalilian","given":"Farzad"},{"family":"James","given":"Spencer L"},{"family":"Janjani","given":"Hosna"},{"family":"Javaheri","given":"Tahereh"},{"family":"Javidnia","given":"Javad"},{"family":"Jeemon","given":"Panniyammakal"},{"family":"Jenabi","given":"Ensiyeh"},{"family":"Jha","given":"Ravi Prakash"},{"family":"Jha","given":"Vivekanand"},{"family":"Ji","given":"John S"},{"family":"Johansson","given":"Lars"},{"family":"John","given":"Oommen"},{"family":"John-Akinola","given":"Yetunde O"},{"family":"Johnson","given":"Catherine Owens"},{"family":"Jonas","given":"Jost B"},{"family":"Joukar","given":"Farahnaz"},{"family":"Jozwiak","given":"Jacek Jerzy"},{"family":"Jürisson","given":"Mikk"},{"family":"Kabir","given":"Ali"},{"family":"Kabir","given":"Zubair"},{"family":"Kalani","given":"Hamed"},{"family":"Kalani","given":"Rizwan"},{"family":"Kalankesh","given":"Leila R"},{"family":"Kalhor","given":"Rohollah"},{"family":"Kanchan","given":"Tanuj"},{"family":"Kapoor","given":"Neeti"},{"family":"Karami Matin","given":"Behzad"},{"family":"Karch","given":"André"},{"family":"Karim","given":"Mohd Anisul"},{"family":"Kassa","given":"Getachew Mullu"},{"family":"Katikireddi","given":"Srinivasa Vittal"},{"family":"Kayode","given":"Gbenga A"},{"family":"Kazemi Karyani","given":"Ali"},{"family":"Keiyoro","given":"Peter Njenga"},{"family":"Keller","given":"Cathleen"},{"family":"Kemmer","given":"Laura"},{"family":"Kendrick","given":"Parkes J"},{"family":"Khalid","given":"Nauman"},{"family":"Khammarnia","given":"Mohammad"},{"family":"Khan","given":"Ejaz Ahmad"},{"family":"Khan","given":"Maseer"},{"family":"Khatab","given":"Khaled"},{"family":"Khater","given":"Mona M"},{"family":"Khatib","given":"Mahalaqua Nazli"},{"family":"Khayamzadeh","given":"Maryam"},{"family":"Khazaei","given":"Salman"},{"family":"Kieling","given":"Christian"},{"family":"Kim","given":"Yun Jin"},{"family":"Kimokoti","given":"Ruth W"},{"family":"Kisa","given":"Adnan"},{"family":"Kisa","given":"Sezer"},{"family":"Kivimäki","given":"Mika"},{"family":"Knibbs","given":"Luke D"},{"family":"Knudsen","given":"Ann Kristin Skrindo"},{"family":"Kocarnik","given":"Jonathan M"},{"family":"Kochhar","given":"Sonali"},{"family":"Kopec","given":"Jacek A"},{"family":"Korshunov","given":"Vladimir Andreevich"},{"family":"Koul","given":"Parvaiz A"},{"family":"Koyanagi","given":"Ai"},{"family":"Kraemer","given":"Moritz U G"},{"family":"Krishan","given":"Kewal"},{"family":"Krohn","given":"Kris J"},{"family":"Kromhout","given":"Hans"},{"family":"Kuate Defo","given":"Barthelemy"},{"family":"Kumar","given":"G Anil"},{"family":"Kumar","given":"Vivek"},{"family":"Kurmi","given":"Om P"},{"family":"Kusuma","given":"Dian"},{"family":"La Vecchia","given":"Carlo"},{"family":"Lacey","given":"Ben"},{"family":"Lal","given":"Dharmesh Kumar"},{"family":"Lalloo","given":"Ratilal"},{"family":"Lallukka","given":"Tea"},{"family":"Lami","given":"Faris Hasan"},{"family":"Landires","given":"Iván"},{"family":"Lang","given":"Justin J"},{"family":"Langan","given":"Sinéad M"},{"family":"Larsson","given":"Anders O"},{"family":"Lasrado","given":"Savita"},{"family":"Lauriola","given":"Paolo"},{"family":"Lazarus","given":"Jeffrey V"},{"family":"Lee","given":"Paul H"},{"family":"Lee","given":"Shaun Wen Huey"},{"family":"LeGrand","given":"Kate E"},{"family":"Leigh","given":"James"},{"family":"Leonardi","given":"Matilde"},{"family":"Lescinsky","given":"Haley"},{"family":"Leung","given":"Janni"},{"family":"Levi","given":"Miriam"},{"family":"Li","given":"Shanshan"},{"family":"Lim","given":"Lee-Ling"},{"family":"Linn","given":"Shai"},{"family":"Liu","given":"Shiwei"},{"family":"Liu","given":"Simin"},{"family":"Liu","given":"Yang"},{"family":"Lo","given":"Justin"},{"family":"Lopez","given":"Alan D"},{"family":"Lopez","given":"Jaifred Christian F"},{"family":"Lopukhov","given":"Platon D"},{"family":"Lorkowski","given":"Stefan"},{"family":"Lotufo","given":"Paulo A"},{"family":"Lu","given":"Alton"},{"family":"Lugo","given":"Alessandra"},{"family":"Maddison","given":"Emilie R"},{"family":"Mahasha","given":"Phetole Walter"},{"family":"Mahdavi","given":"Mokhtar Mahdavi"},{"family":"Mahmoudi","given":"Morteza"},{"family":"Majeed","given":"Azeem"},{"family":"Maleki","given":"Afshin"},{"family":"Maleki","given":"Shokofeh"},{"family":"Malekzadeh","given":"Reza"},{"family":"Malta","given":"Deborah Carvalho"},{"family":"Mamun","given":"Abdullah A"},{"family":"Manda","given":"Ana Laura"},{"family":"Manguerra","given":"Helena"},{"family":"Mansour-Ghanaei","given":"Fariborz"},{"family":"Mansouri","given":"Borhan"},{"family":"Mansournia","given":"Mohammad Ali"},{"family":"Mantilla Herrera","given":"Ana M"},{"family":"Maravilla","given":"Joemer C"},{"family":"Marks","given":"Ashley"},{"family":"Martin","given":"Randall V"},{"family":"Martini","given":"Santi"},{"family":"Martins-Melo","given":"Francisco Rogerlândio"},{"family":"Masaka","given":"Anthony"},{"family":"Masoumi","given":"Seyedeh Zahra"},{"family":"Mathur","given":"Manu Raj"},{"family":"Matsushita","given":"Kunihiro"},{"family":"Maulik","given":"Pallab K"},{"family":"McAlinden","given":"Colm"},{"family":"McGrath","given":"John J"},{"family":"McKee","given":"Martin"},{"family":"Mehndiratta","given":"Man Mohan"},{"family":"Mehri","given":"Fereshteh"},{"family":"Mehta","given":"Kala M"},{"family":"Memish","given":"Ziad A"},{"family":"Mendoza","given":"Walter"},{"family":"Menezes","given":"Ritesh G"},{"family":"Mengesha","given":"Endalkachew Worku"},{"family":"Mereke","given":"Alibek"},{"family":"Mereta","given":"Seid Tiku"},{"family":"Meretoja","given":"Atte"},{"family":"Meretoja","given":"Tuomo J"},{"family":"Mestrovic","given":"Tomislav"},{"family":"Miazgowski","given":"Bartosz"},{"family":"Miazgowski","given":"Tomasz"},{"family":"Michalek","given":"Irmina Maria"},{"family":"Miller","given":"Ted R"},{"family":"Mills","given":"Edward J"},{"family":"Mini","given":"GK"},{"family":"Miri","given":"Mohammad"},{"family":"Mirica","given":"Andreea"},{"family":"Mirrakhimov","given":"Erkin M"},{"family":"Mirzaei","given":"Hamed"},{"family":"Mirzaei","given":"Maryam"},{"family":"Mirzaei","given":"Roya"},{"family":"Mirzaei-Alavijeh","given":"Mehdi"},{"family":"Misganaw","given":"Awoke Temesgen"},{"family":"Mithra","given":"Prasanna"},{"family":"Moazen","given":"Babak"},{"family":"Mohammad","given":"Dara K"},{"family":"Mohammad","given":"Yousef"},{"family":"Mohammad Gholi Mezerji","given":"Naser"},{"family":"Mohammadian-Hafshejani","given":"Abdollah"},{"family":"Mohammadifard","given":"Noushin"},{"family":"Mohammadpourhodki","given":"Reza"},{"family":"Mohammed","given":"Ammas Siraj"},{"family":"Mohammed","given":"Hussen"},{"family":"Mohammed","given":"Jemal Abdu"},{"family":"Mohammed","given":"Shafiu"},{"family":"Mokdad","given":"Ali H"},{"family":"Molokhia","given":"Mariam"},{"family":"Monasta","given":"Lorenzo"},{"family":"Mooney","given":"Meghan D"},{"family":"Moradi","given":"Ghobad"},{"family":"Moradi","given":"Masoud"},{"family":"Moradi-Lakeh","given":"Maziar"},{"family":"Moradzadeh","given":"Rahmatollah"},{"family":"Moraga","given":"Paula"},{"family":"Morawska","given":"Lidia"},{"family":"Morgado-da-Costa","given":"Joana"},{"family":"Morrison","given":"Shane Douglas"},{"family":"Mosapour","given":"Abbas"},{"family":"Mosser","given":"Jonathan F"},{"family":"Mouodi","given":"Simin"},{"family":"Mousavi","given":"Seyyed Meysam"},{"family":"Mousavi Khaneghah","given":"Amin"},{"family":"Mueller","given":"Ulrich Otto"},{"family":"Mukhopadhyay","given":"Satinath"},{"family":"Mullany","given":"Erin C"},{"family":"Musa","given":"Kamarul Imran"},{"family":"Muthupandian","given":"Saravanan"},{"family":"Nabhan","given":"Ashraf F"},{"family":"Naderi","given":"Mehdi"},{"family":"Nagarajan","given":"Ahamarshan Jayaraman"},{"family":"Nagel","given":"Gabriele"},{"family":"Naghavi","given":"Mohsen"},{"family":"Naghshtabrizi","given":"Behshad"},{"family":"Naimzada","given":"Mukhammad David"},{"family":"Najafi","given":"Farid"},{"family":"Nangia","given":"Vinay"},{"family":"Nansseu","given":"Jobert Richie"},{"family":"Naserbakht","given":"Morteza"},{"family":"Nayak","given":"Vinod C"},{"family":"Negoi","given":"Ionut"},{"family":"Ngunjiri","given":"Josephine W"},{"family":"Nguyen","given":"Cuong Tat"},{"family":"Nguyen","given":"Huong Lan Thi"},{"family":"Nguyen","given":"Minh"},{"family":"Nigatu","given":"Yeshambel T"},{"family":"Nikbakhsh","given":"Rajan"},{"family":"Nixon","given":"Molly R"},{"family":"Nnaji","given":"Chukwudi A"},{"family":"Nomura","given":"Shuhei"},{"family":"Norrving","given":"Bo"},{"family":"Noubiap","given":"Jean Jacques"},{"family":"Nowak","given":"Christoph"},{"family":"Nunez-Samudio","given":"Virginia"},{"family":"Oţoiu","given":"Adrian"},{"family":"Oancea","given":"Bogdan"},{"family":"Odell","given":"Christopher M"},{"family":"Ogbo","given":"Felix Akpojene"},{"family":"Oh","given":"In-Hwan"},{"family":"Okunga","given":"Emmanuel Wandera"},{"family":"Oladnabi","given":"Morteza"},{"family":"Olagunju","given":"Andrew T"},{"family":"Olusanya","given":"Bolajoko Olubukunola"},{"family":"Olusanya","given":"Jacob Olusegun"},{"family":"Omer","given":"Muktar Omer"},{"family":"Ong","given":"Kanyin L"},{"family":"Onwujekwe","given":"Obinna E"},{"family":"Orpana","given":"Heather M"},{"family":"Ortiz","given":"Alberto"},{"family":"Osarenotor","given":"Osayomwanbo"},{"family":"Osei","given":"Frank B"},{"family":"Ostroff","given":"Samuel M"},{"family":"Otstavnov","given":"Nikita"},{"family":"Otstavnov","given":"Stanislav S"},{"family":"Øverland","given":"Simon"},{"family":"Owolabi","given":"Mayowa O"},{"family":"P A","given":"Mahesh"},{"family":"Padubidri","given":"Jagadish Rao"},{"family":"Palladino","given":"Raffaele"},{"family":"Panda-Jonas","given":"Songhomitra"},{"family":"Pandey","given":"Anamika"},{"family":"Parry","given":"Charles D H"},{"family":"Pasovic","given":"Maja"},{"family":"Pasupula","given":"Deepak Kumar"},{"family":"Patel","given":"Sangram Kishor"},{"family":"Pathak","given":"Mona"},{"family":"Patten","given":"Scott B"},{"family":"Patton","given":"George C"},{"family":"Pazoki Toroudi","given":"Hamidreza"},{"family":"Peden","given":"Amy E"},{"family":"Pennini","given":"Alyssa"},{"family":"Pepito","given":"Veincent Christian Filipino"},{"family":"Peprah","given":"Emmanuel K"},{"family":"Pereira","given":"David M"},{"family":"Pesudovs","given":"Konrad"},{"family":"Pham","given":"Hai Quang"},{"family":"Phillips","given":"Michael R"},{"family":"Piccinelli","given":"Cristiano"},{"family":"Pilz","given":"Tessa M"},{"family":"Piradov","given":"Michael A"},{"family":"Pirsaheb","given":"Meghdad"},{"family":"Plass","given":"Dietrich"},{"family":"Polinder","given":"Suzanne"},{"family":"Polkinghorne","given":"Kevan R"},{"family":"Pond","given":"Constance Dimity"},{"family":"Postma","given":"Maarten J"},{"family":"Pourjafar","given":"Hadi"},{"family":"Pourmalek","given":"Farshad"},{"family":"Poznańska","given":"Anna"},{"family":"Prada","given":"Sergio I"},{"family":"Prakash","given":"V"},{"family":"Pribadi","given":"Dimas Ria Angga"},{"family":"Pupillo","given":"Elisabetta"},{"family":"Quazi Syed","given":"Zahiruddin"},{"family":"Rabiee","given":"Mohammad"},{"family":"Rabiee","given":"Navid"},{"family":"Radfar","given":"Amir"},{"family":"Rafiee","given":"Ata"},{"family":"Raggi","given":"Alberto"},{"family":"Rahman","given":"Muhammad Aziz"},{"family":"Rajabpour-Sanati","given":"Ali"},{"family":"Rajati","given":"Fatemeh"},{"family":"Rakovac","given":"Ivo"},{"family":"Ram","given":"Pradhum"},{"family":"Ramezanzadeh","given":"Kiana"},{"family":"Ranabhat","given":"Chhabi Lal"},{"family":"Rao","given":"Puja C"},{"family":"Rao","given":"Sowmya J"},{"family":"Rashedi","given":"Vahid"},{"family":"Rathi","given":"Priya"},{"family":"Rawaf","given":"David Laith"},{"family":"Rawaf","given":"Salman"},{"family":"Rawal","given":"Lal"},{"family":"Rawassizadeh","given":"Reza"},{"family":"Rawat","given":"Ramu"},{"family":"Razo","given":"Christian"},{"family":"Redford","given":"Sofia Boston"},{"family":"Reiner","given":"Robert C","suffix":"Jr"},{"family":"Reitsma","given":"Marissa Bettay"},{"family":"Remuzzi","given":"Giuseppe"},{"family":"Renjith","given":"Vishnu"},{"family":"Renzaho","given":"Andre M N"},{"family":"Resnikoff","given":"Serge"},{"family":"Rezaei","given":"Negar"},{"family":"Rezaei","given":"Nima"},{"family":"Rezapour","given":"Aziz"},{"family":"Rhinehart","given":"Phoebe-Anne"},{"family":"Riahi","given":"Seyed Mohammad"},{"family":"Ribeiro","given":"Daniel Cury"},{"family":"Ribeiro","given":"Daniela"},{"family":"Rickard","given":"Jennifer"},{"family":"Rivera","given":"Juan A"},{"family":"Roberts","given":"Nicholas L S"},{"family":"Rodríguez-Ramírez","given":"Sonia"},{"family":"Roever","given":"Leonardo"},{"family":"Ronfani","given":"Luca"},{"family":"Room","given":"Robin"},{"family":"Roshandel","given":"Gholamreza"},{"family":"Roth","given":"Gregory A"},{"family":"Rothenbacher","given":"Dietrich"},{"family":"Rubagotti","given":"Enrico"},{"family":"Rwegerera","given":"Godfrey M"},{"family":"Sabour","given":"Siamak"},{"family":"Sachdev","given":"Perminder S"},{"family":"Saddik","given":"Basema"},{"family":"Sadeghi","given":"Ehsan"},{"family":"Sadeghi","given":"Masoumeh"},{"family":"Saeedi","given":"Reza"},{"family":"Saeedi Moghaddam","given":"Sahar"},{"family":"Safari","given":"Yahya"},{"family":"Safi","given":"Sare"},{"family":"Safiri","given":"Saeid"},{"family":"Sagar","given":"Rajesh"},{"family":"Sahebkar","given":"Amirhossein"},{"family":"Sajadi","given":"S Mohammad"},{"family":"Salam","given":"Nasir"},{"family":"Salamati","given":"Payman"},{"family":"Salem","given":"Hosni"},{"family":"Salem","given":"Marwa R Rashad"},{"family":"Salimzadeh","given":"Hamideh"},{"family":"Salman","given":"Omar Mukhtar"},{"family":"Salomon","given":"Joshua A"},{"family":"Samad","given":"Zainab"},{"family":"Samadi Kafil","given":"Hossein"},{"family":"Sambala","given":"Evanson Zondani"},{"family":"Samy","given":"Abdallah M"},{"family":"Sanabria","given":"Juan"},{"family":"Sánchez-Pimienta","given":"Tania G"},{"family":"Santomauro","given":"Damian Francesco"},{"family":"Santos","given":"Itamar S"},{"family":"Santos","given":"João Vasco"},{"family":"Santric-Milicevic","given":"Milena M"},{"family":"Saraswathy","given":"Sivan Yegnanarayana Iyer"},{"family":"Sarmiento-Suárez","given":"Rodrigo"},{"family":"Sarrafzadegan","given":"Nizal"},{"family":"Sartorius","given":"Benn"},{"family":"Sarveazad","given":"Arash"},{"family":"Sathian","given":"Brijesh"},{"family":"Sathish","given":"Thirunavukkarasu"},{"family":"Sattin","given":"Davide"},{"family":"Saxena","given":"Sonia"},{"family":"Schaeffer","given":"Lauren E"},{"family":"Schiavolin","given":"Silvia"},{"family":"Schlaich","given":"Markus P"},{"family":"Schmidt","given":"Maria Inês"},{"family":"Schutte","given":"Aletta Elisabeth"},{"family":"Schwebel","given":"David C"},{"family":"Schwendicke","given":"Falk"},{"family":"Senbeta","given":"Anbissa Muleta"},{"family":"Senthilkumaran","given":"Subramanian"},{"family":"Sepanlou","given":"Sadaf G"},{"family":"Serdar","given":"Berrin"},{"family":"Serre","given":"Marc L"},{"family":"Shadid","given":"Jamileh"},{"family":"Shafaat","given":"Omid"},{"family":"Shahabi","given":"Saeed"},{"family":"Shaheen","given":"Amira A"},{"family":"Shaikh","given":"Masood Ali"},{"family":"Shalash","given":"Ali S"},{"family":"Shams-Beyranvand","given":"Mehran"},{"family":"Shamsizadeh","given":"Morteza"},{"family":"Sharafi","given":"Kiomars"},{"family":"Sheikh","given":"Aziz"},{"family":"Sheikhtaheri","given":"Abbas"},{"family":"Shibuya","given":"Kenji"},{"family":"Shield","given":"Kevin David"},{"family":"Shigematsu","given":"Mika"},{"family":"Shin","given":"Jae Il"},{"family":"Shin","given":"Min-Jeong"},{"family":"Shiri","given":"Rahman"},{"family":"Shirkoohi","given":"Reza"},{"family":"Shuval","given":"Kerem"},{"family":"Siabani","given":"Soraya"},{"family":"Sierpinski","given":"Radoslaw"},{"family":"Sigfusdottir","given":"Inga Dora"},{"family":"Sigurvinsdottir","given":"Rannveig"},{"family":"Silva","given":"João Pedro"},{"family":"Simpson","given":"Kyle E"},{"family":"Singh","given":"Jasvinder A"},{"family":"Singh","given":"Pushpendra"},{"family":"Skiadaresi","given":"Eirini"},{"family":"Skou","given":"Søren T"},{"family":"Skryabin","given":"Valentin Yurievich"},{"family":"Smith","given":"Emma U R"},{"family":"Soheili","given":"Amin"},{"family":"Soltani","given":"Shahin"},{"family":"Soofi","given":"Moslem"},{"family":"Sorensen","given":"Reed J D"},{"family":"Soriano","given":"Joan B"},{"family":"Sorrie","given":"Muluken Bekele"},{"family":"Soshnikov","given":"Sergey"},{"family":"Soyiri","given":"Ireneous N"},{"family":"Spencer","given":"Cory N"},{"family":"Spotin","given":"Adel"},{"family":"Sreeramareddy","given":"Chandrashekhar T"},{"family":"Srinivasan","given":"Vinay"},{"family":"Stanaway","given":"Jeffrey D"},{"family":"Stein","given":"Caroline"},{"family":"Stein","given":"Dan J"},{"family":"Steiner","given":"Caitlyn"},{"family":"Stockfelt","given":"Leo"},{"family":"Stokes","given":"Mark A"},{"family":"Straif","given":"Kurt"},{"family":"Stubbs","given":"Jacob L"},{"family":"Sufiyan","given":"Mu'awiyyah Babale"},{"family":"Suleria","given":"Hafiz Ansar Rasul"},{"family":"Suliankatchi Abdulkader","given":"Rizwan"},{"family":"Sulo","given":"Gerhard"},{"family":"Sultan","given":"Iyad"},{"family":"Szumowski","given":"Łukasz"},{"family":"Tabarés-Seisdedos","given":"Rafael"},{"family":"Tabb","given":"Karen M"},{"family":"Tabuchi","given":"Takahiro"},{"family":"Taherkhani","given":"Amir"},{"family":"Tajdini","given":"Masih"},{"family":"Takahashi","given":"Ken"},{"family":"Takala","given":"Jukka S"},{"family":"Tamiru","given":"Animut Tagele"},{"family":"Taveira","given":"Nuno"},{"family":"Tehrani-Banihashemi","given":"Arash"},{"family":"Temsah","given":"Mohamad-Hani"},{"family":"Tesema","given":"Getayeneh Antehunegn"},{"family":"Tessema","given":"Zemenu Tadesse"},{"family":"Thurston","given":"George D"},{"family":"Titova","given":"Mariya Vladimirovna"},{"family":"Tohidinik","given":"Hamid Reza"},{"family":"Tonelli","given":"Marcello"},{"family":"Topor-Madry","given":"Roman"},{"family":"Topouzis","given":"Fotis"},{"family":"Torre","given":"Anna E"},{"family":"Touvier","given":"Mathilde"},{"family":"Tovani-Palone","given":"Marcos Roberto Roberto"},{"family":"Tran","given":"Bach Xuan"},{"family":"Travillian","given":"Ravensara"},{"family":"Tsatsakis","given":"Aristidis"},{"family":"Tudor Car","given":"Lorainne"},{"family":"Tyrovolas","given":"Stefanos"},{"family":"Uddin","given":"Riaz"},{"family":"Umeokonkwo","given":"Chukwuma David"},{"family":"Unnikrishnan","given":"Bhaskaran"},{"family":"Upadhyay","given":"Era"},{"family":"Vacante","given":"Marco"},{"family":"Valdez","given":"Pascual R"},{"family":"Donkelaar","given":"Aaron","non-dropping-particle":"van"},{"family":"Vasankari","given":"Tommi Juhani"},{"family":"Vasseghian","given":"Yasser"},{"family":"Veisani","given":"Yousef"},{"family":"Venketasubramanian","given":"Narayanaswamy"},{"family":"Violante","given":"Francesco S"},{"family":"Vlassov","given":"Vasily"},{"family":"Vollset","given":"Stein Emil"},{"family":"Vos","given":"Theo"},{"family":"Vukovic","given":"Rade"},{"family":"Waheed","given":"Yasir"},{"family":"Wallin","given":"Mitchell Taylor"},{"family":"Wang","given":"Yafeng"},{"family":"Wang","given":"Yuan-Pang"},{"family":"Watson","given":"Alexandrea"},{"family":"Wei","given":"Jingkai"},{"family":"Wei","given":"Melissa Y Wei"},{"family":"Weintraub","given":"Robert G"},{"family":"Weiss","given":"Jordan"},{"family":"Werdecker","given":"Andrea"},{"family":"West","given":"J Jason"},{"family":"Westerman","given":"Ronny"},{"family":"Whisnant","given":"Joanna L"},{"family":"Whiteford","given":"Harvey A"},{"family":"Wiens","given":"Kirsten E"},{"family":"Wolfe","given":"Charles D A"},{"family":"Wozniak","given":"Sarah S"},{"family":"Wu","given":"Ai-Min"},{"family":"Wu","given":"Junjie"},{"family":"Wulf Hanson","given":"Sarah"},{"family":"Xu","given":"Gelin"},{"family":"Xu","given":"Rixing"},{"family":"Yadgir","given":"Simon"},{"family":"Yahyazadeh Jabbari","given":"Seyed Hossein"},{"family":"Yamagishi","given":"Kazumasa"},{"family":"Yaminfirooz","given":"Mousa"},{"family":"Yano","given":"Yuichiro"},{"family":"Yaya","given":"Sanni"},{"family":"Yazdi-Feyzabadi","given":"Vahid"},{"family":"Yeheyis","given":"Tomas Y"},{"family":"Yilgwan","given":"Christopher Sabo"},{"family":"Yilma","given":"Mekdes Tigistu"},{"family":"Yip","given":"Paul"},{"family":"Yonemoto","given":"Naohiro"},{"family":"Younis","given":"Mustafa Z"},{"family":"Younker","given":"Theodore Patrick"},{"family":"Yousefi","given":"Bahman"},{"family":"Yousefi","given":"Zabihollah"},{"family":"Yousefinezhadi","given":"Taraneh"},{"family":"Yousuf","given":"Abdilahi Yousuf"},{"family":"Yu","given":"Chuanhua"},{"family":"Yusefzadeh","given":"Hasan"},{"family":"Zahirian Moghadam","given":"Telma"},{"family":"Zamani","given":"Mohammad"},{"family":"Zamanian","given":"Maryam"},{"family":"Zandian","given":"Hamed"},{"family":"Zastrozhin","given":"Mikhail Sergeevich"},{"family":"Zhang","given":"Yunquan"},{"family":"Zhang","given":"Zhi-Jiang"},{"family":"Zhao","given":"Jeff T"},{"family":"Zhao","given":"Xiu-Ju George"},{"family":"Zhao","given":"Yingxi"},{"family":"Zhou","given":"Maigeng"},{"family":"Ziapour","given":"Arash"},{"family":"Zimsen","given":"Stephanie R M"},{"family":"Brauer","given":"Michael"},{"family":"Afshin","given":"Ashkan"},{"family":"Lim","given":"Stephen S"}],"accessed":{"date-parts":[["2026",4,20]]},"issued":{"date-parts":[["2020",10,17]]}}},{"id":1143,"uris":["http://zotero.org/users/12575705/items/PMWU3J2U"],"itemData":{"id":1143,"type":"article-journal","abstract":"BackgroundSuboptimal diet is an important preventable risk factor for non-communicable diseases (NCDs); however, its impact on the burden of NCDs has not been systematically evaluated. This study aimed to evaluate the consumption of major foods and nutrients across 195 countries and to quantify the impact of their suboptimal intake on NCD mortality and morbidity.","container-title":"The Lancet","DOI":"10.1016/S0140-6736(19)30041-8","ISSN":"0140-6736","issue":"10184","page":"1958-1972","publisher":"Elsevier","title":"Health effects of dietary risks in 195 countries, 1990–2017: a systematic analysis for the Global Burden of Disease Study 2017","URL":"https://doi.org/10.1016/S0140-6736(19)30041-8","volume":"393","author":[{"family":"Afshin","given":"Ashkan"},{"family":"Sur","given":"Patrick John"},{"family":"Fay","given":"Kairsten A."},{"family":"Cornaby","given":"Leslie"},{"family":"Ferrara","given":"Giannina"},{"family":"Salama","given":"Joseph S"},{"family":"Mullany","given":"Erin C"},{"family":"Abate","given":"Kalkidan Hassen"},{"family":"Abbafati","given":"Cristiana"},{"family":"Abebe","given":"Zegeye"},{"family":"Afarideh","given":"Mohsen"},{"family":"Aggarwal","given":"Anju"},{"family":"Agrawal","given":"Sutapa"},{"family":"Akinyemiju","given":"Tomi"},{"family":"Alahdab","given":"Fares"},{"family":"Bacha","given":"Umar"},{"family":"Bachman","given":"Victoria F"},{"family":"Badali","given":"Hamid"},{"family":"Badawi","given":"Alaa"},{"family":"Bensenor","given":"Isabela M"},{"family":"Bernabe","given":"Eduardo"},{"family":"Biadgilign","given":"Sibhatu Kassa K"},{"family":"Biryukov","given":"Stan H"},{"family":"Cahill","given":"Leah E"},{"family":"Carrero","given":"Juan J"},{"family":"Cercy","given":"Kelly M."},{"family":"Dandona","given":"Lalit"},{"family":"Dandona","given":"Rakhi"},{"family":"Dang","given":"Anh Kim"},{"family":"Degefa","given":"Meaza Girma"},{"family":"El Sayed Zaki","given":"Maysaa"},{"family":"Esteghamati","given":"Alireza"},{"family":"Esteghamati","given":"Sadaf"},{"family":"Fanzo","given":"Jessica"},{"family":"Farinha","given":"Carla Sofia e Sá"},{"family":"Farvid","given":"Maryam S"},{"family":"Farzadfar","given":"Farshad"},{"family":"Feigin","given":"Valery L."},{"family":"Fernandes","given":"Joao C"},{"family":"Flor","given":"Luisa Sorio"},{"family":"Foigt","given":"Nataliya A."},{"family":"Forouzanfar","given":"Mohammad H"},{"family":"Ganji","given":"Morsaleh"},{"family":"Geleijnse","given":"Johanna M."},{"family":"Gillum","given":"Richard F"},{"family":"Goulart","given":"Alessandra C"},{"family":"Grosso","given":"Giuseppe"},{"family":"Guessous","given":"Idris"},{"family":"Hamidi","given":"Samer"},{"family":"Hankey","given":"Graeme J."},{"family":"Harikrishnan","given":"Sivadasanpillai"},{"family":"Hassen","given":"Hamid Yimam"},{"family":"Hay","given":"Simon I."},{"family":"Hoang","given":"Chi Linh"},{"family":"Horino","given":"Masako"},{"family":"Ikeda","given":"Nayu"},{"family":"Islami","given":"Farhad"},{"family":"Jackson","given":"Maria D."},{"family":"James","given":"Spencer L."},{"family":"Johansson","given":"Lars"},{"family":"Jonas","given":"Jost B."},{"family":"Kasaeian","given":"Amir"},{"family":"Khader","given":"Yousef Saleh"},{"family":"Khalil","given":"Ibrahim A."},{"family":"Khang","given":"Young-Ho"},{"family":"Kimokoti","given":"Ruth W"},{"family":"Kokubo","given":"Yoshihiro"},{"family":"Kumar","given":"G Anil"},{"family":"Lallukka","given":"Tea"},{"family":"Lopez","given":"Alan D"},{"family":"Lorkowski","given":"Stefan"},{"family":"Lotufo","given":"Paulo A."},{"family":"Lozano","given":"Rafael"},{"family":"Malekzadeh","given":"Reza"},{"family":"März","given":"Winfried"},{"family":"Meier","given":"Toni"},{"family":"Melaku","given":"Yohannes A"},{"family":"Mendoza","given":"Walter"},{"family":"Mensink","given":"Gert B.M."},{"family":"Micha","given":"Renata"},{"family":"Miller","given":"Ted R"},{"family":"Mirarefin","given":"Mojde"},{"family":"Mohan","given":"Viswanathan"},{"family":"Mokdad","given":"Ali H"},{"family":"Mozaffarian","given":"Dariush"},{"family":"Nagel","given":"Gabriele"},{"family":"Naghavi","given":"Mohsen"},{"family":"Nguyen","given":"Cuong Tat"},{"family":"Nixon","given":"Molly R"},{"family":"Ong","given":"Kanyin L"},{"family":"Pereira","given":"David M."},{"family":"Poustchi","given":"Hossein"},{"family":"Qorbani","given":"Mostafa"},{"family":"Rai","given":"Rajesh Kumar"},{"family":"Razo-García","given":"Christian"},{"family":"Rehm","given":"Colin D"},{"family":"Rivera","given":"Juan A"},{"family":"Rodríguez-Ramírez","given":"Sonia"},{"family":"Roshandel","given":"Gholamreza"},{"family":"Roth","given":"Gregory A"},{"family":"Sanabria","given":"Juan"},{"family":"Sánchez-Pimienta","given":"Tania G"},{"family":"Sartorius","given":"Benn"},{"family":"Schmidhuber","given":"Josef"},{"family":"Schutte","given":"Aletta Elisabeth"},{"family":"Sepanlou","given":"Sadaf G."},{"family":"Shin","given":"Min-Jeong"},{"family":"Sorensen","given":"Reed J.D."},{"family":"Springmann","given":"Marco"},{"family":"Szponar","given":"Lucjan"},{"family":"Thorne-Lyman","given":"Andrew L"},{"family":"Thrift","given":"Amanda G"},{"family":"Touvier","given":"Mathilde"},{"family":"Tran","given":"Bach Xuan"},{"family":"Tyrovolas","given":"Stefanos"},{"family":"Ukwaja","given":"Kingsley Nnanna"},{"family":"Ullah","given":"Irfan"},{"family":"Uthman","given":"Olalekan A"},{"family":"Vaezghasemi","given":"Masoud"},{"family":"Vasankari","given":"Tommi Juhani"},{"family":"Vollset","given":"Stein Emil"},{"family":"Vos","given":"Theo"},{"family":"Vu","given":"Giang Thu"},{"family":"Vu","given":"Linh Gia"},{"family":"Weiderpass","given":"Elisabete"},{"family":"Werdecker","given":"Andrea"},{"family":"Wijeratne","given":"Tissa"},{"family":"Willett","given":"Walter C"},{"family":"Wu","given":"Jason H"},{"family":"Xu","given":"Gelin"},{"family":"Yonemoto","given":"Naohiro"},{"family":"Yu","given":"Chuanhua"},{"family":"Murray","given":"Christopher J L"}],"accessed":{"date-parts":[["2026",4,20]]},"issued":{"date-parts":[["2019",5,11]]}}}],"schema":"https://github.com/citation-style-language/schema/raw/master/csl-citation.json"} </w:instrText>
      </w:r>
      <w:r w:rsidR="00F519D2" w:rsidRPr="00D71FF2">
        <w:rPr>
          <w:rFonts w:ascii="Times New Roman" w:hAnsi="Times New Roman" w:cs="Times New Roman"/>
        </w:rPr>
        <w:fldChar w:fldCharType="separate"/>
      </w:r>
      <w:r w:rsidR="00F519D2" w:rsidRPr="00D71FF2">
        <w:rPr>
          <w:rFonts w:ascii="Times New Roman" w:eastAsia="DengXian" w:hAnsi="Times New Roman" w:cs="Times New Roman"/>
          <w:kern w:val="0"/>
          <w:vertAlign w:val="superscript"/>
        </w:rPr>
        <w:t>(4–6)</w:t>
      </w:r>
      <w:r w:rsidR="00F519D2" w:rsidRPr="00D71FF2">
        <w:rPr>
          <w:rFonts w:ascii="Times New Roman" w:hAnsi="Times New Roman" w:cs="Times New Roman"/>
        </w:rPr>
        <w:fldChar w:fldCharType="end"/>
      </w:r>
      <w:r w:rsidR="00052344" w:rsidRPr="00D71FF2">
        <w:rPr>
          <w:rFonts w:ascii="Times New Roman" w:hAnsi="Times New Roman" w:cs="Times New Roman"/>
        </w:rPr>
        <w:t>.</w:t>
      </w:r>
      <w:r w:rsidRPr="00D71FF2">
        <w:rPr>
          <w:rFonts w:ascii="Times New Roman" w:hAnsi="Times New Roman" w:cs="Times New Roman"/>
        </w:rPr>
        <w:t xml:space="preserve"> As a key contextual determinant of dietary patterns, urban–rural status </w:t>
      </w:r>
      <w:r w:rsidR="00944E1E" w:rsidRPr="00D71FF2">
        <w:rPr>
          <w:rFonts w:ascii="Times New Roman" w:hAnsi="Times New Roman" w:cs="Times New Roman"/>
        </w:rPr>
        <w:t>plays a critical role</w:t>
      </w:r>
      <w:r w:rsidRPr="00D71FF2">
        <w:rPr>
          <w:rFonts w:ascii="Times New Roman" w:hAnsi="Times New Roman" w:cs="Times New Roman"/>
        </w:rPr>
        <w:t xml:space="preserve"> in controlling confounding, examining population inequalities, and interpreting temporal dietary trends</w:t>
      </w:r>
      <w:r w:rsidR="00E4728F" w:rsidRPr="00D71FF2">
        <w:rPr>
          <w:rFonts w:ascii="Times New Roman" w:hAnsi="Times New Roman" w:cs="Times New Roman"/>
        </w:rPr>
        <w:fldChar w:fldCharType="begin"/>
      </w:r>
      <w:r w:rsidRPr="00D71FF2">
        <w:rPr>
          <w:rFonts w:ascii="Times New Roman" w:hAnsi="Times New Roman" w:cs="Times New Roman"/>
        </w:rPr>
        <w:instrText xml:space="preserve"> ADDIN ZOTERO_ITEM CSL_CITATION {"citationID":"kAyBdiYr","properties":{"unsorted":false,"formattedCitation":"\\super (7,8)\\nosupersub{}","plainCitation":"(7,8)","noteIndex":0},"citationItems":[{"id":1145,"uris":["http://zotero.org/users/12575705/items/PCUZZD54"],"itemData":{"id":1145,"type":"article-journal","abstract":"Malnutrition in all its forms currently affects one in three people globally and is considered one of the greatest public health challenges of our time. Low- and middle-income countries (LMICs) are increasingly facing a double burden of malnutrition that includes undernutrition, as well as increasing overweight, obesity and diet related non-communicable diseases. The role of food environments in shaping transitioning diets and the double burden of malnutrition in LMICs is increasingly gaining policy attention. However, food environment research to date has predominantly been undertaken in response to obesity and associated diet-related non-communicable diseases in high-income countries (HICs). Empirical research in LMICs is in its infancy. There is a need to create a cohesive research agenda to facilitate food environment research and inform action across the globe, particularly with regard to LMICs. In this paper, we address three fundamental questions: First, how can the food environment be defined and conceptualised in a way that captures the key dimensions that shape food acquisition and consumption globally? Second, how can existing knowledge and evidence from HICs be leveraged to accelerate food environment research in LMICs? Third, what are the main challenges and opportunities in doing so? We conduct a brief synthesis of the food environment literature in order to frame our critical perspectives, and introduce a new definition and conceptual framework that includes external and personal domains and dimensions within the wider food environment construct. We conclude with a discussion on the implications for future research in LMICs.","container-title":"Global Food Security","DOI":"10.1016/j.gfs.2018.08.003","ISSN":"2211-9124","journalAbbreviation":"Global Food Security","page":"93-101","title":"Concepts and critical perspectives for food environment research: A global framework with implications for action in low- and middle-income countries","URL":"https://www.sciencedirect.com/science/article/pii/S2211912418300154","volume":"18","author":[{"family":"Turner","given":"Christopher"},{"family":"Aggarwal","given":"Anju"},{"family":"Walls","given":"Helen"},{"family":"Herforth","given":"Anna"},{"family":"Drewnowski","given":"Adam"},{"family":"Coates","given":"Jennifer"},{"family":"Kalamatianou","given":"Sofia"},{"family":"Kadiyala","given":"Suneetha"}],"issued":{"date-parts":[["2018",9,1]]}}},{"id":1148,"uris":["http://zotero.org/users/12575705/items/TASCY7EU"],"itemData":{"id":1148,"type":"article-journal","abstract":"Summary China's food consumption patterns and eating and cooking behaviours changed dramatically between 1991 and 2011. Macronutrient composition has shifted towards fats, and protein and sodium intakes remain high and potassium intake low. The rapid decline in intake of coarse grains and, later, of refined grains and increases in intake of edible oils and animal-source foods accompanied by major eating and cooking behaviour shifts are leading to what might be characterized as an unhealthy Western type of diet, often based on traditional recipes with major additions and changes. The most popular animal-source food is pork, and consumption of poultry and eggs is increasing. The changes in cooking and eating styles include a decrease in the proportion of food steamed, baked, or boiled, and an increase in snacking and eating away from home. Prior to the last decade, there was essentially no snacking in China except for hot water or green tea. Most recently, the intake of foods high in added sugar has increased. The dietary shifts are affected greatly by the country's urbanization. The future, as exemplified by the diet of the three mega cities, promises major growth in consumption of processed foods and beverages.","container-title":"Obesity Reviews","DOI":"https://doi.org/10.1111/obr.12124","issue":"S1","note":"_eprint: https://onlinelibrary.wiley.com/doi/pdf/10.1111/obr.12124","page":"16-26","title":"Dynamics of the Chinese diet and the role of urbanicity, 1991–2011","URL":"https://onlinelibrary.wiley.com/doi/abs/10.1111/obr.12124","volume":"15","author":[{"family":"Zhai","given":"F. Y."},{"family":"Du","given":"S. F."},{"family":"Wang","given":"Z. H."},{"family":"Zhang","given":"J. G."},{"family":"Du","given":"W. W."},{"family":"Popkin","given":"B. M."}],"issued":{"date-parts":[["2014"]]}}}],"schema":"https://github.com/citation-style-language/schema/raw/master/csl-citation.json"} </w:instrText>
      </w:r>
      <w:r w:rsidR="00E4728F" w:rsidRPr="00D71FF2">
        <w:rPr>
          <w:rFonts w:ascii="Times New Roman" w:hAnsi="Times New Roman" w:cs="Times New Roman"/>
        </w:rPr>
        <w:fldChar w:fldCharType="separate"/>
      </w:r>
      <w:r w:rsidRPr="00D71FF2">
        <w:rPr>
          <w:rFonts w:ascii="Times New Roman" w:eastAsia="DengXian" w:hAnsi="Times New Roman" w:cs="Times New Roman"/>
          <w:kern w:val="0"/>
          <w:vertAlign w:val="superscript"/>
        </w:rPr>
        <w:t>(7,8)</w:t>
      </w:r>
      <w:r w:rsidR="00E4728F" w:rsidRPr="00D71FF2">
        <w:rPr>
          <w:rFonts w:ascii="Times New Roman" w:hAnsi="Times New Roman" w:cs="Times New Roman"/>
        </w:rPr>
        <w:fldChar w:fldCharType="end"/>
      </w:r>
      <w:r w:rsidR="00052344" w:rsidRPr="00D71FF2">
        <w:rPr>
          <w:rFonts w:ascii="Times New Roman" w:hAnsi="Times New Roman" w:cs="Times New Roman"/>
        </w:rPr>
        <w:t>.</w:t>
      </w:r>
    </w:p>
    <w:p w14:paraId="4A54D8FA" w14:textId="0BDC6179" w:rsidR="00E728FC" w:rsidRPr="00D71FF2" w:rsidRDefault="00E728FC" w:rsidP="00E728FC">
      <w:pPr>
        <w:rPr>
          <w:rFonts w:ascii="Times New Roman" w:hAnsi="Times New Roman" w:cs="Times New Roman"/>
        </w:rPr>
      </w:pPr>
      <w:r w:rsidRPr="00D71FF2">
        <w:rPr>
          <w:rFonts w:ascii="Times New Roman" w:hAnsi="Times New Roman" w:cs="Times New Roman"/>
        </w:rPr>
        <w:t xml:space="preserve">China provides a particularly informative setting for examining these dynamics. Over the past four </w:t>
      </w:r>
      <w:r w:rsidRPr="00D71FF2">
        <w:rPr>
          <w:rFonts w:ascii="Times New Roman" w:hAnsi="Times New Roman" w:cs="Times New Roman"/>
        </w:rPr>
        <w:lastRenderedPageBreak/>
        <w:t xml:space="preserve">decades, rapid </w:t>
      </w:r>
      <w:proofErr w:type="spellStart"/>
      <w:r w:rsidRPr="00D71FF2">
        <w:rPr>
          <w:rFonts w:ascii="Times New Roman" w:hAnsi="Times New Roman" w:cs="Times New Roman"/>
        </w:rPr>
        <w:t>urbanisation</w:t>
      </w:r>
      <w:proofErr w:type="spellEnd"/>
      <w:r w:rsidRPr="00D71FF2">
        <w:rPr>
          <w:rFonts w:ascii="Times New Roman" w:hAnsi="Times New Roman" w:cs="Times New Roman"/>
        </w:rPr>
        <w:t xml:space="preserve"> has been accompanied by marked dietary change, </w:t>
      </w:r>
      <w:proofErr w:type="spellStart"/>
      <w:r w:rsidRPr="00D71FF2">
        <w:rPr>
          <w:rFonts w:ascii="Times New Roman" w:hAnsi="Times New Roman" w:cs="Times New Roman"/>
        </w:rPr>
        <w:t>characterised</w:t>
      </w:r>
      <w:proofErr w:type="spellEnd"/>
      <w:r w:rsidRPr="00D71FF2">
        <w:rPr>
          <w:rFonts w:ascii="Times New Roman" w:hAnsi="Times New Roman" w:cs="Times New Roman"/>
        </w:rPr>
        <w:t xml:space="preserve"> by increasing fat intake, declining carbohydrate consumption, and diversification of food sources across both urban and rural populations</w:t>
      </w:r>
      <w:r w:rsidR="00052344" w:rsidRPr="00D71FF2">
        <w:rPr>
          <w:rFonts w:ascii="Times New Roman" w:hAnsi="Times New Roman" w:cs="Times New Roman"/>
        </w:rPr>
        <w:t xml:space="preserve"> </w:t>
      </w:r>
      <w:r w:rsidR="00E4728F" w:rsidRPr="00D71FF2">
        <w:rPr>
          <w:rFonts w:ascii="Times New Roman" w:hAnsi="Times New Roman" w:cs="Times New Roman"/>
        </w:rPr>
        <w:fldChar w:fldCharType="begin"/>
      </w:r>
      <w:r w:rsidRPr="00D71FF2">
        <w:rPr>
          <w:rFonts w:ascii="Times New Roman" w:hAnsi="Times New Roman" w:cs="Times New Roman"/>
        </w:rPr>
        <w:instrText xml:space="preserve"> ADDIN ZOTERO_ITEM CSL_CITATION {"citationID":"X4xBTjXn","properties":{"unsorted":false,"formattedCitation":"\\super (9\\uc0\\u8211{}11)\\nosupersub{}","plainCitation":"(9–11)","noteIndex":0},"citationItems":[{"id":1149,"uris":["http://zotero.org/users/12575705/items/EH24AD8T"],"itemData":{"id":1149,"type":"article-journal","abstract":"Understanding nutritional status among women of childbearing age (WCA) is of increasing concern, as nutrient intakes may affect the health of WCA and well-being of their offspring. This study aimed to investigate secular trends of dietary energy and macronutrients intakes and access longitudinally the urban-rural and geographic disparities among Chinese WCA.","container-title":"Nutrition Journal","DOI":"10.1186/s12937-023-00851-y","ISSN":"1475-2891","issue":"1","journalAbbreviation":"Nutrition Journal","page":"23","title":"Geographic and urban–rural disparities in dietary energy and macronutrient composition among women of childbearing age: findings from the China health and nutrition survey,1991–2015","URL":"https://doi.org/10.1186/s12937-023-00851-y","volume":"22","author":[{"family":"Zhao","given":"Jian"},{"family":"Zuo","given":"Lijun"},{"family":"Sun","given":"Jian"},{"family":"Su","given":"Chang"},{"family":"Wang","given":"Huijun"}],"issued":{"date-parts":[["2023",5,9]]}}},{"id":1150,"uris":["http://zotero.org/users/12575705/items/SETI6EUB"],"itemData":{"id":1150,"type":"article-journal","abstract":"Objective:Dietary transitions in China have undergone rapid changes in over the last three decades. The purpose of this study is to describe trends in the macronutrient consumption, the sources of those nutrients and the diet quality among Chinese adults.Design:Longitudinal China Health and Nutrition Survey (CHNS) cohort analysis. Main outcomes are dietary energy intake from total carbohydrate, protein and fat and their subtypes, as well as food sources of carbohydrates, protein, and fat, and the China Dietary Guidelines Index 2018 (CDGI-2018).Setting:CHNS (1991, 2000, 2009 and 2015).Participants:Data from the longitudinal 1991, 2000, 2009 and 2015 CHNS of adults aged 18 years or older who had complete demographic information.Results:The estimated mean energy intake from total carbohydrate decreased from 62·6 % to 50·6 % between 1991 and 2015, while the mean energy intake from total protein increased from 12·6 % to just 13·1 % and the mean energy intake from total fat significantly increased from 24·0 % to 35·8 % (P &amp;lt; 0·001 for trend). Decreases were observed in evaluated mean energy from low-quality carbohydrates (from 53·6 % to 41·7 %) and incomplete protein (from 9·3 % to 7·5 %), while increases were seen in estimated mean energy from high-quality protein (from 3·3 % to 5·5 %), high-quality fat (from 9·1 % to 16·7 %) and low-quality fat (from 14·9 % to 19·0 %). Low-quality carbohydrates, primarily those derived from refined grains, decreased from 52·2 % to 36·2 %. The diet quality as measured by CDGI-2018 improved, with the estimated mean increasing from 41·7 to 52·4 (P &amp;lt; 0·01 for trend).Conclusion:For Chinese adults, there was a significant change in the macronutrient composition over the previous few decades. The percentage of energy consumed from carbohydrates significantly decreased; however, the percentage of energy consumed from total fat significantly increased. Additionally, the diet quality remains suboptimal.","archive":"Cambridge Core","container-title":"Public Health Nutrition","DOI":"10.1017/S1368980022002099","ISSN":"1368-9800","issue":"4","note":"edition: 2022/10/05","page":"834-843","publisher":"Cambridge University Press","source":"Cambridge University Press","title":"Trends in dietary carbohydrates, protein and fat intake and diet quality among Chinese adults, 1991–2015: results from the China Health and Nutrition Survey","URL":"https://www.cambridge.org/core/product/6442C6E20617E5FED866C5EE19AFE761","volume":"26","author":[{"family":"Huang","given":"Lina"},{"family":"Wang","given":"Liusen"},{"family":"Jiang","given":"Hongru"},{"family":"Wang","given":"Huijun"},{"family":"Wang","given":"Zhihong"},{"family":"Zhang","given":"Bing"},{"family":"Ding","given":"Gangqiang"}],"issued":{"date-parts":[["2023"]]}}},{"id":1112,"uris":["http://zotero.org/users/12575705/items/RRLZ5PZV"],"itemData":{"id":1112,"type":"article-journal","container-title":"Obesity Reviews","DOI":"10.1111/obr.12119","issue":"Suppl. 1","page":"2–7","publisher":"Wiley Online Library","title":"The China Health and Nutrition Survey, 1989-2011","volume":"15","author":[{"family":"Zhang","given":"B."},{"family":"Zhai","given":"F."},{"family":"Du","given":"S."},{"family":"Popkin","given":"B."}],"issued":{"date-parts":[["2014"]]}}}],"schema":"https://github.com/citation-style-language/schema/raw/master/csl-citation.json"} </w:instrText>
      </w:r>
      <w:r w:rsidR="00E4728F" w:rsidRPr="00D71FF2">
        <w:rPr>
          <w:rFonts w:ascii="Times New Roman" w:hAnsi="Times New Roman" w:cs="Times New Roman"/>
        </w:rPr>
        <w:fldChar w:fldCharType="separate"/>
      </w:r>
      <w:r w:rsidRPr="00D71FF2">
        <w:rPr>
          <w:rFonts w:ascii="Times New Roman" w:eastAsia="DengXian" w:hAnsi="Times New Roman" w:cs="Times New Roman"/>
          <w:kern w:val="0"/>
          <w:vertAlign w:val="superscript"/>
        </w:rPr>
        <w:t>(9–11)</w:t>
      </w:r>
      <w:r w:rsidR="00E4728F" w:rsidRPr="00D71FF2">
        <w:rPr>
          <w:rFonts w:ascii="Times New Roman" w:hAnsi="Times New Roman" w:cs="Times New Roman"/>
        </w:rPr>
        <w:fldChar w:fldCharType="end"/>
      </w:r>
      <w:r w:rsidR="00052344" w:rsidRPr="00D71FF2">
        <w:rPr>
          <w:rFonts w:ascii="Times New Roman" w:hAnsi="Times New Roman" w:cs="Times New Roman"/>
        </w:rPr>
        <w:t xml:space="preserve">. </w:t>
      </w:r>
      <w:bookmarkStart w:id="1" w:name="OLE_LINK1"/>
      <w:r w:rsidRPr="00D71FF2">
        <w:rPr>
          <w:rFonts w:ascii="Times New Roman" w:hAnsi="Times New Roman" w:cs="Times New Roman"/>
        </w:rPr>
        <w:t xml:space="preserve">Longitudinal evidence suggests that these changes are heterogeneous across regions and over time, reflecting the complex interplay between economic development, food environments, and sociocultural dietary practices </w:t>
      </w:r>
      <w:r w:rsidR="00322862" w:rsidRPr="00D71FF2">
        <w:rPr>
          <w:rFonts w:ascii="Times New Roman" w:hAnsi="Times New Roman" w:cs="Times New Roman"/>
        </w:rPr>
        <w:fldChar w:fldCharType="begin"/>
      </w:r>
      <w:r w:rsidRPr="00D71FF2">
        <w:rPr>
          <w:rFonts w:ascii="Times New Roman" w:hAnsi="Times New Roman" w:cs="Times New Roman"/>
        </w:rPr>
        <w:instrText xml:space="preserve"> ADDIN ZOTERO_ITEM CSL_CITATION {"citationID":"rPRXPgER","properties":{"unsorted":false,"formattedCitation":"\\super (12,13)\\nosupersub{}","plainCitation":"(12,13)","noteIndex":0},"citationItems":[{"id":1151,"uris":["http://zotero.org/users/12575705/items/3IEU4H5A"],"itemData":{"id":1151,"type":"document","publisher":"Centers for Disease Control and Prevention","title":"NCHS Geographic Variables: Urban-Rural Classification","URL":"https://www.cdc.gov/rdc/nchs-geographic-variables/","author":[{"literal":"National Center for Health Statistics"}],"issued":{"date-parts":[["2024"]]}}},{"id":1153,"uris":["http://zotero.org/users/12575705/items/RB4FU7WS"],"itemData":{"id":1153,"type":"article-journal","abstract":"Objectives. To demonstrate how inferences about rural?urban disparities in age-adjusted mortality are affected by the reclassification of rural and urban counties in the United States from 1970 to 2018.Methods. We compared estimates of rural?urban mortality disparities over time, produced through a time-varying classification of rural and urban counties, with counterfactual estimates of rural?urban disparities, assuming no changes in rural?urban classification since 1970. We evaluated mortality rates by decade of reclassification to assess selectivity in reclassification.Results. We found that reclassification amplified rural?urban mortality disparities and accounted for more than 25% of the rural disadvantage observed from 1970 to 2018. Mortality rates were lower in counties that reclassified from rural to urban than in counties that remained rural.Conclusions. Estimates of changing rural?urban mortality differentials are significantly influenced by rural?urban reclassification. On average, counties that have remained classified as rural over time have elevated mortality. Longitudinal research on rural?urban health disparities must consider the methodological and substantive implications of reclassification.Public Health Implications. Attention to rural?urban reclassification is necessary when evaluating or justifying policy interventions focusing on geographic health disparities.","container-title":"American Journal of Public Health","DOI":"10.2105/AJPH.2020.305895","ISSN":"0090-0036","issue":"12","journalAbbreviation":"Am J Public Health","page":"1814-1816","publisher":"American Public Health Association","title":"County Reclassifications and Rural–Urban Mortality Disparities in the United States (1970–2018)","URL":"https://doi.org/10.2105/AJPH.2020.305895","volume":"110","author":[{"family":"Brooks","given":"Matthew M."},{"family":"Mueller","given":"J. Tom"},{"family":"Thiede","given":"Brian C."}],"accessed":{"date-parts":[["2026",4,21]]},"issued":{"date-parts":[["2020",12,1]]}}}],"schema":"https://github.com/citation-style-language/schema/raw/master/csl-citation.json"} </w:instrText>
      </w:r>
      <w:r w:rsidR="00322862" w:rsidRPr="00D71FF2">
        <w:rPr>
          <w:rFonts w:ascii="Times New Roman" w:hAnsi="Times New Roman" w:cs="Times New Roman"/>
        </w:rPr>
        <w:fldChar w:fldCharType="separate"/>
      </w:r>
      <w:r w:rsidRPr="00D71FF2">
        <w:rPr>
          <w:rFonts w:ascii="Times New Roman" w:eastAsia="DengXian" w:hAnsi="Times New Roman" w:cs="Times New Roman"/>
          <w:kern w:val="0"/>
          <w:vertAlign w:val="superscript"/>
        </w:rPr>
        <w:t>(12,13)</w:t>
      </w:r>
      <w:r w:rsidR="00322862" w:rsidRPr="00D71FF2">
        <w:rPr>
          <w:rFonts w:ascii="Times New Roman" w:hAnsi="Times New Roman" w:cs="Times New Roman"/>
        </w:rPr>
        <w:fldChar w:fldCharType="end"/>
      </w:r>
      <w:r w:rsidR="00D61569" w:rsidRPr="00D71FF2">
        <w:rPr>
          <w:rFonts w:ascii="Times New Roman" w:hAnsi="Times New Roman" w:cs="Times New Roman"/>
        </w:rPr>
        <w:t xml:space="preserve">. </w:t>
      </w:r>
      <w:r w:rsidRPr="00D71FF2">
        <w:rPr>
          <w:rFonts w:ascii="Times New Roman" w:hAnsi="Times New Roman" w:cs="Times New Roman"/>
        </w:rPr>
        <w:t>Importantly, differences in the pace and nature of dietary change between urban and rural populations reinforce the need to explicitly account for contextual factors in analyses of nutrition transition.</w:t>
      </w:r>
      <w:r w:rsidR="00D61569" w:rsidRPr="00D71FF2">
        <w:rPr>
          <w:rFonts w:ascii="Times New Roman" w:hAnsi="Times New Roman" w:cs="Times New Roman"/>
        </w:rPr>
        <w:t xml:space="preserve"> </w:t>
      </w:r>
    </w:p>
    <w:p w14:paraId="38DB4F54" w14:textId="4F3FB281" w:rsidR="00511164" w:rsidRPr="00D71FF2" w:rsidRDefault="0075728F" w:rsidP="00052344">
      <w:pPr>
        <w:rPr>
          <w:rFonts w:ascii="Times New Roman" w:hAnsi="Times New Roman" w:cs="Times New Roman"/>
        </w:rPr>
      </w:pPr>
      <w:r w:rsidRPr="00D71FF2">
        <w:rPr>
          <w:rFonts w:ascii="Times New Roman" w:hAnsi="Times New Roman" w:cs="Times New Roman"/>
        </w:rPr>
        <w:t xml:space="preserve">Despite its importance, urban–rural context is not always readily usable in dietary datasets. Even in well-established cohort studies such as CHNS, challenges may arise in the </w:t>
      </w:r>
      <w:proofErr w:type="spellStart"/>
      <w:r w:rsidRPr="00D71FF2">
        <w:rPr>
          <w:rFonts w:ascii="Times New Roman" w:hAnsi="Times New Roman" w:cs="Times New Roman"/>
        </w:rPr>
        <w:t>operationalisation</w:t>
      </w:r>
      <w:proofErr w:type="spellEnd"/>
      <w:r w:rsidRPr="00D71FF2">
        <w:rPr>
          <w:rFonts w:ascii="Times New Roman" w:hAnsi="Times New Roman" w:cs="Times New Roman"/>
        </w:rPr>
        <w:t xml:space="preserve"> and consistent use of urban–rural classification due to changes in administrative definitions, population mobility, or differences in data availability across survey waves</w:t>
      </w:r>
      <w:r w:rsidR="000F77EB" w:rsidRPr="00D71FF2">
        <w:rPr>
          <w:rFonts w:ascii="Times New Roman" w:hAnsi="Times New Roman" w:cs="Times New Roman"/>
        </w:rPr>
        <w:fldChar w:fldCharType="begin"/>
      </w:r>
      <w:r w:rsidR="001A2DC4" w:rsidRPr="00D71FF2">
        <w:rPr>
          <w:rFonts w:ascii="Times New Roman" w:hAnsi="Times New Roman" w:cs="Times New Roman"/>
        </w:rPr>
        <w:instrText xml:space="preserve"> ADDIN ZOTERO_ITEM CSL_CITATION {"citationID":"nQQXk7qd","properties":{"unsorted":false,"formattedCitation":"\\super (13,14)\\nosupersub{}","plainCitation":"(13,14)","noteIndex":0},"citationItems":[{"id":1153,"uris":["http://zotero.org/users/12575705/items/RB4FU7WS"],"itemData":{"id":1153,"type":"article-journal","abstract":"Objectives. To demonstrate how inferences about rural?urban disparities in age-adjusted mortality are affected by the reclassification of rural and urban counties in the United States from 1970 to 2018.Methods. We compared estimates of rural?urban mortality disparities over time, produced through a time-varying classification of rural and urban counties, with counterfactual estimates of rural?urban disparities, assuming no changes in rural?urban classification since 1970. We evaluated mortality rates by decade of reclassification to assess selectivity in reclassification.Results. We found that reclassification amplified rural?urban mortality disparities and accounted for more than 25% of the rural disadvantage observed from 1970 to 2018. Mortality rates were lower in counties that reclassified from rural to urban than in counties that remained rural.Conclusions. Estimates of changing rural?urban mortality differentials are significantly influenced by rural?urban reclassification. On average, counties that have remained classified as rural over time have elevated mortality. Longitudinal research on rural?urban health disparities must consider the methodological and substantive implications of reclassification.Public Health Implications. Attention to rural?urban reclassification is necessary when evaluating or justifying policy interventions focusing on geographic health disparities.","container-title":"American Journal of Public Health","DOI":"10.2105/AJPH.2020.305895","ISSN":"0090-0036","issue":"12","journalAbbreviation":"Am J Public Health","page":"1814-1816","publisher":"American Public Health Association","title":"County Reclassifications and Rural–Urban Mortality Disparities in the United States (1970–2018)","URL":"https://doi.org/10.2105/AJPH.2020.305895","volume":"110","author":[{"family":"Brooks","given":"Matthew M."},{"family":"Mueller","given":"J. Tom"},{"family":"Thiede","given":"Brian C."}],"accessed":{"date-parts":[["2026",4,21]]},"issued":{"date-parts":[["2020",12,1]]}}},{"id":1155,"uris":["http://zotero.org/users/12575705/items/CF4C2GRH"],"itemData":{"id":1155,"type":"article-journal","container-title":"Environmental Science &amp; Technology","DOI":"10.1021/acs.est.4c06942","ISSN":"0013-936X","issue":"43","journalAbbreviation":"Environ. Sci. Technol.","page":"19178-19188","publisher":"American Chemical Society","title":"Delineating Urbanicity and Rurality: Impact on Environmental Exposure Assessment","URL":"https://doi.org/10.1021/acs.est.4c06942","volume":"58","author":[{"family":"Song","given":"Yimeng"},{"family":"Deziel","given":"Nicole C."},{"family":"Bell","given":"Michelle L."}],"issued":{"date-parts":[["2024",10,29]]}}}],"schema":"https://github.com/citation-style-language/schema/raw/master/csl-citation.json"} </w:instrText>
      </w:r>
      <w:r w:rsidR="000F77EB" w:rsidRPr="00D71FF2">
        <w:rPr>
          <w:rFonts w:ascii="Times New Roman" w:hAnsi="Times New Roman" w:cs="Times New Roman"/>
        </w:rPr>
        <w:fldChar w:fldCharType="separate"/>
      </w:r>
      <w:r w:rsidR="001A2DC4" w:rsidRPr="00D71FF2">
        <w:rPr>
          <w:rFonts w:ascii="Times New Roman" w:eastAsia="DengXian" w:hAnsi="Times New Roman" w:cs="Times New Roman"/>
          <w:kern w:val="0"/>
          <w:vertAlign w:val="superscript"/>
        </w:rPr>
        <w:t>(13,14)</w:t>
      </w:r>
      <w:r w:rsidR="000F77EB" w:rsidRPr="00D71FF2">
        <w:rPr>
          <w:rFonts w:ascii="Times New Roman" w:hAnsi="Times New Roman" w:cs="Times New Roman"/>
        </w:rPr>
        <w:fldChar w:fldCharType="end"/>
      </w:r>
      <w:r w:rsidR="00D61569" w:rsidRPr="00D71FF2">
        <w:rPr>
          <w:rFonts w:ascii="Times New Roman" w:hAnsi="Times New Roman" w:cs="Times New Roman"/>
        </w:rPr>
        <w:t xml:space="preserve">. </w:t>
      </w:r>
      <w:r w:rsidRPr="00D71FF2">
        <w:rPr>
          <w:rFonts w:ascii="Times New Roman" w:hAnsi="Times New Roman" w:cs="Times New Roman"/>
        </w:rPr>
        <w:t xml:space="preserve">More broadly, many widely used dietary datasets—including large-scale surveys in both high- and low-income settings—lack </w:t>
      </w:r>
      <w:proofErr w:type="spellStart"/>
      <w:r w:rsidRPr="00D71FF2">
        <w:rPr>
          <w:rFonts w:ascii="Times New Roman" w:hAnsi="Times New Roman" w:cs="Times New Roman"/>
        </w:rPr>
        <w:t>harmonised</w:t>
      </w:r>
      <w:proofErr w:type="spellEnd"/>
      <w:r w:rsidRPr="00D71FF2">
        <w:rPr>
          <w:rFonts w:ascii="Times New Roman" w:hAnsi="Times New Roman" w:cs="Times New Roman"/>
        </w:rPr>
        <w:t xml:space="preserve"> or consistently accessible indicators of urbanicity</w:t>
      </w:r>
      <w:r w:rsidR="005E4686" w:rsidRPr="00D71FF2">
        <w:rPr>
          <w:rFonts w:ascii="Times New Roman" w:hAnsi="Times New Roman" w:cs="Times New Roman"/>
        </w:rPr>
        <w:fldChar w:fldCharType="begin"/>
      </w:r>
      <w:r w:rsidR="005E4686" w:rsidRPr="00D71FF2">
        <w:rPr>
          <w:rFonts w:ascii="Times New Roman" w:hAnsi="Times New Roman" w:cs="Times New Roman"/>
        </w:rPr>
        <w:instrText xml:space="preserve"> ADDIN ZOTERO_ITEM CSL_CITATION {"citationID":"09g8S0Yk","properties":{"unsorted":false,"formattedCitation":"\\super (15,16)\\nosupersub{}","plainCitation":"(15,16)","noteIndex":0},"citationItems":[{"id":1157,"uris":["http://zotero.org/users/12575705/items/KHVKXN8M"],"itemData":{"id":1157,"type":"article-journal","abstract":"Geographic disparities in cancer outcomes represent a critical health equity challenge, with rural populations consistently experiencing poorer outcomes than urban populations. The lack of harmonised rurality measures creates substantial barriers to evidence synthesis and has precluded meta-analyses. This perspectives paper discusses concepts of rurality, identifies rurality classification systems used by cancer researchers in OECD countries that can be harmonised with the OECD Extended Typology, and develops recommendations for consistent rural-urban coding. Targeted searches of grey and published literature on cancer policy and rurality classification systems were conducted. The secondary analysis examined studies identified through systematic database searching of OVID Medline, Elsevier Embase, CINAHL, and Web of Science. From 289 studies across 22 OECD countries, twenty-seven rurality classification systems were identified, with eleven systems harmonised to create the Rural-Urban Classification System Harmonisation Framework featuring a consistent five-point rurality scale and standardised urban-rural dichotomisation. Implementation recommendations address system selection, standardised categorisation, and reporting standards. Adopting this harmonisation framework will improve research comparability and strengthen evidence to inform equitable cancer policies.","container-title":"The Lancet Regional Health – Western Pacific","DOI":"10.1016/j.lanwpc.2025.101737","ISSN":"2666-6065","publisher":"Elsevier","title":"Measuring cancer equity globally: harmonising international rural-urban classifications for exploring cancer outcomes","URL":"https://doi.org/10.1016/j.lanwpc.2025.101737","volume":"66","author":[{"family":"Wright","given":"Charlene"},{"family":"Riva","given":"Sharina"},{"family":"Crichton","given":"Megan"},{"family":"Rodi","given":"Helena"},{"family":"Jongebloed","given":"Hannah"},{"family":"Leigh","given":"Lucy"},{"family":"Johnston","given":"Elizabeth A."},{"family":"Bergin","given":"Rebecca J."},{"family":"Chapman","given":"Anna"},{"family":"Alston","given":"Laura"},{"family":"Crawford–Williams","given":"Fiona"},{"family":"Hart","given":"Nicolas H."},{"family":"Rhee","given":"Joel"},{"family":"Gao","given":"Lan"},{"family":"Gunn","given":"Kate"},{"family":"Gasper","given":"Harry"},{"family":"Ugalde","given":"Anna"},{"family":"Marshall","given":"Skye"}],"accessed":{"date-parts":[["2026",4,22]]},"issued":{"date-parts":[["2026",1,1]]}}},{"id":1159,"uris":["http://zotero.org/users/12575705/items/CTQKQM9D"],"itemData":{"id":1159,"type":"article-journal","abstract":"Objective:Studies using the dietary inflammatory index often perform complete case analyses (CCA) to handle missing data, which may reduce the sample size and increase the risk of bias. Furthermore, population-level socio-economic differences in the energy-adjusted dietary inflammatory index (E-DII) have not been recently studied. Therefore, we aimed to describe socio-demographic differences in E-DII scores among American adults and compare the results using two statistical approaches for handling missing data, i.e. CCA and multiple imputation (MI).Design:Cross-sectional analysis. E-DII scores were computed using a 24-hour dietary recall. Linear regression was used to compare the E-DII scores by age, sex, race/ethnicity, education and income using both CCA and MI.Setting:USA.Participants:This study included 34 547 non-Hispanic White, non-Hispanic Black and Hispanic adults aged ≥ 20 years from the 2005–2018 National Health and Nutrition Examination Survey.Results:The MI and CCA subpopulations comprised 34 547 and 23 955 participants, respectively. Overall, 57 % of the American adults reported 24-hour dietary intakes associated with inflammation. Both methods showed similar patterns wherein 24-hour dietary intakes associated with high inflammation were commonly reported among males, younger adults, non-Hispanic Black adults and those with lower education or income. Differences in point estimates between CCA and MI were mostly modest at ≤ 20 %.Conclusions:The two approaches for handling missing data produced comparable point estimates and 95 % CI. Differences in the E-DII scores by age, sex, race/ethnicity, education and income suggest that socio-economic disparities in health may be partially explained by the inflammatory potential of diet.","archive":"Cambridge Core","container-title":"Public Health Nutrition","DOI":"10.1017/S1368980024001800","ISSN":"1368-9800","issue":"1","note":"edition: 2024/09/27","page":"e184","publisher":"Cambridge University Press","source":"Cambridge University Press","title":"Socio-demographic differences in the dietary inflammatory index from National Health and Nutrition Examination Survey 2005–2018: a comparison of multiple imputation versus complete case analysis","URL":"https://www.cambridge.org/core/product/7BEEA51160D7657B267F4C12A9AF1584","volume":"27","author":[{"family":"Meadows","given":"Rachel J"},{"family":"Paskett","given":"Electra D"},{"family":"Bower","given":"Julie K"},{"family":"Kaye","given":"Gail L"},{"family":"Lemeshow","given":"Stanley"},{"family":"Harris","given":"Randall E"}],"issued":{"date-parts":[["2024"]]}}}],"schema":"https://github.com/citation-style-language/schema/raw/master/csl-citation.json"} </w:instrText>
      </w:r>
      <w:r w:rsidR="005E4686" w:rsidRPr="00D71FF2">
        <w:rPr>
          <w:rFonts w:ascii="Times New Roman" w:hAnsi="Times New Roman" w:cs="Times New Roman"/>
        </w:rPr>
        <w:fldChar w:fldCharType="separate"/>
      </w:r>
      <w:r w:rsidR="005E4686" w:rsidRPr="00D71FF2">
        <w:rPr>
          <w:rFonts w:ascii="Times New Roman" w:eastAsia="DengXian" w:hAnsi="Times New Roman" w:cs="Times New Roman"/>
          <w:kern w:val="0"/>
          <w:vertAlign w:val="superscript"/>
        </w:rPr>
        <w:t>(15,16)</w:t>
      </w:r>
      <w:r w:rsidR="005E4686" w:rsidRPr="00D71FF2">
        <w:rPr>
          <w:rFonts w:ascii="Times New Roman" w:hAnsi="Times New Roman" w:cs="Times New Roman"/>
        </w:rPr>
        <w:fldChar w:fldCharType="end"/>
      </w:r>
      <w:r w:rsidR="00D61569" w:rsidRPr="00D71FF2">
        <w:rPr>
          <w:rFonts w:ascii="Times New Roman" w:hAnsi="Times New Roman" w:cs="Times New Roman"/>
        </w:rPr>
        <w:t>.</w:t>
      </w:r>
      <w:r w:rsidR="00511164" w:rsidRPr="00D71FF2">
        <w:rPr>
          <w:rFonts w:ascii="Times New Roman" w:hAnsi="Times New Roman" w:cs="Times New Roman"/>
        </w:rPr>
        <w:t xml:space="preserve"> These limitations create a data usability challenge</w:t>
      </w:r>
      <w:r w:rsidR="00A94654" w:rsidRPr="00D71FF2">
        <w:rPr>
          <w:rFonts w:ascii="Times New Roman" w:hAnsi="Times New Roman" w:cs="Times New Roman"/>
        </w:rPr>
        <w:t xml:space="preserve"> resulting in otherwise valuable dietary observations being </w:t>
      </w:r>
      <w:proofErr w:type="spellStart"/>
      <w:r w:rsidR="00A94654" w:rsidRPr="00D71FF2">
        <w:rPr>
          <w:rFonts w:ascii="Times New Roman" w:hAnsi="Times New Roman" w:cs="Times New Roman"/>
        </w:rPr>
        <w:t>underutilised</w:t>
      </w:r>
      <w:proofErr w:type="spellEnd"/>
      <w:r w:rsidR="00511164" w:rsidRPr="00D71FF2">
        <w:rPr>
          <w:rFonts w:ascii="Times New Roman" w:hAnsi="Times New Roman" w:cs="Times New Roman"/>
        </w:rPr>
        <w:t xml:space="preserve"> for analyses of nutrition transition and health inequalities. Incomplete or inconsistently applied contextual variables may lead to reduced sample size, limited comparability across studies, and potential bias when observations are excluded</w:t>
      </w:r>
      <w:bookmarkEnd w:id="1"/>
      <w:r w:rsidR="00511164" w:rsidRPr="00D71FF2">
        <w:rPr>
          <w:rFonts w:ascii="Times New Roman" w:hAnsi="Times New Roman" w:cs="Times New Roman"/>
        </w:rPr>
        <w:t xml:space="preserve"> </w:t>
      </w:r>
      <w:r w:rsidR="00043F86" w:rsidRPr="00D71FF2">
        <w:rPr>
          <w:rFonts w:ascii="Times New Roman" w:hAnsi="Times New Roman" w:cs="Times New Roman"/>
        </w:rPr>
        <w:fldChar w:fldCharType="begin"/>
      </w:r>
      <w:r w:rsidR="00043F86" w:rsidRPr="00D71FF2">
        <w:rPr>
          <w:rFonts w:ascii="Times New Roman" w:hAnsi="Times New Roman" w:cs="Times New Roman"/>
        </w:rPr>
        <w:instrText xml:space="preserve"> ADDIN ZOTERO_ITEM CSL_CITATION {"citationID":"iy78WvoI","properties":{"unsorted":false,"formattedCitation":"\\super (17,18)\\nosupersub{}","plainCitation":"(17,18)","noteIndex":0},"citationItems":[{"id":1160,"uris":["http://zotero.org/users/12575705/items/Q8MS54DW"],"itemData":{"id":1160,"type":"article-journal","abstract":"Nearest neighbor (NN) imputation algorithms are efficient methods to fill in missing data where each missing value on some records is replaced by a value obtained from related cases in the whole set of records. Besides the capability to substitute the missing data with plausible values that are as close as possible to the true value, imputation algorithms should preserve the original data structure and avoid to distort the distribution of the imputed variable. Despite the efficiency of NN algorithms little is known about the effect of these methods on data structure.","container-title":"BMC Medical Informatics and Decision Making","DOI":"10.1186/s12911-016-0318-z","ISSN":"1472-6947","issue":"3","journalAbbreviation":"BMC Medical Informatics and Decision Making","page":"74","title":"Nearest neighbor imputation algorithms: a critical evaluation","URL":"https://doi.org/10.1186/s12911-016-0318-z","volume":"16","author":[{"family":"Beretta","given":"Lorenzo"},{"family":"Santaniello","given":"Alessandro"}],"issued":{"date-parts":[["2016",7,25]]}}},{"id":1161,"uris":["http://zotero.org/users/12575705/items/YWQYXYE5"],"itemData":{"id":1161,"type":"article-journal","abstract":"Most studies have some missing data. Jonathan Sterne and colleagues describe the appropriate use and reporting of the multiple imputation approach to dealing with them Missing data are unavoidable in epidemiological and clinical research but their potential to undermine the validity of research results has often been overlooked in the medical literature.1 This is partly because statistical methods that can tackle problems arising from missing data have, until recently, not been readily accessible to medical researchers. However, multiple imputation—a relatively flexible, general purpose approach to dealing with missing data—is now available in standard statistical software,2 3 4 5 making it possible to handle missing data semiroutinely. Results based on this computationally intensive method are increasingly reported, but it needs to be applied carefully to avoid misleading conclusions.In this article, we review the reasons why missing data may lead to bias and loss of information in epidemiological and clinical research. We discuss the circumstances in which multiple imputation may help by reducing bias or increasing precision, as well as describing potential pitfalls in its application. Finally, we describe the recent use and reporting of analyses using multiple imputation in general medical journals, and suggest guidelines for the conduct and reporting of such analyses. Researchers usually address missing data by including in the analysis only complete cases —those individuals who have no missing data in any of the variables required for that analysis. However, results of such analyses can be biased. Furthermore, the cumulative effect of missing data in several variables often leads to exclusion of a substantial proportion of the original sample, which in turn causes a substantial loss of precision and power.The risk of bias due to missing data depends on the reasons why data are missing. Reasons for missing data are commonly classified as: missing …","container-title":"BMJ","DOI":"10.1136/bmj.b2393","journalAbbreviation":"BMJ","page":"b2393","title":"Multiple imputation for missing data in epidemiological and clinical research: potential and pitfalls","URL":"https://www.bmj.com/content/338/bmj.b2393.abstract","volume":"338","author":[{"family":"Sterne","given":"Jonathan A C"},{"family":"White","given":"Ian R"},{"family":"Carlin","given":"John B"},{"family":"Spratt","given":"Michael"},{"family":"Royston","given":"Patrick"},{"family":"Kenward","given":"Michael G"},{"family":"Wood","given":"Angela M"},{"family":"Carpenter","given":"James R"}],"issued":{"date-parts":[["2009",6,29]]}}}],"schema":"https://github.com/citation-style-language/schema/raw/master/csl-citation.json"} </w:instrText>
      </w:r>
      <w:r w:rsidR="00043F86" w:rsidRPr="00D71FF2">
        <w:rPr>
          <w:rFonts w:ascii="Times New Roman" w:hAnsi="Times New Roman" w:cs="Times New Roman"/>
        </w:rPr>
        <w:fldChar w:fldCharType="separate"/>
      </w:r>
      <w:r w:rsidR="00043F86" w:rsidRPr="00D71FF2">
        <w:rPr>
          <w:rFonts w:ascii="Times New Roman" w:eastAsia="DengXian" w:hAnsi="Times New Roman" w:cs="Times New Roman"/>
          <w:kern w:val="0"/>
          <w:vertAlign w:val="superscript"/>
        </w:rPr>
        <w:t>(17,18)</w:t>
      </w:r>
      <w:r w:rsidR="00043F86" w:rsidRPr="00D71FF2">
        <w:rPr>
          <w:rFonts w:ascii="Times New Roman" w:hAnsi="Times New Roman" w:cs="Times New Roman"/>
        </w:rPr>
        <w:fldChar w:fldCharType="end"/>
      </w:r>
      <w:r w:rsidR="00052344" w:rsidRPr="00D71FF2">
        <w:rPr>
          <w:rFonts w:ascii="Times New Roman" w:hAnsi="Times New Roman" w:cs="Times New Roman"/>
        </w:rPr>
        <w:t xml:space="preserve">. </w:t>
      </w:r>
    </w:p>
    <w:p w14:paraId="0DCA42F0" w14:textId="2E06D508" w:rsidR="00052344" w:rsidRPr="00D71FF2" w:rsidRDefault="00511164" w:rsidP="009061BA">
      <w:pPr>
        <w:rPr>
          <w:rFonts w:ascii="Times New Roman" w:hAnsi="Times New Roman" w:cs="Times New Roman"/>
        </w:rPr>
      </w:pPr>
      <w:r w:rsidRPr="00D71FF2">
        <w:rPr>
          <w:rFonts w:ascii="Times New Roman" w:hAnsi="Times New Roman" w:cs="Times New Roman"/>
        </w:rPr>
        <w:t xml:space="preserve">Existing approaches to addressing such limitations are typically not designed to </w:t>
      </w:r>
      <w:r w:rsidR="000B23C2" w:rsidRPr="00D71FF2">
        <w:rPr>
          <w:rFonts w:ascii="Times New Roman" w:hAnsi="Times New Roman" w:cs="Times New Roman"/>
        </w:rPr>
        <w:t xml:space="preserve">infer </w:t>
      </w:r>
      <w:r w:rsidRPr="00D71FF2">
        <w:rPr>
          <w:rFonts w:ascii="Times New Roman" w:hAnsi="Times New Roman" w:cs="Times New Roman"/>
        </w:rPr>
        <w:t xml:space="preserve">contextual variables from dietary data. Conventional methods such as simple imputation or k-nearest </w:t>
      </w:r>
      <w:proofErr w:type="spellStart"/>
      <w:r w:rsidRPr="00D71FF2">
        <w:rPr>
          <w:rFonts w:ascii="Times New Roman" w:hAnsi="Times New Roman" w:cs="Times New Roman"/>
        </w:rPr>
        <w:t>neighbours</w:t>
      </w:r>
      <w:proofErr w:type="spellEnd"/>
      <w:r w:rsidRPr="00D71FF2">
        <w:rPr>
          <w:rFonts w:ascii="Times New Roman" w:hAnsi="Times New Roman" w:cs="Times New Roman"/>
        </w:rPr>
        <w:t xml:space="preserve"> (KNN) may be less suitable in settings where relationships between dietary patterns and contextual factors are complex and non-linear</w:t>
      </w:r>
      <w:r w:rsidR="00FF309E" w:rsidRPr="00D71FF2">
        <w:rPr>
          <w:rFonts w:ascii="Times New Roman" w:hAnsi="Times New Roman" w:cs="Times New Roman"/>
        </w:rPr>
        <w:fldChar w:fldCharType="begin"/>
      </w:r>
      <w:r w:rsidR="009061BA" w:rsidRPr="00D71FF2">
        <w:rPr>
          <w:rFonts w:ascii="Times New Roman" w:hAnsi="Times New Roman" w:cs="Times New Roman"/>
        </w:rPr>
        <w:instrText xml:space="preserve"> ADDIN ZOTERO_ITEM CSL_CITATION {"citationID":"hPK6wRYw","properties":{"unsorted":false,"formattedCitation":"\\super (19,20)\\nosupersub{}","plainCitation":"(19,20)","noteIndex":0},"citationItems":[{"id":1162,"uris":["http://zotero.org/users/12575705/items/P6LFDEAK"],"itemData":{"id":1162,"type":"article-journal","abstract":"Abstract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Medicine","DOI":"https://doi.org/10.1002/sim.4067","issue":"4","note":"_eprint: https://onlinelibrary.wiley.com/doi/pdf/10.1002/sim.4067","page":"377-399","title":"Multiple imputation using chained equations: Issues and guidance for practice","URL":"https://onlinelibrary.wiley.com/doi/abs/10.1002/sim.4067","volume":"30","author":[{"family":"White","given":"Ian R."},{"family":"Royston","given":"Patrick"},{"family":"Wood","given":"Angela M."}],"issued":{"date-parts":[["2011"]]}}},{"id":1109,"uris":["http://zotero.org/users/12575705/items/2E8B7BCE"],"itemData":{"id":1109,"type":"paper-conference","abstract":"Tree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systems.","collection-title":"KDD '16","container-title":"Proceedings of the 22nd ACM SIGKDD International Conference on Knowledge Discovery and Data Mining","DOI":"10.1145/2939672.2939785","event-place":"San Francisco, California, USA","ISBN":"978-1-4503-4232-2","page":"785–794","publisher":"Association for Computing Machinery","publisher-place":"New York, NY, USA","title":"XGBoost: A Scalable Tree Boosting System","URL":"https://doi.org/10.1145/2939672.2939785","author":[{"family":"Chen","given":"Tianqi"},{"family":"Guestrin","given":"Carlos"}],"issued":{"date-parts":[["2016"]]}}}],"schema":"https://github.com/citation-style-language/schema/raw/master/csl-citation.json"} </w:instrText>
      </w:r>
      <w:r w:rsidR="00FF309E" w:rsidRPr="00D71FF2">
        <w:rPr>
          <w:rFonts w:ascii="Times New Roman" w:hAnsi="Times New Roman" w:cs="Times New Roman"/>
        </w:rPr>
        <w:fldChar w:fldCharType="separate"/>
      </w:r>
      <w:r w:rsidR="009061BA" w:rsidRPr="00D71FF2">
        <w:rPr>
          <w:rFonts w:ascii="Times New Roman" w:eastAsia="DengXian" w:hAnsi="Times New Roman" w:cs="Times New Roman"/>
          <w:kern w:val="0"/>
          <w:vertAlign w:val="superscript"/>
        </w:rPr>
        <w:t>(19,20)</w:t>
      </w:r>
      <w:r w:rsidR="00FF309E" w:rsidRPr="00D71FF2">
        <w:rPr>
          <w:rFonts w:ascii="Times New Roman" w:hAnsi="Times New Roman" w:cs="Times New Roman"/>
        </w:rPr>
        <w:fldChar w:fldCharType="end"/>
      </w:r>
      <w:r w:rsidR="00052344" w:rsidRPr="00D71FF2">
        <w:rPr>
          <w:rFonts w:ascii="Times New Roman" w:hAnsi="Times New Roman" w:cs="Times New Roman"/>
        </w:rPr>
        <w:t xml:space="preserve">. </w:t>
      </w:r>
      <w:r w:rsidR="009061BA" w:rsidRPr="00D71FF2">
        <w:rPr>
          <w:rFonts w:ascii="Times New Roman" w:hAnsi="Times New Roman" w:cs="Times New Roman"/>
        </w:rPr>
        <w:t xml:space="preserve">While multiple imputation approaches provide greater flexibility, they often rely on assumptions that may not hold for categorical variables derived from </w:t>
      </w:r>
      <w:proofErr w:type="spellStart"/>
      <w:r w:rsidR="009061BA" w:rsidRPr="00D71FF2">
        <w:rPr>
          <w:rFonts w:ascii="Times New Roman" w:hAnsi="Times New Roman" w:cs="Times New Roman"/>
        </w:rPr>
        <w:t>behavioural</w:t>
      </w:r>
      <w:proofErr w:type="spellEnd"/>
      <w:r w:rsidR="009061BA" w:rsidRPr="00D71FF2">
        <w:rPr>
          <w:rFonts w:ascii="Times New Roman" w:hAnsi="Times New Roman" w:cs="Times New Roman"/>
        </w:rPr>
        <w:t xml:space="preserve"> data </w:t>
      </w:r>
      <w:r w:rsidR="00043F86" w:rsidRPr="00D71FF2">
        <w:rPr>
          <w:rFonts w:ascii="Times New Roman" w:hAnsi="Times New Roman" w:cs="Times New Roman"/>
        </w:rPr>
        <w:fldChar w:fldCharType="begin"/>
      </w:r>
      <w:r w:rsidR="009061BA" w:rsidRPr="00D71FF2">
        <w:rPr>
          <w:rFonts w:ascii="Times New Roman" w:hAnsi="Times New Roman" w:cs="Times New Roman"/>
        </w:rPr>
        <w:instrText xml:space="preserve"> ADDIN ZOTERO_ITEM CSL_CITATION {"citationID":"r7Zt6CAt","properties":{"unsorted":false,"formattedCitation":"\\super (21)\\nosupersub{}","plainCitation":"(21)","noteIndex":0},"citationItems":[{"id":1114,"uris":["http://zotero.org/users/12575705/items/GWQ6V5R3"],"itemData":{"id":1114,"type":"document","note":"_eprint: 1705.07874","title":"A Unified Approach to Interpreting Model Predictions","URL":"https://arxiv.org/abs/1705.07874","author":[{"family":"Lundberg","given":"Scott"},{"family":"Lee","given":"Su-In"}],"issued":{"date-parts":[["2017"]]}}}],"schema":"https://github.com/citation-style-language/schema/raw/master/csl-citation.json"} </w:instrText>
      </w:r>
      <w:r w:rsidR="00043F86" w:rsidRPr="00D71FF2">
        <w:rPr>
          <w:rFonts w:ascii="Times New Roman" w:hAnsi="Times New Roman" w:cs="Times New Roman"/>
        </w:rPr>
        <w:fldChar w:fldCharType="separate"/>
      </w:r>
      <w:r w:rsidR="009061BA" w:rsidRPr="00D71FF2">
        <w:rPr>
          <w:rFonts w:ascii="Times New Roman" w:eastAsia="DengXian" w:hAnsi="Times New Roman" w:cs="Times New Roman"/>
          <w:kern w:val="0"/>
          <w:vertAlign w:val="superscript"/>
        </w:rPr>
        <w:t>(21)</w:t>
      </w:r>
      <w:r w:rsidR="00043F86" w:rsidRPr="00D71FF2">
        <w:rPr>
          <w:rFonts w:ascii="Times New Roman" w:hAnsi="Times New Roman" w:cs="Times New Roman"/>
        </w:rPr>
        <w:fldChar w:fldCharType="end"/>
      </w:r>
      <w:r w:rsidR="00052344" w:rsidRPr="00D71FF2">
        <w:rPr>
          <w:rFonts w:ascii="Times New Roman" w:hAnsi="Times New Roman" w:cs="Times New Roman"/>
        </w:rPr>
        <w:t xml:space="preserve">. </w:t>
      </w:r>
      <w:r w:rsidR="009061BA" w:rsidRPr="00D71FF2">
        <w:rPr>
          <w:rFonts w:ascii="Times New Roman" w:hAnsi="Times New Roman" w:cs="Times New Roman"/>
        </w:rPr>
        <w:t xml:space="preserve">Moreover, these methods generally treat contextual variables as independent inputs, rather than </w:t>
      </w:r>
      <w:proofErr w:type="spellStart"/>
      <w:r w:rsidR="009061BA" w:rsidRPr="00D71FF2">
        <w:rPr>
          <w:rFonts w:ascii="Times New Roman" w:hAnsi="Times New Roman" w:cs="Times New Roman"/>
        </w:rPr>
        <w:t>recognising</w:t>
      </w:r>
      <w:proofErr w:type="spellEnd"/>
      <w:r w:rsidR="009061BA" w:rsidRPr="00D71FF2">
        <w:rPr>
          <w:rFonts w:ascii="Times New Roman" w:hAnsi="Times New Roman" w:cs="Times New Roman"/>
        </w:rPr>
        <w:t xml:space="preserve"> that dietary patterns themselves may encode information about underlying social and environmental conditions.</w:t>
      </w:r>
    </w:p>
    <w:p w14:paraId="33823BD7" w14:textId="4E9B83AC" w:rsidR="002A5F5A" w:rsidRPr="00D71FF2" w:rsidRDefault="002A5F5A" w:rsidP="002A5F5A">
      <w:pPr>
        <w:rPr>
          <w:rFonts w:ascii="Times New Roman" w:hAnsi="Times New Roman" w:cs="Times New Roman"/>
        </w:rPr>
      </w:pPr>
      <w:r w:rsidRPr="00D71FF2">
        <w:rPr>
          <w:rFonts w:ascii="Times New Roman" w:hAnsi="Times New Roman" w:cs="Times New Roman"/>
        </w:rPr>
        <w:t>Recent advances in machine learning provide new opportunities to address this challenge. Ensemble learning methods, particularly gradient-boosted decision trees, have demonstrated strong performance in modelling complex, high-dimensional health data and capturing non-linear feature interactions</w:t>
      </w:r>
      <w:r w:rsidR="00DE488B" w:rsidRPr="00D71FF2">
        <w:rPr>
          <w:rFonts w:ascii="Times New Roman" w:hAnsi="Times New Roman" w:cs="Times New Roman"/>
        </w:rPr>
        <w:fldChar w:fldCharType="begin"/>
      </w:r>
      <w:r w:rsidR="00DE488B" w:rsidRPr="00D71FF2">
        <w:rPr>
          <w:rFonts w:ascii="Times New Roman" w:hAnsi="Times New Roman" w:cs="Times New Roman"/>
        </w:rPr>
        <w:instrText xml:space="preserve"> ADDIN ZOTERO_ITEM CSL_CITATION {"citationID":"wZ2w1Ict","properties":{"unsorted":false,"formattedCitation":"\\super (22,23)\\nosupersub{}","plainCitation":"(22,23)","noteIndex":0},"citationItems":[{"id":1163,"uris":["http://zotero.org/users/12575705/items/VTW2BFSE"],"itemData":{"id":1163,"type":"article-journal","abstract":"ABSTRACT\nThe role of agriculture in reducing undernutrition is widely recognized, yet there is also consensus on the need to make the sector nutrition-sensitive. Evidence on the impact pathways from nutrition-sensitive agriculture (NSA) interventions, agricultural interventions with specific nutrition objectives, and actions detailing each temporal stage to reach nutrition outcomes is limited, however. We thus synthesized study results regarding impact of NSA interventions on nutrition outcomes relating to undernutrition, and constructed an impact pathway by mapping the evidence on each temporal stage from interventions to nutrition outcomes. We used Preferred Reporting Items for Systematic Reviews and Meta-Analyses to conduct and report our systematic review of studies on NSA interventions implemented in low- and lower-middle-income countries. Forty-three studies that met the inclusion criteria were extracted and synthesized across impact and pathways analyses. We carried out a thematic analysis of the effect of NSA interventions using evidence-based indicators and constructed the pathways by adopting a published framework on agriculture to nutrition pathways. Our findings reveal that NSA interventions can significantly improve dietary practices, and have the potential to enhance care practices and reduce occurrence of diseases, indicating their effectiveness in simultaneously addressing multiple determinants of undernutrition. However, NSA interventions have a lesser impact on nutritional status. NSA interventions lead to nutrition outcomes through 5 key pathways: food production, nutrition-related knowledge, agricultural income, women's empowerment, and strengthening of local institutions. We emphasize the need to carefully design, implement, and evaluate interventions with consideration for factors affecting impact pathways. Future research should focus on the effect of interventions combining multisector components, and pathways through non-food-production-related income, women's empowerment, strengthening of local institutions, food prices at intervention level, and expenditure on health care.","container-title":"Advances in Nutrition","DOI":"10.1093/advances/nmaa103","ISSN":"2161-8313","issue":"1","journalAbbreviation":"Advances in Nutrition","page":"251-275","title":"Nutrition-Sensitive Agriculture: A Systematic Review of Impact Pathways to Nutrition Outcomes","URL":"https://www.sciencedirect.com/science/article/pii/S2161831322003787","volume":"12","author":[{"family":"Sharma","given":"Indu K"},{"family":"Di Prima","given":"Sabina"},{"family":"Essink","given":"Dirk"},{"family":"Broerse","given":"Jacqueline E W"}],"issued":{"date-parts":[["2021",1,1]]}}},{"id":1164,"uris":["http://zotero.org/users/12575705/items/DBB74HNI"],"itemData":{"id":1164,"type":"article-journal","abstract":"ABSTRACT\nData currently generated in the field of nutrition are becoming increasingly complex and high-dimensional, bringing with them new methods of data analysis. The characteristics of machine learning (ML) make it suitable for such analysis and thus lend itself as an alternative tool to deal with data of this nature. ML has already been applied in important problem areas in nutrition, such as obesity, metabolic health, and malnutrition. Despite this, experts in nutrition are often without an understanding of ML, which limits its application and therefore potential to solve currently open questions. The current article aims to bridge this knowledge gap by supplying nutrition researchers with a resource to facilitate the use of ML in their research. ML is first explained and distinguished from existing solutions, with key examples of applications in the nutrition literature provided. Two case studies of domains in which ML is particularly applicable, precision nutrition and metabolomics, are then presented. Finally, a framework is outlined to guide interested researchers in integrating ML into their work. By acting as a resource to which researchers can refer, we hope to support the integration of ML in the field of nutrition to facilitate modern research.","container-title":"Advances in Nutrition","DOI":"10.1093/advances/nmac103","ISSN":"2161-8313","issue":"6","journalAbbreviation":"Advances in Nutrition","page":"2573-2589","title":"Machine Learning in Nutrition Research","URL":"https://www.sciencedirect.com/science/article/pii/S2161831323000923","volume":"13","author":[{"family":"Kirk","given":"Daniel"},{"family":"Kok","given":"Esther"},{"family":"Tufano","given":"Michele"},{"family":"Tekinerdogan","given":"Bedir"},{"family":"Feskens","given":"Edith J M"},{"family":"Camps","given":"Guido"}],"issued":{"date-parts":[["2022",11,1]]}}}],"schema":"https://github.com/citation-style-language/schema/raw/master/csl-citation.json"} </w:instrText>
      </w:r>
      <w:r w:rsidR="00DE488B" w:rsidRPr="00D71FF2">
        <w:rPr>
          <w:rFonts w:ascii="Times New Roman" w:hAnsi="Times New Roman" w:cs="Times New Roman"/>
        </w:rPr>
        <w:fldChar w:fldCharType="separate"/>
      </w:r>
      <w:r w:rsidR="00DE488B" w:rsidRPr="00D71FF2">
        <w:rPr>
          <w:rFonts w:ascii="Times New Roman" w:eastAsia="DengXian" w:hAnsi="Times New Roman" w:cs="Times New Roman"/>
          <w:kern w:val="0"/>
          <w:vertAlign w:val="superscript"/>
        </w:rPr>
        <w:t>(22,23)</w:t>
      </w:r>
      <w:r w:rsidR="00DE488B" w:rsidRPr="00D71FF2">
        <w:rPr>
          <w:rFonts w:ascii="Times New Roman" w:hAnsi="Times New Roman" w:cs="Times New Roman"/>
        </w:rPr>
        <w:fldChar w:fldCharType="end"/>
      </w:r>
      <w:r w:rsidRPr="00D71FF2">
        <w:rPr>
          <w:rFonts w:ascii="Times New Roman" w:hAnsi="Times New Roman" w:cs="Times New Roman"/>
        </w:rPr>
        <w:t>. In nutritional epidemiology, such approaches have been increasingly applied to dietary pattern recognition, risk prediction, and food environment analysis</w:t>
      </w:r>
      <w:r w:rsidR="00DE488B" w:rsidRPr="00D71FF2">
        <w:rPr>
          <w:rFonts w:ascii="Times New Roman" w:hAnsi="Times New Roman" w:cs="Times New Roman"/>
        </w:rPr>
        <w:fldChar w:fldCharType="begin"/>
      </w:r>
      <w:r w:rsidR="00DE488B" w:rsidRPr="00D71FF2">
        <w:rPr>
          <w:rFonts w:ascii="Times New Roman" w:hAnsi="Times New Roman" w:cs="Times New Roman"/>
        </w:rPr>
        <w:instrText xml:space="preserve"> ADDIN ZOTERO_ITEM CSL_CITATION {"citationID":"vrwYsODJ","properties":{"unsorted":false,"formattedCitation":"\\super (24\\uc0\\u8211{}26)\\nosupersub{}","plainCitation":"(24–26)","noteIndex":0},"citationItems":[{"id":1113,"uris":["http://zotero.org/users/12575705/items/NF8EDG29"],"itemData":{"id":1113,"type":"article-journal","container-title":"International Journal of Epidemiology","DOI":"10.1093/ije/dyp322","ISSN":"0300-5771","issue":"6","journalAbbreviation":"International Journal of Epidemiology","page":"1435-1440","title":"Cohort Profile: The China Health and Nutrition Survey—monitoring and understanding socio-economic and health change in China, 1989–2011","URL":"https://doi.org/10.1093/ije/dyp322","volume":"39","author":[{"family":"Popkin","given":"Barry M"},{"family":"Du","given":"Shufa"},{"family":"Zhai","given":"Fengying"},{"family":"Zhang","given":"Bing"}],"accessed":{"date-parts":[["2026",3,28]]},"issued":{"date-parts":[["2010",12,1]]}}},{"id":1165,"uris":["http://zotero.org/users/12575705/items/TRU7I9V3"],"itemData":{"id":1165,"type":"book","edition":"6th","publisher":"Peking University Medical Press","publisher-place":"Beijing, China","title":"China Food Composition Tables, Book 1: Standard Edition","editor":[{"family":"Yang","given":"Yuexin"}],"issued":{"date-parts":[["2018"]]}}},{"id":1166,"uris":["http://zotero.org/users/12575705/items/WNHIKTKE"],"itemData":{"id":1166,"type":"article-journal","abstract":"BackgroundLow carbohydrate diets, which restrict carbohydrate in favour of increased protein or fat intake, or both, are a popular weight-loss strategy. However, the long-term effect of carbohydrate restriction on mortality is controversial and could depend on whether dietary carbohydrate is replaced by plant-based or animal-based fat and protein. We aimed to investigate the association between carbohydrate intake and mortality.","container-title":"The Lancet Public Health","DOI":"10.1016/S2468-2667(18)30135-X","ISSN":"2468-2667","issue":"9","page":"e419-e428","publisher":"Elsevier","title":"Dietary carbohydrate intake and mortality: a prospective cohort study and meta-analysis","URL":"https://doi.org/10.1016/S2468-2667(18)30135-X","volume":"3","author":[{"family":"Seidelmann","given":"Sara B"},{"family":"Claggett","given":"Brian"},{"family":"Cheng","given":"Susan"},{"family":"Henglin","given":"Mir"},{"family":"Shah","given":"Amil"},{"family":"Steffen","given":"Lyn M"},{"family":"Folsom","given":"Aaron R"},{"family":"Rimm","given":"Eric B"},{"family":"Willett","given":"Walter C"},{"family":"Solomon","given":"Scott D"}],"accessed":{"date-parts":[["2026",4,22]]},"issued":{"date-parts":[["2018",9,1]]}}}],"schema":"https://github.com/citation-style-language/schema/raw/master/csl-citation.json"} </w:instrText>
      </w:r>
      <w:r w:rsidR="00DE488B" w:rsidRPr="00D71FF2">
        <w:rPr>
          <w:rFonts w:ascii="Times New Roman" w:hAnsi="Times New Roman" w:cs="Times New Roman"/>
        </w:rPr>
        <w:fldChar w:fldCharType="separate"/>
      </w:r>
      <w:r w:rsidR="00DE488B" w:rsidRPr="00D71FF2">
        <w:rPr>
          <w:rFonts w:ascii="Times New Roman" w:eastAsia="DengXian" w:hAnsi="Times New Roman" w:cs="Times New Roman"/>
          <w:kern w:val="0"/>
          <w:vertAlign w:val="superscript"/>
        </w:rPr>
        <w:t>(24–26)</w:t>
      </w:r>
      <w:r w:rsidR="00DE488B" w:rsidRPr="00D71FF2">
        <w:rPr>
          <w:rFonts w:ascii="Times New Roman" w:hAnsi="Times New Roman" w:cs="Times New Roman"/>
        </w:rPr>
        <w:fldChar w:fldCharType="end"/>
      </w:r>
      <w:r w:rsidRPr="00D71FF2">
        <w:rPr>
          <w:rFonts w:ascii="Times New Roman" w:hAnsi="Times New Roman" w:cs="Times New Roman"/>
        </w:rPr>
        <w:t>. However, their potential to enhance the usability of dietary datasets—by inferring contextual variables from dietary information—remains underexplored.</w:t>
      </w:r>
    </w:p>
    <w:p w14:paraId="263E72DC" w14:textId="77777777" w:rsidR="002A5F5A" w:rsidRPr="00D71FF2" w:rsidRDefault="002A5F5A" w:rsidP="002A5F5A">
      <w:pPr>
        <w:rPr>
          <w:rFonts w:ascii="Times New Roman" w:hAnsi="Times New Roman" w:cs="Times New Roman"/>
        </w:rPr>
      </w:pPr>
      <w:r>
        <w:t>The present study addresses this gap by proposing a reproducible statistical evaluation protocol for assessing contextual label inference methods, using CHNS as an illustrative testbed. Rather than claiming optimal prediction, we establish a multi-dimensional validation framework that includes: (i) simulated missingness at varying rates; (ii) leave-one-year-out temporal generalisability; (iii) distributional fidelity via Jensen–Shannon divergence; (iv) probabilistic calibration assessment; and (v) downstream effect preservation. This protocol provides a template for future studies evaluating label-imputation methods when ground-truth contextual variables are available.</w:t>
      </w:r>
    </w:p>
    <w:bookmarkEnd w:id="0"/>
    <w:p w14:paraId="0D4BEB60" w14:textId="77777777" w:rsidR="006B25CB" w:rsidRPr="00D71FF2" w:rsidRDefault="006B25CB" w:rsidP="006B25CB">
      <w:pPr>
        <w:pStyle w:val="2"/>
      </w:pPr>
      <w:r w:rsidRPr="00D71FF2">
        <w:t>Methods</w:t>
      </w:r>
    </w:p>
    <w:p w14:paraId="7BB2D4B0" w14:textId="3A2E3504" w:rsidR="00692FA0" w:rsidRPr="00D71FF2" w:rsidRDefault="00B63BC3" w:rsidP="00692FA0">
      <w:pPr>
        <w:rPr>
          <w:rFonts w:ascii="Times New Roman" w:hAnsi="Times New Roman" w:cs="Times New Roman"/>
        </w:rPr>
      </w:pPr>
      <w:r w:rsidRPr="00D71FF2">
        <w:rPr>
          <w:rFonts w:ascii="Times New Roman" w:hAnsi="Times New Roman" w:cs="Times New Roman"/>
        </w:rPr>
        <w:t xml:space="preserve">The proposed framework infers urban–rural context from dietary patterns through four sequential stages: data preparation and quality control, dietary pattern representation, predictive modelling, </w:t>
      </w:r>
      <w:r w:rsidRPr="00D71FF2">
        <w:rPr>
          <w:rFonts w:ascii="Times New Roman" w:hAnsi="Times New Roman" w:cs="Times New Roman"/>
        </w:rPr>
        <w:lastRenderedPageBreak/>
        <w:t xml:space="preserve">and multi-dimensional evaluation. An overview is provided in </w:t>
      </w:r>
      <w:r w:rsidRPr="00D71FF2">
        <w:rPr>
          <w:rFonts w:ascii="Times New Roman" w:hAnsi="Times New Roman" w:cs="Times New Roman"/>
          <w:b/>
          <w:bCs/>
        </w:rPr>
        <w:t>Figure 1</w:t>
      </w:r>
      <w:r w:rsidRPr="00D71FF2">
        <w:rPr>
          <w:rFonts w:ascii="Times New Roman" w:hAnsi="Times New Roman" w:cs="Times New Roman"/>
        </w:rPr>
        <w:t>, with details described below.</w:t>
      </w:r>
    </w:p>
    <w:p w14:paraId="71625B62" w14:textId="519E4CA7"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Figure 1. </w:t>
      </w:r>
      <w:r w:rsidRPr="00D71FF2">
        <w:rPr>
          <w:rFonts w:ascii="Times New Roman" w:hAnsi="Times New Roman" w:cs="Times New Roman"/>
        </w:rPr>
        <w:t>Overview of the framework for inferring urban–rural classification from dietary patterns. The workflow includes four components.</w:t>
      </w:r>
    </w:p>
    <w:p w14:paraId="6558BE81" w14:textId="5C56FBE4"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(1) </w:t>
      </w:r>
      <w:r w:rsidR="001A2DC4" w:rsidRPr="00D71FF2">
        <w:rPr>
          <w:rFonts w:ascii="Times New Roman" w:hAnsi="Times New Roman" w:cs="Times New Roman"/>
          <w:b/>
          <w:bCs/>
        </w:rPr>
        <w:t>Dietary data</w:t>
      </w:r>
      <w:r w:rsidRPr="00D71FF2">
        <w:rPr>
          <w:rFonts w:ascii="Times New Roman" w:hAnsi="Times New Roman" w:cs="Times New Roman"/>
          <w:b/>
          <w:bCs/>
        </w:rPr>
        <w:t xml:space="preserve"> preparation:</w:t>
      </w:r>
      <w:r w:rsidRPr="00D71FF2">
        <w:rPr>
          <w:rFonts w:ascii="Times New Roman" w:hAnsi="Times New Roman" w:cs="Times New Roman"/>
        </w:rPr>
        <w:t xml:space="preserve"> exclusion of implausible energy intake (500–5,000 kcal/day) and </w:t>
      </w:r>
      <w:proofErr w:type="spellStart"/>
      <w:r w:rsidRPr="00D71FF2">
        <w:rPr>
          <w:rFonts w:ascii="Times New Roman" w:hAnsi="Times New Roman" w:cs="Times New Roman"/>
        </w:rPr>
        <w:t>harmonisation</w:t>
      </w:r>
      <w:proofErr w:type="spellEnd"/>
      <w:r w:rsidRPr="00D71FF2">
        <w:rPr>
          <w:rFonts w:ascii="Times New Roman" w:hAnsi="Times New Roman" w:cs="Times New Roman"/>
        </w:rPr>
        <w:t xml:space="preserve"> across survey waves.</w:t>
      </w:r>
    </w:p>
    <w:p w14:paraId="1891371A" w14:textId="381811B6"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(2) Dietary pattern </w:t>
      </w:r>
      <w:r w:rsidR="001A2DC4" w:rsidRPr="00D71FF2">
        <w:rPr>
          <w:rFonts w:ascii="Times New Roman" w:hAnsi="Times New Roman" w:cs="Times New Roman"/>
          <w:b/>
          <w:bCs/>
        </w:rPr>
        <w:t>representation</w:t>
      </w:r>
      <w:r w:rsidRPr="00D71FF2">
        <w:rPr>
          <w:rFonts w:ascii="Times New Roman" w:hAnsi="Times New Roman" w:cs="Times New Roman"/>
          <w:b/>
          <w:bCs/>
        </w:rPr>
        <w:t>:</w:t>
      </w:r>
      <w:r w:rsidRPr="00D71FF2">
        <w:rPr>
          <w:rFonts w:ascii="Times New Roman" w:hAnsi="Times New Roman" w:cs="Times New Roman"/>
        </w:rPr>
        <w:t xml:space="preserve"> transformation of dietary intake into macronutrient composition indicators (fat, carbohydrate, and protein energy ratios; fat-to-carbohydrate ratio), alongside contextual variables (survey year and province).</w:t>
      </w:r>
    </w:p>
    <w:p w14:paraId="15FBAAED" w14:textId="7DB85F0C" w:rsidR="00B63BC3" w:rsidRPr="00D71FF2" w:rsidRDefault="00B63BC3" w:rsidP="00B63BC3">
      <w:pPr>
        <w:rPr>
          <w:rFonts w:ascii="Times New Roman" w:hAnsi="Times New Roman" w:cs="Times New Roman"/>
        </w:rPr>
      </w:pPr>
      <w:r w:rsidRPr="00D71FF2">
        <w:rPr>
          <w:rFonts w:ascii="Times New Roman" w:hAnsi="Times New Roman" w:cs="Times New Roman"/>
          <w:b/>
          <w:bCs/>
        </w:rPr>
        <w:t xml:space="preserve">(3) </w:t>
      </w:r>
      <w:r w:rsidR="001A2DC4" w:rsidRPr="00D71FF2">
        <w:rPr>
          <w:rFonts w:ascii="Times New Roman" w:hAnsi="Times New Roman" w:cs="Times New Roman"/>
          <w:b/>
          <w:bCs/>
        </w:rPr>
        <w:t>Model framework</w:t>
      </w:r>
      <w:r w:rsidRPr="00D71FF2">
        <w:rPr>
          <w:rFonts w:ascii="Times New Roman" w:hAnsi="Times New Roman" w:cs="Times New Roman"/>
          <w:b/>
          <w:bCs/>
        </w:rPr>
        <w:t xml:space="preserve">: </w:t>
      </w:r>
      <w:r w:rsidRPr="00D71FF2">
        <w:rPr>
          <w:rFonts w:ascii="Times New Roman" w:hAnsi="Times New Roman" w:cs="Times New Roman"/>
        </w:rPr>
        <w:t>a gradient-boosted decision tree model trained on 80% of the data (n = 81,540), with five-fold cross-validation and class weighting to account for imbalance.</w:t>
      </w:r>
    </w:p>
    <w:p w14:paraId="72D90EB3" w14:textId="77777777" w:rsidR="00B63BC3" w:rsidRPr="00D71FF2" w:rsidRDefault="00B63BC3" w:rsidP="00B63BC3">
      <w:pPr>
        <w:rPr>
          <w:rFonts w:ascii="Times New Roman" w:hAnsi="Times New Roman" w:cs="Times New Roman"/>
        </w:rPr>
      </w:pPr>
      <w:r w:rsidRPr="00D71FF2">
        <w:rPr>
          <w:rFonts w:ascii="Times New Roman" w:hAnsi="Times New Roman" w:cs="Times New Roman"/>
          <w:b/>
          <w:bCs/>
        </w:rPr>
        <w:t>(4) Evaluation framework:</w:t>
      </w:r>
      <w:r w:rsidRPr="00D71FF2">
        <w:rPr>
          <w:rFonts w:ascii="Times New Roman" w:hAnsi="Times New Roman" w:cs="Times New Roman"/>
        </w:rPr>
        <w:t xml:space="preserve"> performance assessed on the held-out test set (n = 20,386) under simulated missingness, including classification accuracy, robustness across missing rates, distributional agreement, temporal </w:t>
      </w:r>
      <w:proofErr w:type="spellStart"/>
      <w:r w:rsidRPr="00D71FF2">
        <w:rPr>
          <w:rFonts w:ascii="Times New Roman" w:hAnsi="Times New Roman" w:cs="Times New Roman"/>
        </w:rPr>
        <w:t>generalisability</w:t>
      </w:r>
      <w:proofErr w:type="spellEnd"/>
      <w:r w:rsidRPr="00D71FF2">
        <w:rPr>
          <w:rFonts w:ascii="Times New Roman" w:hAnsi="Times New Roman" w:cs="Times New Roman"/>
        </w:rPr>
        <w:t>, calibration, and preservation of downstream epidemiological associations.</w:t>
      </w:r>
    </w:p>
    <w:p w14:paraId="74EC2024" w14:textId="0C15E99C" w:rsidR="00583786" w:rsidRPr="00D71FF2" w:rsidRDefault="00B63BC3" w:rsidP="00B63BC3">
      <w:pPr>
        <w:rPr>
          <w:rFonts w:ascii="Times New Roman" w:hAnsi="Times New Roman" w:cs="Times New Roman"/>
        </w:rPr>
      </w:pPr>
      <w:r>
        <w:t>The output is a three-category contextual classification: Rural and Urban follow the CHNS administrative indicator (T2), with a Transitional stratum defined by fat energy ratio between 23% and 30% to capture intermediate dietary composition within either administrative group.</w:t>
      </w:r>
    </w:p>
    <w:p w14:paraId="34918B61" w14:textId="77777777" w:rsidR="006B25CB" w:rsidRPr="00D71FF2" w:rsidRDefault="006B25CB" w:rsidP="006B25CB">
      <w:pPr>
        <w:pStyle w:val="3"/>
      </w:pPr>
      <w:r w:rsidRPr="00D71FF2">
        <w:t>Study Design and Data Source</w:t>
      </w:r>
    </w:p>
    <w:p w14:paraId="55720DD4" w14:textId="77777777" w:rsidR="00B63BC3" w:rsidRPr="00D71FF2" w:rsidRDefault="00B63BC3" w:rsidP="006B25CB">
      <w:pPr>
        <w:rPr>
          <w:rFonts w:ascii="Times New Roman" w:hAnsi="Times New Roman" w:cs="Times New Roman"/>
        </w:rPr>
      </w:pPr>
      <w:r w:rsidRPr="00D71FF2">
        <w:rPr>
          <w:rFonts w:ascii="Times New Roman" w:hAnsi="Times New Roman" w:cs="Times New Roman"/>
        </w:rPr>
        <w:t>We conducted a methodological study to develop and evaluate a data-driven approach for inferring urban–rural classification from routinely collected dietary data. The analysis used data from the China Health and Nutrition Survey (CHNS), an ongoing longitudinal cohort examining the effects of social and economic change on nutrition and health in China</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{"citationID":"g2xC9LMZ","properties":{"unsorted":false,"formattedCitation":"\\super (24)\\nosupersub{}","plainCitation":"(24)","noteIndex":0},"citationItems":[{"id":1113,"uris":["http://zotero.org/users/12575705/items/NF8EDG29"],"itemData":{"id":1113,"type":"article-journal","container-title":"International Journal of Epidemiology","DOI":"10.1093/ije/dyp322","ISSN":"0300-5771","issue":"6","journalAbbreviation":"International Journal of Epidemiology","page":"1435-1440","title":"Cohort Profile: The China Health and Nutrition Survey—monitoring and understanding socio-economic and health change in China, 1989–2011","URL":"https://doi.org/10.1093/ije/dyp322","volume":"39","author":[{"family":"Popkin","given":"Barry M"},{"family":"Du","given":"Shufa"},{"family":"Zhai","given":"Fengying"},{"family":"Zhang","given":"Bing"}],"accessed":{"date-parts":[["2026",3,28]]},"issued":{"date-parts":[["2010",12,1]]}}}],"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(24)</w:t>
      </w:r>
      <w:r w:rsidR="00D44546" w:rsidRPr="00D71FF2">
        <w:rPr>
          <w:rFonts w:ascii="Times New Roman" w:hAnsi="Times New Roman" w:cs="Times New Roman"/>
        </w:rPr>
        <w:fldChar w:fldCharType="end"/>
      </w:r>
      <w:r w:rsidR="006B25CB" w:rsidRPr="00D71FF2">
        <w:rPr>
          <w:rFonts w:ascii="Times New Roman" w:hAnsi="Times New Roman" w:cs="Times New Roman"/>
        </w:rPr>
        <w:t xml:space="preserve">. </w:t>
      </w:r>
    </w:p>
    <w:p w14:paraId="74B0BE64" w14:textId="4F3B51EC" w:rsidR="006B25CB" w:rsidRPr="00D71FF2" w:rsidRDefault="00B63BC3" w:rsidP="006B25CB">
      <w:pPr>
        <w:rPr>
          <w:rFonts w:ascii="Times New Roman" w:hAnsi="Times New Roman" w:cs="Times New Roman"/>
        </w:rPr>
      </w:pPr>
      <w:r w:rsidRPr="00D71FF2">
        <w:rPr>
          <w:rFonts w:ascii="Times New Roman" w:hAnsi="Times New Roman" w:cs="Times New Roman"/>
        </w:rPr>
        <w:t>The CHNS employs a multistage, random cluster sampling design across diverse provinces and municipalities that vary in geography and economic development. For this study, we used eight survey waves (1991–2011). Dietary intake was assessed using three consecutive 24-hour recalls, from which average daily nutrient intakes were calculated using the China Food Composition Tables</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{"citationID":"2DZQKKce","properties":{"unsorted":false,"formattedCitation":"\\super (25)\\nosupersub{}","plainCitation":"(25)","noteIndex":0},"citationItems":[{"id":1165,"uris":["http://zotero.org/users/12575705/items/TRU7I9V3"],"itemData":{"id":1165,"type":"book","edition":"6th","publisher":"Peking University Medical Press","publisher-place":"Beijing, China","title":"China Food Composition Tables, Book 1: Standard Edition","editor":[{"family":"Yang","given":"Yuexin"}],"issued":{"date-parts":[["2018"]]}}}],"schema":"https://github.com/citation-style-language/schema/raw/master/csl-citation.json"}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(25)</w:t>
      </w:r>
      <w:r w:rsidR="00D44546" w:rsidRPr="00D71FF2">
        <w:rPr>
          <w:rFonts w:ascii="Times New Roman" w:hAnsi="Times New Roman" w:cs="Times New Roman"/>
        </w:rPr>
        <w:fldChar w:fldCharType="end"/>
      </w:r>
      <w:r w:rsidR="006B25CB" w:rsidRPr="00D71FF2">
        <w:rPr>
          <w:rFonts w:ascii="Times New Roman" w:hAnsi="Times New Roman" w:cs="Times New Roman"/>
        </w:rPr>
        <w:t>. The analytic sample was restricted to adults aged 18 years and older with complete data on key nutrient variables.</w:t>
      </w:r>
    </w:p>
    <w:p w14:paraId="3B84F1F9" w14:textId="77777777" w:rsidR="006B25CB" w:rsidRPr="00D71FF2" w:rsidRDefault="006B25CB" w:rsidP="006B25CB">
      <w:pPr>
        <w:pStyle w:val="3"/>
      </w:pPr>
      <w:r w:rsidRPr="00D71FF2">
        <w:t>Data Quality Control</w:t>
      </w:r>
    </w:p>
    <w:p w14:paraId="7643A9CE" w14:textId="7F820F92" w:rsidR="006B25CB" w:rsidRPr="00D71FF2" w:rsidRDefault="00B63BC3" w:rsidP="006B25CB">
      <w:pPr>
        <w:rPr>
          <w:rFonts w:ascii="Times New Roman" w:hAnsi="Times New Roman" w:cs="Times New Roman"/>
        </w:rPr>
      </w:pPr>
      <w:r w:rsidRPr="00D71FF2">
        <w:rPr>
          <w:rFonts w:ascii="Times New Roman" w:hAnsi="Times New Roman" w:cs="Times New Roman"/>
        </w:rPr>
        <w:t>Two criteria were applied. First, observations with missing values in key nutrient variables were excluded. Second, total energy intake was restricted to 500–5,000 kcal/day to remove implausible values</w:t>
      </w:r>
      <w:r w:rsidR="00391A25" w:rsidRPr="00D71FF2">
        <w:rPr>
          <w:rFonts w:ascii="Times New Roman" w:hAnsi="Times New Roman" w:cs="Times New Roman"/>
        </w:rPr>
        <w:fldChar w:fldCharType="begin"/>
      </w:r>
      <w:r w:rsidR="00391A25" w:rsidRPr="00D71FF2">
        <w:rPr>
          <w:rFonts w:ascii="Times New Roman" w:hAnsi="Times New Roman" w:cs="Times New Roman"/>
        </w:rPr>
        <w:instrText xml:space="preserve"> ADDIN ZOTERO_ITEM CSL_CITATION {"citationID":"i0B0BsrG","properties":{"unsorted":false,"formattedCitation":"\\super (26)\\nosupersub{}","plainCitation":"(26)","noteIndex":0},"citationItems":[{"id":1166,"uris":["http://zotero.org/users/12575705/items/WNHIKTKE"],"itemData":{"id":1166,"type":"article-journal","abstract":"BackgroundLow carbohydrate diets, which restrict carbohydrate in favour of increased protein or fat intake, or both, are a popular weight-loss strategy. However, the long-term effect of carbohydrate restriction on mortality is controversial and could depend on whether dietary carbohydrate is replaced by plant-based or animal-based fat and protein. We aimed to investigate the association between carbohydrate intake and mortality.","container-title":"The Lancet Public Health","DOI":"10.1016/S2468-2667(18)30135-X","ISSN":"2468-2667","issue":"9","page":"e419-e428","publisher":"Elsevier","title":"Dietary carbohydrate intake and mortality: a prospective cohort study and meta-analysis","URL":"https://doi.org/10.1016/S2468-2667(18)30135-X","volume":"3","author":[{"family":"Seidelmann","given":"Sara B"},{"family":"Claggett","given":"Brian"},{"family":"Cheng","given":"Susan"},{"family":"Henglin","given":"Mir"},{"family":"Shah","given":"Amil"},{"family":"Steffen","given":"Lyn M"},{"family":"Folsom","given":"Aaron R"},{"family":"Rimm","given":"Eric B"},{"family":"Willett","given":"Walter C"},{"family":"Solomon","given":"Scott D"}],"accessed":{"date-parts":[["2026",4,22]]},"issued":{"date-parts":[["2018",9,1]]}}}],"schema":"https://github.com/citation-style-language/schema/raw/master/csl-citation.json"} </w:instrText>
      </w:r>
      <w:r w:rsidR="00391A25" w:rsidRPr="00D71FF2">
        <w:rPr>
          <w:rFonts w:ascii="Times New Roman" w:hAnsi="Times New Roman" w:cs="Times New Roman"/>
        </w:rPr>
        <w:fldChar w:fldCharType="separate"/>
      </w:r>
      <w:r w:rsidR="00391A25" w:rsidRPr="00D71FF2">
        <w:rPr>
          <w:rFonts w:ascii="Times New Roman" w:eastAsia="DengXian" w:hAnsi="Times New Roman" w:cs="Times New Roman"/>
          <w:kern w:val="0"/>
          <w:vertAlign w:val="superscript"/>
        </w:rPr>
        <w:t>(26)</w:t>
      </w:r>
      <w:r w:rsidR="00391A25" w:rsidRPr="00D71FF2">
        <w:rPr>
          <w:rFonts w:ascii="Times New Roman" w:hAnsi="Times New Roman" w:cs="Times New Roman"/>
        </w:rPr>
        <w:fldChar w:fldCharType="end"/>
      </w:r>
      <w:r w:rsidR="006B25CB" w:rsidRPr="00D71FF2">
        <w:rPr>
          <w:rFonts w:ascii="Times New Roman" w:hAnsi="Times New Roman" w:cs="Times New Roman"/>
        </w:rPr>
        <w:t xml:space="preserve">. </w:t>
      </w:r>
      <w:r w:rsidRPr="00D71FF2">
        <w:rPr>
          <w:rFonts w:ascii="Times New Roman" w:hAnsi="Times New Roman" w:cs="Times New Roman"/>
        </w:rPr>
        <w:t>The final sample included 101,926 observations</w:t>
      </w:r>
      <w:r w:rsidR="006B25CB" w:rsidRPr="00D71FF2">
        <w:rPr>
          <w:rFonts w:ascii="Times New Roman" w:hAnsi="Times New Roman" w:cs="Times New Roman"/>
        </w:rPr>
        <w:t>.</w:t>
      </w:r>
    </w:p>
    <w:p w14:paraId="1CD64790" w14:textId="77777777" w:rsidR="006B25CB" w:rsidRPr="00D71FF2" w:rsidRDefault="006B25CB" w:rsidP="006B25CB">
      <w:pPr>
        <w:pStyle w:val="3"/>
      </w:pPr>
      <w:r w:rsidRPr="00D71FF2">
        <w:t>Outcome Definition: Three-Category Urban–Rural Classification</w:t>
      </w:r>
    </w:p>
    <w:p w14:paraId="1142024B" w14:textId="77777777" w:rsidR="00B63BC3" w:rsidRPr="00D71FF2" w:rsidRDefault="00B63BC3" w:rsidP="006B25CB">
      <w:pPr>
        <w:rPr>
          <w:rFonts w:ascii="Times New Roman" w:hAnsi="Times New Roman" w:cs="Times New Roman"/>
        </w:rPr>
      </w:pPr>
      <w:r>
        <w:t>The CHNS includes an administrative urban–rural indicator (T2: 1 = urban, 2 = rural). We used this variable as the reference standard for Rural and Urban categories, reflecting the primary inferential target when contextual residence labels are missing in external datasets.</w:t>
      </w:r>
    </w:p>
    <w:p w14:paraId="63841F60" w14:textId="6573ED5C" w:rsidR="006B25CB" w:rsidRPr="00D71FF2" w:rsidRDefault="00B63BC3" w:rsidP="006B25CB">
      <w:pPr>
        <w:rPr>
          <w:rFonts w:ascii="Times New Roman" w:hAnsi="Times New Roman" w:cs="Times New Roman"/>
        </w:rPr>
      </w:pPr>
      <w:r>
        <w:t>To retain a three-category structure that also captures intermediate dietary composition, we overlaid a Transitional stratum defined by fat energy ratio (FatER) between 23% and 30%, consistent with prior nutrition transition research in China. Observations in this band were assigned to Transitional regardless of T2.</w:t>
      </w:r>
    </w:p>
    <w:p w14:paraId="17D8F34D" w14:textId="77777777" w:rsidR="00B63BC3" w:rsidRPr="00D71FF2" w:rsidRDefault="00B63BC3" w:rsidP="00B63BC3">
      <w:pPr>
        <w:rPr>
          <w:rFonts w:ascii="Times New Roman" w:hAnsi="Times New Roman" w:cs="Times New Roman"/>
        </w:rPr>
      </w:pPr>
      <w:r w:rsidRPr="00D71FF2">
        <w:rPr>
          <w:rFonts w:ascii="Times New Roman" w:hAnsi="Times New Roman" w:cs="Times New Roman"/>
        </w:rPr>
        <w:t>Categories were defined as:</w:t>
      </w:r>
    </w:p>
    <w:p w14:paraId="403BE47B" w14:textId="77777777" w:rsidR="00B63BC3" w:rsidRPr="00D71FF2" w:rsidRDefault="00B63BC3" w:rsidP="000708C3">
      <w:pPr>
        <w:pStyle w:val="a9"/>
        <w:numPr>
          <w:ilvl w:val="0"/>
          <w:numId w:val="3"/>
        </w:numPr>
        <w:rPr>
          <w:rFonts w:ascii="Times New Roman" w:hAnsi="Times New Roman" w:cs="Times New Roman"/>
        </w:rPr>
      </w:pPr>
      <w:r>
        <w:t>Rural: T2 = rural (2), unless FatER is 23–30% (Transitional)</w:t>
      </w:r>
    </w:p>
    <w:p w14:paraId="54B919D3" w14:textId="77777777" w:rsidR="00B63BC3" w:rsidRPr="00D71FF2" w:rsidRDefault="00B63BC3" w:rsidP="000708C3">
      <w:pPr>
        <w:pStyle w:val="a9"/>
        <w:numPr>
          <w:ilvl w:val="0"/>
          <w:numId w:val="3"/>
        </w:numPr>
        <w:rPr>
          <w:rFonts w:ascii="Times New Roman" w:hAnsi="Times New Roman" w:cs="Times New Roman"/>
        </w:rPr>
      </w:pPr>
      <w:r>
        <w:t>Transitional: FatER 23–30% (overrides T2 assignment)</w:t>
      </w:r>
    </w:p>
    <w:p w14:paraId="5C209702" w14:textId="77777777" w:rsidR="00B63BC3" w:rsidRPr="00D71FF2" w:rsidRDefault="00B63BC3" w:rsidP="000708C3">
      <w:pPr>
        <w:pStyle w:val="a9"/>
        <w:numPr>
          <w:ilvl w:val="0"/>
          <w:numId w:val="3"/>
        </w:numPr>
        <w:rPr>
          <w:rFonts w:ascii="Times New Roman" w:hAnsi="Times New Roman" w:cs="Times New Roman"/>
        </w:rPr>
      </w:pPr>
      <w:r>
        <w:t>Urban: T2 = urban (1), unless FatER is 23–30% (Transitional)</w:t>
      </w:r>
    </w:p>
    <w:p w14:paraId="2E351D78" w14:textId="22A2ED2F" w:rsidR="00A94654" w:rsidRPr="00D71FF2" w:rsidRDefault="00B63BC3" w:rsidP="00B63BC3">
      <w:pPr>
        <w:rPr>
          <w:rFonts w:ascii="Times New Roman" w:hAnsi="Times New Roman" w:cs="Times New Roman"/>
        </w:rPr>
      </w:pPr>
      <w:r>
        <w:t>The primary inferential target of this framework is the binary administrative T2 status (Urban vs. Rural). The three-class structure is retained solely for descriptive epidemiological stratification. Consequently, when interpreting model performance, primary conclusions regarding inference accuracy are based on the binary Rural/Urban discrimination task, not the three-class overall accuracy. Because Transitional is defined using FatER 23–30% and macronutrient predictors are included in the feature set, partial definitional overlap exists for this category; high Transitional accuracy should be interpreted accordingly.</w:t>
      </w:r>
    </w:p>
    <w:p w14:paraId="4F51ED1B" w14:textId="197C79EA" w:rsidR="006B25CB" w:rsidRPr="00D71FF2" w:rsidRDefault="00730E7D" w:rsidP="006B25CB">
      <w:pPr>
        <w:pStyle w:val="3"/>
      </w:pPr>
      <w:r w:rsidRPr="00D71FF2">
        <w:t>Dietary Pattern Representation</w:t>
      </w:r>
    </w:p>
    <w:p w14:paraId="15020B9D" w14:textId="4A073627" w:rsidR="006B25CB" w:rsidRPr="00D71FF2" w:rsidRDefault="000708C3" w:rsidP="006B25CB">
      <w:pPr>
        <w:rPr>
          <w:rFonts w:ascii="Times New Roman" w:hAnsi="Times New Roman" w:cs="Times New Roman"/>
        </w:rPr>
      </w:pPr>
      <w:r w:rsidRPr="00D71FF2">
        <w:rPr>
          <w:rFonts w:ascii="Times New Roman" w:hAnsi="Times New Roman" w:cs="Times New Roman"/>
        </w:rPr>
        <w:t>Dietary patterns were represented using macronutrient composition measures independent of total energy intake, facilitating comparability across individuals.</w:t>
      </w:r>
      <w:r w:rsidR="000622CB" w:rsidRPr="00D71FF2">
        <w:rPr>
          <w:rFonts w:ascii="Times New Roman" w:hAnsi="Times New Roman" w:cs="Times New Roman"/>
        </w:rPr>
        <w:t xml:space="preserve"> The following indicators were calculated:</w:t>
      </w:r>
    </w:p>
    <w:p w14:paraId="0A84419B"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 Energy Ratio (</w:t>
      </w:r>
      <w:proofErr w:type="spellStart"/>
      <w:r w:rsidRPr="00D71FF2">
        <w:rPr>
          <w:rFonts w:ascii="Times New Roman" w:hAnsi="Times New Roman" w:cs="Times New Roman"/>
          <w:b/>
          <w:bCs/>
        </w:rPr>
        <w:t>FatER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dietary fat:</w:t>
      </w:r>
    </w:p>
    <w:p w14:paraId="29F8CE92" w14:textId="546FB790" w:rsidR="006B25CB" w:rsidRPr="00D71FF2" w:rsidRDefault="006B25CB" w:rsidP="006B25CB">
      <w:pPr>
        <w:rPr>
          <w:rFonts w:ascii="Times New Roman" w:hAnsi="Times New Roman" w:cs="Times New Roman"/>
          <w:b/>
          <w:bCs/>
        </w:rPr>
      </w:pPr>
      <w:proofErr w:type="spellStart"/>
      <m:oMathPara>
        <m:oMathParaPr>
          <m:jc m:val="right"/>
        </m:oMathParaPr>
        <m:oMath>
          <m:r>
            <m:rPr>
              <m:nor/>
            </m:rPr>
            <w:rPr>
              <w:rFonts w:ascii="Times New Roman" w:hAnsi="Times New Roman" w:cs="Times New Roman"/>
            </w:rPr>
            <m:t>FatER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r>
                <w:rPr>
                  <w:rFonts w:ascii="Cambria Math" w:hAnsi="Cambria Math" w:cs="Times New Roman"/>
                </w:rPr>
                <m:t>×9</m:t>
              </m:r>
            </m:num>
            <m:den>
              <m:r>
                <m:rPr>
                  <m:nor/>
                </m:rPr>
                <w:rPr>
                  <w:rFonts w:ascii="Times New Roman" w:hAnsi="Times New Roman" w:cs="Times New Roman"/>
                </w:rPr>
                <m:t>Total Energy (kcal)</m:t>
              </m:r>
            </m:den>
          </m:f>
          <m:r>
            <w:rPr>
              <w:rFonts w:ascii="Cambria Math" w:hAnsi="Cambria Math" w:cs="Times New Roman"/>
            </w:rPr>
            <m:t xml:space="preserve">                                                               (1)</m:t>
          </m:r>
        </m:oMath>
      </m:oMathPara>
    </w:p>
    <w:p w14:paraId="338D17EC" w14:textId="3A675A1D" w:rsidR="006B25CB" w:rsidRPr="00D71FF2" w:rsidRDefault="006B25CB" w:rsidP="006B25CB">
      <w:pPr>
        <w:rPr>
          <w:rFonts w:ascii="Times New Roman" w:hAnsi="Times New Roman" w:cs="Times New Roman"/>
        </w:rPr>
      </w:pPr>
      <w:r w:rsidRPr="00D71FF2">
        <w:rPr>
          <w:rFonts w:ascii="Times New Roman" w:hAnsi="Times New Roman" w:cs="Times New Roman"/>
          <w:b/>
          <w:bCs/>
        </w:rPr>
        <w:t>Carbohydrate Energy Ratio (</w:t>
      </w:r>
      <w:proofErr w:type="spellStart"/>
      <w:r w:rsidRPr="00D71FF2">
        <w:rPr>
          <w:rFonts w:ascii="Times New Roman" w:hAnsi="Times New Roman" w:cs="Times New Roman"/>
          <w:b/>
          <w:bCs/>
        </w:rPr>
        <w:t>CarbER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carbohydrates:</w:t>
      </w:r>
    </w:p>
    <w:p w14:paraId="46DB890F" w14:textId="71EBAC1C"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w:lastRenderedPageBreak/>
            <m:t>CarbER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Carbohydrate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(2)</m:t>
          </m:r>
        </m:oMath>
      </m:oMathPara>
    </w:p>
    <w:p w14:paraId="6F25D37F"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Protein Energy Ratio (</w:t>
      </w:r>
      <w:proofErr w:type="spellStart"/>
      <w:r w:rsidRPr="00D71FF2">
        <w:rPr>
          <w:rFonts w:ascii="Times New Roman" w:hAnsi="Times New Roman" w:cs="Times New Roman"/>
          <w:b/>
          <w:bCs/>
        </w:rPr>
        <w:t>ProtER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protein:</w:t>
      </w:r>
    </w:p>
    <w:p w14:paraId="192FA12E" w14:textId="2890A1D3"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m:t>ProtER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Protein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(3)</m:t>
          </m:r>
        </m:oMath>
      </m:oMathPara>
    </w:p>
    <w:p w14:paraId="534726DE"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Fat-to-Carbohydrate Ratio (FCR)</w:t>
      </w:r>
      <w:r w:rsidRPr="00D71FF2">
        <w:rPr>
          <w:rFonts w:ascii="Times New Roman" w:hAnsi="Times New Roman" w:cs="Times New Roman"/>
        </w:rPr>
        <w:t xml:space="preserve"> captures the balance between fat and carbohydrate intake, reflecting the macronutrient substitution that </w:t>
      </w:r>
      <w:proofErr w:type="spellStart"/>
      <w:r w:rsidRPr="00D71FF2">
        <w:rPr>
          <w:rFonts w:ascii="Times New Roman" w:hAnsi="Times New Roman" w:cs="Times New Roman"/>
        </w:rPr>
        <w:t>characterises</w:t>
      </w:r>
      <w:proofErr w:type="spellEnd"/>
      <w:r w:rsidRPr="00D71FF2">
        <w:rPr>
          <w:rFonts w:ascii="Times New Roman" w:hAnsi="Times New Roman" w:cs="Times New Roman"/>
        </w:rPr>
        <w:t xml:space="preserve"> the nutrition transition:</w:t>
      </w:r>
    </w:p>
    <w:p w14:paraId="6BAB0596" w14:textId="76EADD7A" w:rsidR="006B25CB" w:rsidRPr="00D71FF2" w:rsidRDefault="006B25CB" w:rsidP="006B25CB">
      <w:pPr>
        <w:rPr>
          <w:rFonts w:ascii="Times New Roman" w:hAnsi="Times New Roman" w:cs="Times New Roman"/>
        </w:rPr>
      </w:pPr>
      <m:oMathPara>
        <m:oMathParaPr>
          <m:jc m:val="right"/>
        </m:oMathParaPr>
        <m:oMath>
          <m:r>
            <m:rPr>
              <m:nor/>
            </m:rPr>
            <w:rPr>
              <w:rFonts w:ascii="Times New Roman" w:hAnsi="Times New Roman" w:cs="Times New Roman"/>
            </w:rPr>
            <m:t>FCR</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num>
            <m:den>
              <m:r>
                <m:rPr>
                  <m:nor/>
                </m:rPr>
                <w:rPr>
                  <w:rFonts w:ascii="Times New Roman" w:hAnsi="Times New Roman" w:cs="Times New Roman"/>
                </w:rPr>
                <m:t>Carbohydrate (g)</m:t>
              </m:r>
              <m:r>
                <w:rPr>
                  <w:rFonts w:ascii="Cambria Math" w:hAnsi="Cambria Math" w:cs="Times New Roman"/>
                </w:rPr>
                <m:t>+ϵ</m:t>
              </m:r>
            </m:den>
          </m:f>
          <m:r>
            <w:rPr>
              <w:rFonts w:ascii="Cambria Math" w:hAnsi="Cambria Math" w:cs="Times New Roman"/>
            </w:rPr>
            <m:t xml:space="preserve">                                                              (4)</m:t>
          </m:r>
        </m:oMath>
      </m:oMathPara>
    </w:p>
    <w:p w14:paraId="1B023DC3" w14:textId="17B4ED51" w:rsidR="006B25CB" w:rsidRPr="00D71FF2" w:rsidRDefault="006B25CB" w:rsidP="006B25CB">
      <w:pPr>
        <w:rPr>
          <w:rFonts w:ascii="Times New Roman" w:hAnsi="Times New Roman" w:cs="Times New Roman"/>
        </w:rPr>
      </w:pPr>
      <w:r w:rsidRPr="00D71FF2">
        <w:rPr>
          <w:rFonts w:ascii="Times New Roman" w:hAnsi="Times New Roman" w:cs="Times New Roman"/>
        </w:rPr>
        <w:t>where </w:t>
      </w:r>
      <m:oMath>
        <m:r>
          <w:rPr>
            <w:rFonts w:ascii="Cambria Math" w:hAnsi="Cambria Math" w:cs="Times New Roman"/>
          </w:rPr>
          <m:t>ϵ=</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-6</m:t>
            </m:r>
          </m:sup>
        </m:sSup>
      </m:oMath>
      <w:r w:rsidRPr="00D71FF2">
        <w:rPr>
          <w:rFonts w:ascii="Times New Roman" w:hAnsi="Times New Roman" w:cs="Times New Roman"/>
        </w:rPr>
        <w:t> is a small constant to prevent division by zero in cases where carbohydrate intake is recorded as zero.</w:t>
      </w:r>
    </w:p>
    <w:p w14:paraId="40081577" w14:textId="4CCB5DC2" w:rsidR="006B25CB" w:rsidRPr="00D71FF2" w:rsidRDefault="000622CB" w:rsidP="006B25CB">
      <w:pPr>
        <w:rPr>
          <w:rFonts w:ascii="Times New Roman" w:hAnsi="Times New Roman" w:cs="Times New Roman"/>
        </w:rPr>
      </w:pPr>
      <w:r w:rsidRPr="00D71FF2">
        <w:rPr>
          <w:rFonts w:ascii="Times New Roman" w:hAnsi="Times New Roman" w:cs="Times New Roman"/>
        </w:rPr>
        <w:t xml:space="preserve">In addition, survey year and province were included to capture temporal and geographic variation. Continuous variables were </w:t>
      </w:r>
      <w:proofErr w:type="spellStart"/>
      <w:r w:rsidRPr="00D71FF2">
        <w:rPr>
          <w:rFonts w:ascii="Times New Roman" w:hAnsi="Times New Roman" w:cs="Times New Roman"/>
        </w:rPr>
        <w:t>standardised</w:t>
      </w:r>
      <w:proofErr w:type="spellEnd"/>
      <w:r w:rsidRPr="00D71FF2">
        <w:rPr>
          <w:rFonts w:ascii="Times New Roman" w:hAnsi="Times New Roman" w:cs="Times New Roman"/>
        </w:rPr>
        <w:t xml:space="preserve"> prior to modelling.</w:t>
      </w:r>
    </w:p>
    <w:p w14:paraId="112C55D8" w14:textId="6765F212" w:rsidR="006B25CB" w:rsidRPr="00D71FF2" w:rsidRDefault="00730E7D" w:rsidP="006B25CB">
      <w:pPr>
        <w:pStyle w:val="3"/>
      </w:pPr>
      <w:r w:rsidRPr="00D71FF2">
        <w:t>Predictive Modelling</w:t>
      </w:r>
    </w:p>
    <w:p w14:paraId="3B46407B" w14:textId="77777777" w:rsidR="000622CB" w:rsidRPr="00D71FF2" w:rsidRDefault="000622CB" w:rsidP="000622CB">
      <w:pPr>
        <w:rPr>
          <w:rFonts w:ascii="Times New Roman" w:hAnsi="Times New Roman" w:cs="Times New Roman"/>
        </w:rPr>
      </w:pPr>
      <w:r w:rsidRPr="00D71FF2">
        <w:rPr>
          <w:rFonts w:ascii="Times New Roman" w:hAnsi="Times New Roman" w:cs="Times New Roman"/>
        </w:rPr>
        <w:t>We applied a gradient-boosted decision tree approach to model the relationship between dietary patterns and urban–rural classification. This method was selected for its ability to capture complex, non-linear relationships in high-dimensional data.</w:t>
      </w:r>
    </w:p>
    <w:p w14:paraId="4B7F864C" w14:textId="0F869B2C" w:rsidR="000622CB" w:rsidRPr="00D71FF2" w:rsidRDefault="000622CB" w:rsidP="000622CB">
      <w:pPr>
        <w:rPr>
          <w:rFonts w:ascii="Times New Roman" w:hAnsi="Times New Roman" w:cs="Times New Roman"/>
        </w:rPr>
      </w:pPr>
      <w:r w:rsidRPr="00D71FF2">
        <w:rPr>
          <w:rFonts w:ascii="Times New Roman" w:hAnsi="Times New Roman" w:cs="Times New Roman"/>
        </w:rPr>
        <w:t>To address class imbalance, category weights were incorporated during model training. The dataset was split into training (80%) and test (20%) sets using stratified sampling. Model parameters were selected using five-fold cross-validation.</w:t>
      </w:r>
      <w:r w:rsidR="00150E3E" w:rsidRPr="00D71FF2">
        <w:rPr>
          <w:rFonts w:ascii="Times New Roman" w:hAnsi="Times New Roman" w:cs="Times New Roman"/>
        </w:rPr>
        <w:t xml:space="preserve"> </w:t>
      </w:r>
      <w:r w:rsidRPr="00D71FF2">
        <w:rPr>
          <w:rFonts w:ascii="Times New Roman" w:hAnsi="Times New Roman" w:cs="Times New Roman"/>
        </w:rPr>
        <w:t>The full configuration is provided in </w:t>
      </w:r>
      <w:r w:rsidRPr="00D71FF2">
        <w:rPr>
          <w:rFonts w:ascii="Times New Roman" w:hAnsi="Times New Roman" w:cs="Times New Roman"/>
          <w:b/>
          <w:bCs/>
        </w:rPr>
        <w:t>Supplementary Table S</w:t>
      </w:r>
      <w:r w:rsidR="00B61E6E" w:rsidRPr="00D71FF2">
        <w:rPr>
          <w:rFonts w:ascii="Times New Roman" w:hAnsi="Times New Roman" w:cs="Times New Roman"/>
          <w:b/>
          <w:bCs/>
        </w:rPr>
        <w:t>6</w:t>
      </w:r>
      <w:r w:rsidRPr="00D71FF2">
        <w:rPr>
          <w:rFonts w:ascii="Times New Roman" w:hAnsi="Times New Roman" w:cs="Times New Roman"/>
        </w:rPr>
        <w:t>.</w:t>
      </w:r>
    </w:p>
    <w:p>
      <w:pPr>
        <w:spacing w:after="120"/>
      </w:pPr>
      <w:r>
        <w:t>For the primary binary inferential task, we additionally trained a separate XGBoost classifier on non-transitional observations only (Rural vs. Urban, excluding FatER 23–30%). The same hyperparameter configuration, class weighting, and evaluation protocol (including 30% simulated label missingness) were applied. This model provides the basis for primary performance reporting; the three-class model is retained for descriptive epidemiological stratification.</w:t>
      </w:r>
    </w:p>
    <w:p w14:paraId="7B40FEB2" w14:textId="77777777" w:rsidR="006B25CB" w:rsidRPr="00D71FF2" w:rsidRDefault="006B25CB" w:rsidP="006B25CB">
      <w:pPr>
        <w:pStyle w:val="3"/>
      </w:pPr>
      <w:r w:rsidRPr="00D71FF2">
        <w:t>Baseline Methods for Comparison</w:t>
      </w:r>
    </w:p>
    <w:p w14:paraId="0777F3FE" w14:textId="6C7AE9A4" w:rsidR="006B25CB" w:rsidRPr="00D71FF2" w:rsidRDefault="005110A2" w:rsidP="006B25CB">
      <w:pPr>
        <w:rPr>
          <w:rFonts w:ascii="Times New Roman" w:hAnsi="Times New Roman" w:cs="Times New Roman"/>
        </w:rPr>
      </w:pPr>
      <w:r w:rsidRPr="00D71FF2">
        <w:rPr>
          <w:rFonts w:ascii="Times New Roman" w:hAnsi="Times New Roman" w:cs="Times New Roman"/>
        </w:rPr>
        <w:t>We compared the proposed approach with commonly used methods:</w:t>
      </w:r>
    </w:p>
    <w:p w14:paraId="1FD81E88" w14:textId="77777777" w:rsidR="006B25CB" w:rsidRPr="00D71FF2" w:rsidRDefault="006B25CB" w:rsidP="006B25CB">
      <w:pPr>
        <w:rPr>
          <w:rFonts w:ascii="Times New Roman" w:hAnsi="Times New Roman" w:cs="Times New Roman"/>
        </w:rPr>
      </w:pPr>
      <w:bookmarkStart w:id="2" w:name="OLE_LINK5"/>
      <w:r w:rsidRPr="00D71FF2">
        <w:rPr>
          <w:rFonts w:ascii="Times New Roman" w:hAnsi="Times New Roman" w:cs="Times New Roman"/>
          <w:b/>
          <w:bCs/>
        </w:rPr>
        <w:t>Majority Category Imputation</w:t>
      </w:r>
      <w:r w:rsidRPr="00D71FF2">
        <w:rPr>
          <w:rFonts w:ascii="Times New Roman" w:hAnsi="Times New Roman" w:cs="Times New Roman"/>
        </w:rPr>
        <w:t> assigns all unobserved values to the most frequent category (Rural), representing the simplest possible strategy and providing a lower bound on acceptable performance.</w:t>
      </w:r>
    </w:p>
    <w:p w14:paraId="41181748" w14:textId="4540E18C" w:rsidR="006B25CB" w:rsidRPr="00D71FF2" w:rsidRDefault="006B25CB" w:rsidP="006B25CB">
      <w:pPr>
        <w:rPr>
          <w:rFonts w:ascii="Times New Roman" w:hAnsi="Times New Roman" w:cs="Times New Roman"/>
        </w:rPr>
      </w:pPr>
      <w:r w:rsidRPr="00D71FF2">
        <w:rPr>
          <w:rFonts w:ascii="Times New Roman" w:hAnsi="Times New Roman" w:cs="Times New Roman"/>
          <w:b/>
          <w:bCs/>
        </w:rPr>
        <w:t xml:space="preserve">k-Nearest </w:t>
      </w:r>
      <w:proofErr w:type="spellStart"/>
      <w:r w:rsidRPr="00D71FF2">
        <w:rPr>
          <w:rFonts w:ascii="Times New Roman" w:hAnsi="Times New Roman" w:cs="Times New Roman"/>
          <w:b/>
          <w:bCs/>
        </w:rPr>
        <w:t>Neighbours</w:t>
      </w:r>
      <w:proofErr w:type="spellEnd"/>
      <w:r w:rsidRPr="00D71FF2">
        <w:rPr>
          <w:rFonts w:ascii="Times New Roman" w:hAnsi="Times New Roman" w:cs="Times New Roman"/>
          <w:b/>
          <w:bCs/>
        </w:rPr>
        <w:t xml:space="preserve"> (KNN) Imputation</w:t>
      </w:r>
      <w:r w:rsidRPr="00D71FF2">
        <w:rPr>
          <w:rFonts w:ascii="Times New Roman" w:hAnsi="Times New Roman" w:cs="Times New Roman"/>
        </w:rPr>
        <w:t> identifies the </w:t>
      </w:r>
      <m:oMath>
        <m:r>
          <w:rPr>
            <w:rFonts w:ascii="Cambria Math" w:hAnsi="Cambria Math" w:cs="Times New Roman"/>
          </w:rPr>
          <m:t>k=5</m:t>
        </m:r>
      </m:oMath>
      <w:r w:rsidRPr="00D71FF2">
        <w:rPr>
          <w:rFonts w:ascii="Times New Roman" w:hAnsi="Times New Roman" w:cs="Times New Roman"/>
        </w:rPr>
        <w:t> most similar complete cases in feature space and assigns the modal category among those neighbours. KNN is widely used in food-frequency questionnaire missing data handling</w:t>
      </w:r>
      <w:r w:rsidR="00B40B22" w:rsidRPr="00D71FF2">
        <w:rPr>
          <w:rFonts w:ascii="Times New Roman" w:hAnsi="Times New Roman" w:cs="Times New Roman"/>
        </w:rPr>
        <w:fldChar w:fldCharType="begin"/>
      </w:r>
      <w:r w:rsidR="00B40B22" w:rsidRPr="00D71FF2">
        <w:rPr>
          <w:rFonts w:ascii="Times New Roman" w:hAnsi="Times New Roman" w:cs="Times New Roman"/>
        </w:rPr>
        <w:instrText xml:space="preserve"> ADDIN ZOTERO_ITEM CSL_CITATION {"citationID":"QSKhSObh","properties":{"unsorted":false,"formattedCitation":"\\super (17)\\nosupersub{}","plainCitation":"(17)","noteIndex":0},"citationItems":[{"id":1160,"uris":["http://zotero.org/users/12575705/items/Q8MS54DW"],"itemData":{"id":1160,"type":"article-journal","abstract":"Nearest neighbor (NN) imputation algorithms are efficient methods to fill in missing data where each missing value on some records is replaced by a value obtained from related cases in the whole set of records. Besides the capability to substitute the missing data with plausible values that are as close as possible to the true value, imputation algorithms should preserve the original data structure and avoid to distort the distribution of the imputed variable. Despite the efficiency of NN algorithms little is known about the effect of these methods on data structure.","container-title":"BMC Medical Informatics and Decision Making","DOI":"10.1186/s12911-016-0318-z","ISSN":"1472-6947","issue":"3","journalAbbreviation":"BMC Medical Informatics and Decision Making","page":"74","title":"Nearest neighbor imputation algorithms: a critical evaluation","URL":"https://doi.org/10.1186/s12911-016-0318-z","volume":"16","author":[{"family":"Beretta","given":"Lorenzo"},{"family":"Santaniello","given":"Alessandro"}],"issued":{"date-parts":[["2016",7,25]]}}}],"schema":"https://github.com/citation-style-language/schema/raw/master/csl-citation.json"} </w:instrText>
      </w:r>
      <w:r w:rsidR="00B40B22" w:rsidRPr="00D71FF2">
        <w:rPr>
          <w:rFonts w:ascii="Times New Roman" w:hAnsi="Times New Roman" w:cs="Times New Roman"/>
        </w:rPr>
        <w:fldChar w:fldCharType="separate"/>
      </w:r>
      <w:r w:rsidR="00B40B22" w:rsidRPr="00D71FF2">
        <w:rPr>
          <w:rFonts w:ascii="Times New Roman" w:eastAsia="DengXian" w:hAnsi="Times New Roman" w:cs="Times New Roman"/>
          <w:kern w:val="0"/>
          <w:vertAlign w:val="superscript"/>
        </w:rPr>
        <w:t>(17)</w:t>
      </w:r>
      <w:r w:rsidR="00B40B22" w:rsidRPr="00D71FF2">
        <w:rPr>
          <w:rFonts w:ascii="Times New Roman" w:hAnsi="Times New Roman" w:cs="Times New Roman"/>
        </w:rPr>
        <w:fldChar w:fldCharType="end"/>
      </w:r>
      <w:r w:rsidRPr="00D71FF2">
        <w:rPr>
          <w:rFonts w:ascii="Times New Roman" w:hAnsi="Times New Roman" w:cs="Times New Roman"/>
        </w:rPr>
        <w:t xml:space="preserve"> and provides a non-parametric baseline that requires no distributional assumptions.</w:t>
      </w:r>
    </w:p>
    <w:p w14:paraId="5441F0C2" w14:textId="4C2DCA0C" w:rsidR="006B25CB" w:rsidRPr="00D71FF2" w:rsidRDefault="006B25CB" w:rsidP="006B25CB">
      <w:pPr>
        <w:rPr>
          <w:rFonts w:ascii="Times New Roman" w:hAnsi="Times New Roman" w:cs="Times New Roman"/>
        </w:rPr>
      </w:pPr>
      <w:r w:rsidRPr="00D71FF2">
        <w:rPr>
          <w:rFonts w:ascii="Times New Roman" w:hAnsi="Times New Roman" w:cs="Times New Roman"/>
          <w:b/>
          <w:bCs/>
        </w:rPr>
        <w:t>Multiple Imputation by Chained Equations (MICE)</w:t>
      </w:r>
      <w:r w:rsidRPr="00D71FF2">
        <w:rPr>
          <w:rFonts w:ascii="Times New Roman" w:hAnsi="Times New Roman" w:cs="Times New Roman"/>
        </w:rPr>
        <w:t xml:space="preserve"> uses iterative regression to impute missing values based on all other variables. We implemented MICE via the </w:t>
      </w:r>
      <w:proofErr w:type="spellStart"/>
      <w:r w:rsidRPr="00D71FF2">
        <w:rPr>
          <w:rFonts w:ascii="Times New Roman" w:hAnsi="Times New Roman" w:cs="Times New Roman"/>
        </w:rPr>
        <w:t>IterativeImputer</w:t>
      </w:r>
      <w:proofErr w:type="spellEnd"/>
      <w:r w:rsidRPr="00D71FF2">
        <w:rPr>
          <w:rFonts w:ascii="Times New Roman" w:hAnsi="Times New Roman" w:cs="Times New Roman"/>
        </w:rPr>
        <w:t xml:space="preserve"> with 10 iterations and Bayesian ridge regression as the underlying estimator, representing a statistical standard for missing data handling in epidemiological research</w:t>
      </w:r>
      <w:r w:rsidR="006C7BE0" w:rsidRPr="00D71FF2">
        <w:rPr>
          <w:rFonts w:ascii="Times New Roman" w:hAnsi="Times New Roman" w:cs="Times New Roman"/>
        </w:rPr>
        <w:fldChar w:fldCharType="begin"/>
      </w:r>
      <w:r w:rsidR="006C7BE0" w:rsidRPr="00D71FF2">
        <w:rPr>
          <w:rFonts w:ascii="Times New Roman" w:hAnsi="Times New Roman" w:cs="Times New Roman"/>
        </w:rPr>
        <w:instrText xml:space="preserve"> ADDIN ZOTERO_ITEM CSL_CITATION {"citationID":"0qT3NjvV","properties":{"unsorted":false,"formattedCitation":"\\super (19)\\nosupersub{}","plainCitation":"(19)","noteIndex":0},"citationItems":[{"id":1162,"uris":["http://zotero.org/users/12575705/items/P6LFDEAK"],"itemData":{"id":1162,"type":"article-journal","abstract":"Abstract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Medicine","DOI":"https://doi.org/10.1002/sim.4067","issue":"4","note":"_eprint: https://onlinelibrary.wiley.com/doi/pdf/10.1002/sim.4067","page":"377-399","title":"Multiple imputation using chained equations: Issues and guidance for practice","URL":"https://onlinelibrary.wiley.com/doi/abs/10.1002/sim.4067","volume":"30","author":[{"family":"White","given":"Ian R."},{"family":"Royston","given":"Patrick"},{"family":"Wood","given":"Angela M."}],"issued":{"date-parts":[["2011"]]}}}],"schema":"https://github.com/citation-style-language/schema/raw/master/csl-citation.json"} </w:instrText>
      </w:r>
      <w:r w:rsidR="006C7BE0" w:rsidRPr="00D71FF2">
        <w:rPr>
          <w:rFonts w:ascii="Times New Roman" w:hAnsi="Times New Roman" w:cs="Times New Roman"/>
        </w:rPr>
        <w:fldChar w:fldCharType="separate"/>
      </w:r>
      <w:r w:rsidR="006C7BE0" w:rsidRPr="00D71FF2">
        <w:rPr>
          <w:rFonts w:ascii="Times New Roman" w:eastAsia="DengXian" w:hAnsi="Times New Roman" w:cs="Times New Roman"/>
          <w:kern w:val="0"/>
          <w:vertAlign w:val="superscript"/>
        </w:rPr>
        <w:t>(19)</w:t>
      </w:r>
      <w:r w:rsidR="006C7BE0" w:rsidRPr="00D71FF2">
        <w:rPr>
          <w:rFonts w:ascii="Times New Roman" w:hAnsi="Times New Roman" w:cs="Times New Roman"/>
        </w:rPr>
        <w:fldChar w:fldCharType="end"/>
      </w:r>
      <w:r w:rsidRPr="00D71FF2">
        <w:rPr>
          <w:rFonts w:ascii="Times New Roman" w:hAnsi="Times New Roman" w:cs="Times New Roman"/>
        </w:rPr>
        <w:t>.</w:t>
      </w:r>
    </w:p>
    <w:p w14:paraId="00BE26E2"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Random Forest Imputation (RF-Imputer)</w:t>
      </w:r>
      <w:r w:rsidRPr="00D71FF2">
        <w:rPr>
          <w:rFonts w:ascii="Times New Roman" w:hAnsi="Times New Roman" w:cs="Times New Roman"/>
        </w:rPr>
        <w:t xml:space="preserve"> uses an ensemble of decision trees to iteratively predict missing values. This method shares the ensemble structure of the proposed framework but lacks category-balancing and the specific </w:t>
      </w:r>
      <w:proofErr w:type="spellStart"/>
      <w:r w:rsidRPr="00D71FF2">
        <w:rPr>
          <w:rFonts w:ascii="Times New Roman" w:hAnsi="Times New Roman" w:cs="Times New Roman"/>
        </w:rPr>
        <w:t>regularisation</w:t>
      </w:r>
      <w:proofErr w:type="spellEnd"/>
      <w:r w:rsidRPr="00D71FF2">
        <w:rPr>
          <w:rFonts w:ascii="Times New Roman" w:hAnsi="Times New Roman" w:cs="Times New Roman"/>
        </w:rPr>
        <w:t xml:space="preserve"> strategy, providing a direct test of whether the proposed architectural modifications confer meaningful performance advantages.</w:t>
      </w:r>
    </w:p>
    <w:p w14:paraId="71D7FFF9" w14:textId="405610EE" w:rsidR="005110A2" w:rsidRPr="00D71FF2" w:rsidRDefault="005110A2" w:rsidP="006B25CB">
      <w:pPr>
        <w:rPr>
          <w:rFonts w:ascii="Times New Roman" w:hAnsi="Times New Roman" w:cs="Times New Roman"/>
        </w:rPr>
      </w:pPr>
      <w:r w:rsidRPr="00D71FF2">
        <w:rPr>
          <w:rFonts w:ascii="Times New Roman" w:hAnsi="Times New Roman" w:cs="Times New Roman"/>
        </w:rPr>
        <w:t>These methods represent standard approaches for handling categorical missing data in epidemiological research.</w:t>
      </w:r>
    </w:p>
    <w:bookmarkEnd w:id="2"/>
    <w:p w14:paraId="19E66EDE" w14:textId="77777777" w:rsidR="006B25CB" w:rsidRPr="00D71FF2" w:rsidRDefault="006B25CB" w:rsidP="006B25CB">
      <w:pPr>
        <w:pStyle w:val="3"/>
      </w:pPr>
      <w:r w:rsidRPr="00D71FF2">
        <w:t>Evaluation Framework</w:t>
      </w:r>
    </w:p>
    <w:p w14:paraId="3837E80F" w14:textId="27ED73BF" w:rsidR="006B25CB" w:rsidRPr="00D71FF2" w:rsidRDefault="00886075" w:rsidP="006B25CB">
      <w:pPr>
        <w:rPr>
          <w:rFonts w:ascii="Times New Roman" w:hAnsi="Times New Roman" w:cs="Times New Roman"/>
        </w:rPr>
      </w:pPr>
      <w:r w:rsidRPr="00D71FF2">
        <w:rPr>
          <w:rFonts w:ascii="Times New Roman" w:hAnsi="Times New Roman" w:cs="Times New Roman"/>
        </w:rPr>
        <w:t xml:space="preserve">We evaluated performance under simulated missingness, leveraging the complete CHNS labels as </w:t>
      </w:r>
      <w:r w:rsidRPr="00D71FF2">
        <w:rPr>
          <w:rFonts w:ascii="Times New Roman" w:hAnsi="Times New Roman" w:cs="Times New Roman"/>
        </w:rPr>
        <w:lastRenderedPageBreak/>
        <w:t>ground truth.</w:t>
      </w:r>
      <w:r w:rsidR="00DF6FA6" w:rsidRPr="00D71FF2">
        <w:rPr>
          <w:rFonts w:ascii="Times New Roman" w:hAnsi="Times New Roman" w:cs="Times New Roman"/>
        </w:rPr>
        <w:t xml:space="preserve"> Key components:</w:t>
      </w:r>
    </w:p>
    <w:p w14:paraId="53CE4946" w14:textId="1D2742CE" w:rsidR="006B25CB" w:rsidRPr="00D71FF2" w:rsidRDefault="00DD49D2" w:rsidP="008128CB">
      <w:pPr>
        <w:pStyle w:val="4"/>
      </w:pPr>
      <w:r w:rsidRPr="00D71FF2">
        <w:t xml:space="preserve">Inference </w:t>
      </w:r>
      <w:r w:rsidR="00730E7D" w:rsidRPr="00D71FF2">
        <w:t>Accuracy Under Simulated Missingness</w:t>
      </w:r>
    </w:p>
    <w:p w14:paraId="2BDDDF0B" w14:textId="7B44D543" w:rsidR="006B25CB" w:rsidRPr="00D71FF2" w:rsidRDefault="00730E7D" w:rsidP="006B25CB">
      <w:pPr>
        <w:rPr>
          <w:rFonts w:ascii="Times New Roman" w:hAnsi="Times New Roman" w:cs="Times New Roman"/>
        </w:rPr>
      </w:pPr>
      <w:r w:rsidRPr="00D71FF2">
        <w:rPr>
          <w:rFonts w:ascii="Times New Roman" w:hAnsi="Times New Roman" w:cs="Times New Roman"/>
        </w:rPr>
        <w:t xml:space="preserve">To evaluate </w:t>
      </w:r>
      <w:r w:rsidR="004A32A1" w:rsidRPr="00D71FF2">
        <w:rPr>
          <w:rFonts w:ascii="Times New Roman" w:hAnsi="Times New Roman" w:cs="Times New Roman"/>
        </w:rPr>
        <w:t>inference</w:t>
      </w:r>
      <w:r w:rsidRPr="00D71FF2">
        <w:rPr>
          <w:rFonts w:ascii="Times New Roman" w:hAnsi="Times New Roman" w:cs="Times New Roman"/>
        </w:rPr>
        <w:t xml:space="preserve"> accuracy, </w:t>
      </w:r>
      <w:r w:rsidR="006B25CB" w:rsidRPr="00D71FF2">
        <w:rPr>
          <w:rFonts w:ascii="Times New Roman" w:hAnsi="Times New Roman" w:cs="Times New Roman"/>
        </w:rPr>
        <w:t xml:space="preserve">we randomly masked 30% of urban–rural labels in the held-out test set, simulating a scenario where geographic context is unavailable for a substantial proportion of observations. </w:t>
      </w:r>
      <w:r w:rsidR="00656DE6" w:rsidRPr="00D71FF2">
        <w:rPr>
          <w:rFonts w:ascii="Times New Roman" w:hAnsi="Times New Roman" w:cs="Times New Roman"/>
        </w:rPr>
        <w:t xml:space="preserve">Inference </w:t>
      </w:r>
      <w:r w:rsidR="006B25CB" w:rsidRPr="00D71FF2">
        <w:rPr>
          <w:rFonts w:ascii="Times New Roman" w:hAnsi="Times New Roman" w:cs="Times New Roman"/>
        </w:rPr>
        <w:t>accuracy, macro-averaged F1 score, and Cohen's </w:t>
      </w:r>
      <m:oMath>
        <m:r>
          <w:rPr>
            <w:rFonts w:ascii="Cambria Math" w:hAnsi="Cambria Math" w:cs="Times New Roman"/>
          </w:rPr>
          <m:t>κ</m:t>
        </m:r>
      </m:oMath>
      <w:r w:rsidR="006B25CB" w:rsidRPr="00D71FF2">
        <w:rPr>
          <w:rFonts w:ascii="Times New Roman" w:hAnsi="Times New Roman" w:cs="Times New Roman"/>
        </w:rPr>
        <w:t> were computed by comparing inferred labels against the known true labels. This simulation was repeated across missing rates ranging from 10% to 70% (in 10-percentage-point increments) to assess sensitivity to the degree of missingness.</w:t>
      </w:r>
    </w:p>
    <w:p w14:paraId="79C26FF3" w14:textId="446E4BAF" w:rsidR="006B25CB" w:rsidRPr="00D71FF2" w:rsidRDefault="006B25CB" w:rsidP="008128CB">
      <w:pPr>
        <w:pStyle w:val="4"/>
      </w:pPr>
      <w:r w:rsidRPr="00D71FF2">
        <w:t xml:space="preserve">Distributional </w:t>
      </w:r>
      <w:r w:rsidR="00730E7D" w:rsidRPr="00D71FF2">
        <w:t>Agreement</w:t>
      </w:r>
    </w:p>
    <w:p w14:paraId="4C79C66C" w14:textId="126615FC" w:rsidR="006B25CB" w:rsidRPr="00D71FF2" w:rsidRDefault="006B25CB" w:rsidP="006B25CB">
      <w:pPr>
        <w:rPr>
          <w:rFonts w:ascii="Times New Roman" w:hAnsi="Times New Roman" w:cs="Times New Roman"/>
        </w:rPr>
      </w:pPr>
      <w:r w:rsidRPr="00D71FF2">
        <w:rPr>
          <w:rFonts w:ascii="Times New Roman" w:hAnsi="Times New Roman" w:cs="Times New Roman"/>
        </w:rPr>
        <w:t>Preserving population-level dietary distributions is critical for epidemiological analyses, as distortion of category proportions could bias prevalence estimates and subsequent inferences. We quantified distributional fidelity using Jensen–Shannon (JS) divergence between the true and inferred category distributions</w:t>
      </w:r>
      <w:r w:rsidR="00DF6FA6" w:rsidRPr="00D71FF2">
        <w:rPr>
          <w:rFonts w:ascii="Times New Roman" w:hAnsi="Times New Roman" w:cs="Times New Roman"/>
        </w:rPr>
        <w:t xml:space="preserve">. </w:t>
      </w:r>
      <w:r w:rsidRPr="00D71FF2">
        <w:rPr>
          <w:rFonts w:ascii="Times New Roman" w:hAnsi="Times New Roman" w:cs="Times New Roman"/>
        </w:rPr>
        <w:t>We also report the maximum absolute difference between true and inferred category proportions as an interpretable summary measure.</w:t>
      </w:r>
    </w:p>
    <w:p w14:paraId="76BE0C33" w14:textId="3FDF6ADD" w:rsidR="006B25CB" w:rsidRPr="00D71FF2" w:rsidRDefault="006B25CB" w:rsidP="008128CB">
      <w:pPr>
        <w:pStyle w:val="4"/>
      </w:pPr>
      <w:r w:rsidRPr="00D71FF2">
        <w:t xml:space="preserve">Temporal </w:t>
      </w:r>
      <w:proofErr w:type="spellStart"/>
      <w:r w:rsidR="00187036" w:rsidRPr="00D71FF2">
        <w:t>Generalisability</w:t>
      </w:r>
      <w:proofErr w:type="spellEnd"/>
      <w:r w:rsidRPr="00D71FF2">
        <w:t>: Leave-One-Year-Out</w:t>
      </w:r>
    </w:p>
    <w:p w14:paraId="73E7011A" w14:textId="6B60B60B"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To assess </w:t>
      </w:r>
      <w:proofErr w:type="spellStart"/>
      <w:r w:rsidRPr="00D71FF2">
        <w:rPr>
          <w:rFonts w:ascii="Times New Roman" w:hAnsi="Times New Roman" w:cs="Times New Roman"/>
        </w:rPr>
        <w:t>generalisability</w:t>
      </w:r>
      <w:proofErr w:type="spellEnd"/>
      <w:r w:rsidRPr="00D71FF2">
        <w:rPr>
          <w:rFonts w:ascii="Times New Roman" w:hAnsi="Times New Roman" w:cs="Times New Roman"/>
        </w:rPr>
        <w:t xml:space="preserve"> to unseen time periods—a critical requirement for application to future survey waves or other datasets spanning different time frames—we conducted leave-one-year-out (LOYO) validation. In each of eight iterations, the framework was trained on observations from seven survey waves and evaluated on the held-out eighth wave. This design simulates the real-world scenario of applying the framework to newly collected dietary data from periods not represented in the training sample. Mean accuracy, macro-F1, and Cohen's </w:t>
      </w:r>
      <m:oMath>
        <m:r>
          <w:rPr>
            <w:rFonts w:ascii="Cambria Math" w:hAnsi="Cambria Math" w:cs="Times New Roman"/>
          </w:rPr>
          <m:t>κ</m:t>
        </m:r>
      </m:oMath>
      <w:r w:rsidRPr="00D71FF2">
        <w:rPr>
          <w:rFonts w:ascii="Times New Roman" w:hAnsi="Times New Roman" w:cs="Times New Roman"/>
        </w:rPr>
        <w:t> were computed across the eight held-out waves.</w:t>
      </w:r>
    </w:p>
    <w:p w14:paraId="002236F7" w14:textId="7C99DFC6" w:rsidR="006B25CB" w:rsidRPr="00D71FF2" w:rsidRDefault="006B25CB" w:rsidP="008128CB">
      <w:pPr>
        <w:pStyle w:val="4"/>
      </w:pPr>
      <w:r w:rsidRPr="00D71FF2">
        <w:t>Calibration</w:t>
      </w:r>
    </w:p>
    <w:p w14:paraId="3BA3403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For the framework to support probabilistic inference (e.g., assigning fractional weights rather than deterministic labels in sensitivity analyses), predicted probabilities must be well-calibrated—that is, a predicted probability of 0.8 should correspond to an empirical success rate of approximately 80%. We assessed calibration using the Expected Calibration Error (ECE) and Brier score for each outcome category. ECE measures the weighted average difference between predicted confidence and observed accuracy across probability bins, with lower values indicating better calibration. Brier score quantifies the mean squared difference between predicted probabilities and binary outcomes, where 0 represents perfect calibration and 0.25 represents an uninformative model for three-category prediction. Calibration curves comparing predicted probabilities against observed frequencies were constructed for visual assessment.</w:t>
      </w:r>
    </w:p>
    <w:p>
      <w:pPr>
        <w:spacing w:after="120"/>
      </w:pPr>
      <w:r>
        <w:t>Having established the framework's inferential performance, we next examine its practical utility for downstream epidemiological analyses—the ultimate test of any imputation strategy in applied research.</w:t>
      </w:r>
    </w:p>
    <w:p w14:paraId="00E3C825" w14:textId="6C3BC58B" w:rsidR="006B25CB" w:rsidRPr="00D71FF2" w:rsidRDefault="00187036" w:rsidP="008128CB">
      <w:pPr>
        <w:pStyle w:val="4"/>
      </w:pPr>
      <w:r w:rsidRPr="00D71FF2">
        <w:t>Preservation of Downstream Epidemiological Associations</w:t>
      </w:r>
    </w:p>
    <w:p w14:paraId="3D81D17D" w14:textId="5672A194" w:rsidR="006B25CB" w:rsidRPr="00D71FF2" w:rsidRDefault="006B25CB" w:rsidP="006B25CB">
      <w:pPr>
        <w:rPr>
          <w:rFonts w:ascii="Times New Roman" w:hAnsi="Times New Roman" w:cs="Times New Roman"/>
        </w:rPr>
      </w:pPr>
      <w:r w:rsidRPr="00D71FF2">
        <w:rPr>
          <w:rFonts w:ascii="Times New Roman" w:hAnsi="Times New Roman" w:cs="Times New Roman"/>
        </w:rPr>
        <w:t>The ultimate test of inference quality is whether it preserves epidemiological conclusions. We compared effect size estimates for urban–rural dietary differences computed using true labels versus inferred labels (under 30% simulated missingness). For each macronutrient feature, we calculated the mean difference between Urban and Rural categories, Cohen's </w:t>
      </w:r>
      <m:oMath>
        <m:r>
          <w:rPr>
            <w:rFonts w:ascii="Cambria Math" w:hAnsi="Cambria Math" w:cs="Times New Roman"/>
          </w:rPr>
          <m:t>d</m:t>
        </m:r>
      </m:oMath>
      <w:r w:rsidRPr="00D71FF2">
        <w:rPr>
          <w:rFonts w:ascii="Times New Roman" w:hAnsi="Times New Roman" w:cs="Times New Roman"/>
        </w:rPr>
        <w:t> as a standardised effect size measure, and associated </w:t>
      </w:r>
      <w:r w:rsidRPr="00D71FF2">
        <w:rPr>
          <w:rFonts w:ascii="Times New Roman" w:hAnsi="Times New Roman" w:cs="Times New Roman"/>
          <w:i/>
          <w:iCs/>
        </w:rPr>
        <w:t>P</w:t>
      </w:r>
      <w:r w:rsidRPr="00D71FF2">
        <w:rPr>
          <w:rFonts w:ascii="Times New Roman" w:hAnsi="Times New Roman" w:cs="Times New Roman"/>
        </w:rPr>
        <w:t>-values from independent samples </w:t>
      </w:r>
      <w:r w:rsidRPr="00D71FF2">
        <w:rPr>
          <w:rFonts w:ascii="Times New Roman" w:hAnsi="Times New Roman" w:cs="Times New Roman"/>
          <w:i/>
          <w:iCs/>
        </w:rPr>
        <w:t>t</w:t>
      </w:r>
      <w:r w:rsidRPr="00D71FF2">
        <w:rPr>
          <w:rFonts w:ascii="Times New Roman" w:hAnsi="Times New Roman" w:cs="Times New Roman"/>
        </w:rPr>
        <w:t>-tests. Bias was quantified as the absolute and relative difference between true and inferred effect sizes. Consistency of statistical significance (whether both analyses yielded </w:t>
      </w:r>
      <w:r w:rsidRPr="00D71FF2">
        <w:rPr>
          <w:rFonts w:ascii="Times New Roman" w:hAnsi="Times New Roman" w:cs="Times New Roman"/>
          <w:i/>
          <w:iCs/>
        </w:rPr>
        <w:t>P</w:t>
      </w:r>
      <w:r w:rsidRPr="00D71FF2">
        <w:rPr>
          <w:rFonts w:ascii="Times New Roman" w:hAnsi="Times New Roman" w:cs="Times New Roman"/>
        </w:rPr>
        <w:t> &lt; 0.05 with the same direction of effect) was recorded as a binary indicator of inferential preservation.</w:t>
      </w:r>
    </w:p>
    <w:p w14:paraId="384E7C08" w14:textId="77777777" w:rsidR="006B25CB" w:rsidRPr="00D71FF2" w:rsidRDefault="006B25CB" w:rsidP="008128CB">
      <w:pPr>
        <w:pStyle w:val="4"/>
      </w:pPr>
      <w:r w:rsidRPr="00D71FF2">
        <w:lastRenderedPageBreak/>
        <w:t>Statistical Significance of Performance Differences</w:t>
      </w:r>
    </w:p>
    <w:p w14:paraId="35F9191F"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To formally test whether observed performance differences between methods were statistically significant, we conducted a paired bootstrap difference test with 2,000 resamples. For each bootstrap sample, both the proposed framework and the best-performing baseline were evaluated on the identical set of simulated missing values, and the within-sample difference in accuracy and macro-F1 was recorded. The null hypothesis of no difference was rejected if the 95% confidence interval of the difference excluded zero. Bootstrap 95% confidence intervals for all primary performance metrics were also computed to quantify estimation uncertainty.</w:t>
      </w:r>
    </w:p>
    <w:p w14:paraId="3045886A" w14:textId="77777777" w:rsidR="006B25CB" w:rsidRPr="00D71FF2" w:rsidRDefault="006B25CB" w:rsidP="006B25CB">
      <w:pPr>
        <w:pStyle w:val="3"/>
      </w:pPr>
      <w:r w:rsidRPr="00D71FF2">
        <w:t>Software and Reproducibility</w:t>
      </w:r>
    </w:p>
    <w:p w14:paraId="768F0F4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All analyses were performed using Python version 3.11 with the following open-source libraries: </w:t>
      </w:r>
      <w:proofErr w:type="spellStart"/>
      <w:r w:rsidRPr="00D71FF2">
        <w:rPr>
          <w:rFonts w:ascii="Times New Roman" w:hAnsi="Times New Roman" w:cs="Times New Roman"/>
        </w:rPr>
        <w:t>XGBoost</w:t>
      </w:r>
      <w:proofErr w:type="spellEnd"/>
      <w:r w:rsidRPr="00D71FF2">
        <w:rPr>
          <w:rFonts w:ascii="Times New Roman" w:hAnsi="Times New Roman" w:cs="Times New Roman"/>
        </w:rPr>
        <w:t xml:space="preserve"> (version 1.7) for gradient boosting, scikit-learn (version 1.3) for baseline methods and evaluation metrics, and SHAP (version 0.42) for model interpretation. Data processing scripts, model training code, and evaluation pipelines are publicly available at </w:t>
      </w:r>
      <w:hyperlink r:id="rId8" w:tgtFrame="_blank" w:history="1">
        <w:r w:rsidRPr="00D71FF2">
          <w:rPr>
            <w:rStyle w:val="af"/>
            <w:rFonts w:ascii="Times New Roman" w:hAnsi="Times New Roman" w:cs="Times New Roman"/>
          </w:rPr>
          <w:t>https://github.com/tyrone1979/nutri2-urban</w:t>
        </w:r>
      </w:hyperlink>
      <w:r w:rsidRPr="00D71FF2">
        <w:rPr>
          <w:rFonts w:ascii="Times New Roman" w:hAnsi="Times New Roman" w:cs="Times New Roman"/>
        </w:rPr>
        <w:t> to facilitate reproducibility and adoption by other researchers. The pre-trained model is also available for direct application to new datasets without requiring retraining.</w:t>
      </w:r>
    </w:p>
    <w:p w14:paraId="5EFE0F01" w14:textId="77777777" w:rsidR="00265CF1" w:rsidRPr="00D71FF2" w:rsidRDefault="00265CF1" w:rsidP="00265CF1">
      <w:pPr>
        <w:pStyle w:val="2"/>
      </w:pPr>
      <w:r w:rsidRPr="00D71FF2">
        <w:t>Results</w:t>
      </w:r>
    </w:p>
    <w:p w14:paraId="53928CFA" w14:textId="77777777" w:rsidR="00265CF1" w:rsidRPr="00D71FF2" w:rsidRDefault="00265CF1" w:rsidP="00265CF1">
      <w:pPr>
        <w:pStyle w:val="3"/>
      </w:pPr>
      <w:r w:rsidRPr="00D71FF2">
        <w:t>Sample Characteristics</w:t>
      </w:r>
    </w:p>
    <w:p w14:paraId="013212C2" w14:textId="77777777" w:rsidR="00603380" w:rsidRPr="00603380" w:rsidRDefault="00603380" w:rsidP="00603380">
      <w:pPr>
        <w:rPr>
          <w:rFonts w:ascii="Times New Roman" w:hAnsi="Times New Roman" w:cs="Times New Roman"/>
        </w:rPr>
      </w:pPr>
      <w:r>
        <w:t>The analytic sample comprised 101,926 dietary recall observations from eight survey waves (1991–2011). Overall, 51.3% were classified as Rural, 22.5% as Transitional, and 26.2% as Urban (Table 1), using the T2 administrative indicator with transitional FatER overlay. The proportion of Urban-classified observations increased over time, from 22.6% in 1991 to 33.3% in 2011.</w:t>
      </w:r>
    </w:p>
    <w:p w14:paraId="79064203" w14:textId="77777777" w:rsidR="00603380" w:rsidRPr="00603380" w:rsidRDefault="00603380" w:rsidP="00603380">
      <w:pPr>
        <w:rPr>
          <w:rFonts w:ascii="Times New Roman" w:hAnsi="Times New Roman" w:cs="Times New Roman"/>
        </w:rPr>
      </w:pPr>
      <w:r w:rsidRPr="00603380">
        <w:rPr>
          <w:rFonts w:ascii="Times New Roman" w:hAnsi="Times New Roman" w:cs="Times New Roman"/>
        </w:rPr>
        <w:t>Transitional observations were consistently observed across all survey waves and provinces, comprising between 18.8% and 29.5% of observations across waves. This indicates that intermediate dietary patterns are a persistent feature rather than a transient or isolated phenomenon.</w:t>
      </w:r>
    </w:p>
    <w:bookmarkEnd w:id="3"/>
    <w:p w14:paraId="3948AF17"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1. </w:t>
      </w:r>
      <w:r w:rsidRPr="00D71FF2">
        <w:rPr>
          <w:rFonts w:ascii="Times New Roman" w:hAnsi="Times New Roman" w:cs="Times New Roman"/>
        </w:rPr>
        <w:t>Sample Characteristics by Survey Wave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786"/>
        <w:gridCol w:w="950"/>
        <w:gridCol w:w="1228"/>
        <w:gridCol w:w="1709"/>
        <w:gridCol w:w="2086"/>
        <w:gridCol w:w="1547"/>
      </w:tblGrid>
      <w:tr w:rsidR="00265CF1" w:rsidRPr="00D71FF2" w14:paraId="0E9E441D" w14:textId="77777777" w:rsidTr="00603380">
        <w:trPr>
          <w:tblHeader/>
        </w:trPr>
        <w:tc>
          <w:tcPr>
            <w:tcW w:w="473" w:type="pct"/>
            <w:tcBorders>
              <w:top w:val="single" w:sz="8" w:space="0" w:color="auto"/>
              <w:bottom w:val="single" w:sz="4" w:space="0" w:color="auto"/>
            </w:tcBorders>
            <w:tcMar>
              <w:top w:w="150" w:type="dxa"/>
              <w:left w:w="0" w:type="dxa"/>
              <w:bottom w:w="150" w:type="dxa"/>
              <w:right w:w="240" w:type="dxa"/>
            </w:tcMar>
            <w:vAlign w:val="center"/>
            <w:hideMark/>
          </w:tcPr>
          <w:p w14:paraId="3471E15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Wave</w:t>
            </w:r>
          </w:p>
        </w:tc>
        <w:tc>
          <w:tcPr>
            <w:tcW w:w="572" w:type="pct"/>
            <w:tcBorders>
              <w:top w:val="single" w:sz="8" w:space="0" w:color="auto"/>
              <w:bottom w:val="single" w:sz="4" w:space="0" w:color="auto"/>
            </w:tcBorders>
            <w:tcMar>
              <w:top w:w="150" w:type="dxa"/>
              <w:left w:w="240" w:type="dxa"/>
              <w:bottom w:w="150" w:type="dxa"/>
              <w:right w:w="240" w:type="dxa"/>
            </w:tcMar>
            <w:vAlign w:val="center"/>
            <w:hideMark/>
          </w:tcPr>
          <w:p w14:paraId="0FDFAF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Year</w:t>
            </w:r>
          </w:p>
        </w:tc>
        <w:tc>
          <w:tcPr>
            <w:tcW w:w="739" w:type="pct"/>
            <w:tcBorders>
              <w:top w:val="single" w:sz="8" w:space="0" w:color="auto"/>
              <w:bottom w:val="single" w:sz="4" w:space="0" w:color="auto"/>
            </w:tcBorders>
            <w:tcMar>
              <w:top w:w="150" w:type="dxa"/>
              <w:left w:w="240" w:type="dxa"/>
              <w:bottom w:w="150" w:type="dxa"/>
              <w:right w:w="240" w:type="dxa"/>
            </w:tcMar>
            <w:vAlign w:val="center"/>
            <w:hideMark/>
          </w:tcPr>
          <w:p w14:paraId="134CB3F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1029" w:type="pct"/>
            <w:tcBorders>
              <w:top w:val="single" w:sz="8" w:space="0" w:color="auto"/>
              <w:bottom w:val="single" w:sz="4" w:space="0" w:color="auto"/>
            </w:tcBorders>
            <w:tcMar>
              <w:top w:w="150" w:type="dxa"/>
              <w:left w:w="240" w:type="dxa"/>
              <w:bottom w:w="150" w:type="dxa"/>
              <w:right w:w="240" w:type="dxa"/>
            </w:tcMar>
            <w:vAlign w:val="center"/>
            <w:hideMark/>
          </w:tcPr>
          <w:p w14:paraId="00A0BD7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Rural (%)</w:t>
            </w:r>
          </w:p>
        </w:tc>
        <w:tc>
          <w:tcPr>
            <w:tcW w:w="1256" w:type="pct"/>
            <w:tcBorders>
              <w:top w:val="single" w:sz="8" w:space="0" w:color="auto"/>
              <w:bottom w:val="single" w:sz="4" w:space="0" w:color="auto"/>
            </w:tcBorders>
            <w:tcMar>
              <w:top w:w="150" w:type="dxa"/>
              <w:left w:w="240" w:type="dxa"/>
              <w:bottom w:w="150" w:type="dxa"/>
              <w:right w:w="240" w:type="dxa"/>
            </w:tcMar>
            <w:vAlign w:val="center"/>
            <w:hideMark/>
          </w:tcPr>
          <w:p w14:paraId="31910A38"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Transitional (%)</w:t>
            </w:r>
          </w:p>
        </w:tc>
        <w:tc>
          <w:tcPr>
            <w:tcW w:w="932" w:type="pct"/>
            <w:tcBorders>
              <w:top w:val="single" w:sz="8" w:space="0" w:color="auto"/>
              <w:bottom w:val="single" w:sz="4" w:space="0" w:color="auto"/>
            </w:tcBorders>
            <w:tcMar>
              <w:top w:w="150" w:type="dxa"/>
              <w:left w:w="240" w:type="dxa"/>
              <w:bottom w:w="150" w:type="dxa"/>
              <w:right w:w="240" w:type="dxa"/>
            </w:tcMar>
            <w:vAlign w:val="center"/>
            <w:hideMark/>
          </w:tcPr>
          <w:p w14:paraId="2441E29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Urban (%)</w:t>
            </w:r>
          </w:p>
        </w:tc>
      </w:tr>
      <w:tr w:rsidR="00265CF1" w:rsidRPr="00D71FF2" w14:paraId="3C29E787" w14:textId="77777777" w:rsidTr="00603380">
        <w:tc>
          <w:tcPr>
            <w:tcW w:w="473" w:type="pct"/>
            <w:tcBorders>
              <w:top w:val="single" w:sz="4" w:space="0" w:color="auto"/>
            </w:tcBorders>
            <w:tcMar>
              <w:top w:w="150" w:type="dxa"/>
              <w:left w:w="0" w:type="dxa"/>
              <w:bottom w:w="150" w:type="dxa"/>
              <w:right w:w="240" w:type="dxa"/>
            </w:tcMar>
            <w:vAlign w:val="center"/>
            <w:hideMark/>
          </w:tcPr>
          <w:p w14:paraId="68A7BD6C" w14:textId="77777777" w:rsidR="00265CF1" w:rsidRPr="00D71FF2" w:rsidRDefault="00265CF1" w:rsidP="00265CF1">
            <w:pPr>
              <w:rPr>
                <w:rFonts w:ascii="Times New Roman" w:hAnsi="Times New Roman" w:cs="Times New Roman"/>
                <w:sz w:val="18"/>
                <w:szCs w:val="18"/>
              </w:rPr>
            </w:pPr>
            <w:r>
              <w:t>1</w:t>
            </w:r>
          </w:p>
        </w:tc>
        <w:tc>
          <w:tcPr>
            <w:tcW w:w="572" w:type="pct"/>
            <w:tcBorders>
              <w:top w:val="single" w:sz="4" w:space="0" w:color="auto"/>
            </w:tcBorders>
            <w:tcMar>
              <w:top w:w="150" w:type="dxa"/>
              <w:left w:w="240" w:type="dxa"/>
              <w:bottom w:w="150" w:type="dxa"/>
              <w:right w:w="240" w:type="dxa"/>
            </w:tcMar>
            <w:vAlign w:val="center"/>
            <w:hideMark/>
          </w:tcPr>
          <w:p w14:paraId="061AD93A" w14:textId="77777777" w:rsidR="00265CF1" w:rsidRPr="00D71FF2" w:rsidRDefault="00265CF1" w:rsidP="00265CF1">
            <w:pPr>
              <w:rPr>
                <w:rFonts w:ascii="Times New Roman" w:hAnsi="Times New Roman" w:cs="Times New Roman"/>
                <w:sz w:val="18"/>
                <w:szCs w:val="18"/>
              </w:rPr>
            </w:pPr>
            <w:r>
              <w:t>1991</w:t>
            </w:r>
          </w:p>
        </w:tc>
        <w:tc>
          <w:tcPr>
            <w:tcW w:w="739" w:type="pct"/>
            <w:tcBorders>
              <w:top w:val="single" w:sz="4" w:space="0" w:color="auto"/>
            </w:tcBorders>
            <w:tcMar>
              <w:top w:w="150" w:type="dxa"/>
              <w:left w:w="240" w:type="dxa"/>
              <w:bottom w:w="150" w:type="dxa"/>
              <w:right w:w="240" w:type="dxa"/>
            </w:tcMar>
            <w:vAlign w:val="center"/>
            <w:hideMark/>
          </w:tcPr>
          <w:p w14:paraId="4F0C40F7" w14:textId="77777777" w:rsidR="00265CF1" w:rsidRPr="00D71FF2" w:rsidRDefault="00265CF1" w:rsidP="00265CF1">
            <w:pPr>
              <w:rPr>
                <w:rFonts w:ascii="Times New Roman" w:hAnsi="Times New Roman" w:cs="Times New Roman"/>
                <w:sz w:val="18"/>
                <w:szCs w:val="18"/>
              </w:rPr>
            </w:pPr>
            <w:r>
              <w:t>13,446</w:t>
            </w:r>
          </w:p>
        </w:tc>
        <w:tc>
          <w:tcPr>
            <w:tcW w:w="1029" w:type="pct"/>
            <w:tcBorders>
              <w:top w:val="single" w:sz="4" w:space="0" w:color="auto"/>
            </w:tcBorders>
            <w:tcMar>
              <w:top w:w="150" w:type="dxa"/>
              <w:left w:w="240" w:type="dxa"/>
              <w:bottom w:w="150" w:type="dxa"/>
              <w:right w:w="240" w:type="dxa"/>
            </w:tcMar>
            <w:vAlign w:val="center"/>
            <w:hideMark/>
          </w:tcPr>
          <w:p w14:paraId="242514BB" w14:textId="77777777" w:rsidR="00265CF1" w:rsidRPr="00D71FF2" w:rsidRDefault="00265CF1" w:rsidP="00265CF1">
            <w:pPr>
              <w:rPr>
                <w:rFonts w:ascii="Times New Roman" w:hAnsi="Times New Roman" w:cs="Times New Roman"/>
                <w:sz w:val="18"/>
                <w:szCs w:val="18"/>
              </w:rPr>
            </w:pPr>
            <w:r>
              <w:t>7,629 (56.7)</w:t>
            </w:r>
          </w:p>
        </w:tc>
        <w:tc>
          <w:tcPr>
            <w:tcW w:w="1256" w:type="pct"/>
            <w:tcBorders>
              <w:top w:val="single" w:sz="4" w:space="0" w:color="auto"/>
            </w:tcBorders>
            <w:tcMar>
              <w:top w:w="150" w:type="dxa"/>
              <w:left w:w="240" w:type="dxa"/>
              <w:bottom w:w="150" w:type="dxa"/>
              <w:right w:w="240" w:type="dxa"/>
            </w:tcMar>
            <w:vAlign w:val="center"/>
            <w:hideMark/>
          </w:tcPr>
          <w:p w14:paraId="3D990AF9" w14:textId="77777777" w:rsidR="00265CF1" w:rsidRPr="00D71FF2" w:rsidRDefault="00265CF1" w:rsidP="00265CF1">
            <w:pPr>
              <w:rPr>
                <w:rFonts w:ascii="Times New Roman" w:hAnsi="Times New Roman" w:cs="Times New Roman"/>
                <w:sz w:val="18"/>
                <w:szCs w:val="18"/>
              </w:rPr>
            </w:pPr>
            <w:r>
              <w:t>2,774 (20.6)</w:t>
            </w:r>
          </w:p>
        </w:tc>
        <w:tc>
          <w:tcPr>
            <w:tcW w:w="932" w:type="pct"/>
            <w:tcBorders>
              <w:top w:val="single" w:sz="4" w:space="0" w:color="auto"/>
            </w:tcBorders>
            <w:tcMar>
              <w:top w:w="150" w:type="dxa"/>
              <w:left w:w="240" w:type="dxa"/>
              <w:bottom w:w="150" w:type="dxa"/>
              <w:right w:w="0" w:type="dxa"/>
            </w:tcMar>
            <w:vAlign w:val="center"/>
            <w:hideMark/>
          </w:tcPr>
          <w:p w14:paraId="3346BF69" w14:textId="77777777" w:rsidR="00265CF1" w:rsidRPr="00D71FF2" w:rsidRDefault="00265CF1" w:rsidP="00265CF1">
            <w:pPr>
              <w:rPr>
                <w:rFonts w:ascii="Times New Roman" w:hAnsi="Times New Roman" w:cs="Times New Roman"/>
                <w:sz w:val="18"/>
                <w:szCs w:val="18"/>
              </w:rPr>
            </w:pPr>
            <w:r>
              <w:t>3,043 (22.6)</w:t>
            </w:r>
          </w:p>
        </w:tc>
      </w:tr>
      <w:tr w:rsidR="00265CF1" w:rsidRPr="00D71FF2" w14:paraId="45F2FAFF" w14:textId="77777777" w:rsidTr="00603380">
        <w:tc>
          <w:tcPr>
            <w:tcW w:w="473" w:type="pct"/>
            <w:tcMar>
              <w:top w:w="150" w:type="dxa"/>
              <w:left w:w="0" w:type="dxa"/>
              <w:bottom w:w="150" w:type="dxa"/>
              <w:right w:w="240" w:type="dxa"/>
            </w:tcMar>
            <w:vAlign w:val="center"/>
            <w:hideMark/>
          </w:tcPr>
          <w:p w14:paraId="2EA3EB5A" w14:textId="77777777" w:rsidR="00265CF1" w:rsidRPr="00D71FF2" w:rsidRDefault="00265CF1" w:rsidP="00265CF1">
            <w:pPr>
              <w:rPr>
                <w:rFonts w:ascii="Times New Roman" w:hAnsi="Times New Roman" w:cs="Times New Roman"/>
                <w:sz w:val="18"/>
                <w:szCs w:val="18"/>
              </w:rPr>
            </w:pPr>
            <w:r>
              <w:t>2</w:t>
            </w:r>
          </w:p>
        </w:tc>
        <w:tc>
          <w:tcPr>
            <w:tcW w:w="572" w:type="pct"/>
            <w:tcMar>
              <w:top w:w="150" w:type="dxa"/>
              <w:left w:w="240" w:type="dxa"/>
              <w:bottom w:w="150" w:type="dxa"/>
              <w:right w:w="240" w:type="dxa"/>
            </w:tcMar>
            <w:vAlign w:val="center"/>
            <w:hideMark/>
          </w:tcPr>
          <w:p w14:paraId="6188B635" w14:textId="77777777" w:rsidR="00265CF1" w:rsidRPr="00D71FF2" w:rsidRDefault="00265CF1" w:rsidP="00265CF1">
            <w:pPr>
              <w:rPr>
                <w:rFonts w:ascii="Times New Roman" w:hAnsi="Times New Roman" w:cs="Times New Roman"/>
                <w:sz w:val="18"/>
                <w:szCs w:val="18"/>
              </w:rPr>
            </w:pPr>
            <w:r>
              <w:t>1993</w:t>
            </w:r>
          </w:p>
        </w:tc>
        <w:tc>
          <w:tcPr>
            <w:tcW w:w="739" w:type="pct"/>
            <w:tcMar>
              <w:top w:w="150" w:type="dxa"/>
              <w:left w:w="240" w:type="dxa"/>
              <w:bottom w:w="150" w:type="dxa"/>
              <w:right w:w="240" w:type="dxa"/>
            </w:tcMar>
            <w:vAlign w:val="center"/>
            <w:hideMark/>
          </w:tcPr>
          <w:p w14:paraId="54C2F947" w14:textId="77777777" w:rsidR="00265CF1" w:rsidRPr="00D71FF2" w:rsidRDefault="00265CF1" w:rsidP="00265CF1">
            <w:pPr>
              <w:rPr>
                <w:rFonts w:ascii="Times New Roman" w:hAnsi="Times New Roman" w:cs="Times New Roman"/>
                <w:sz w:val="18"/>
                <w:szCs w:val="18"/>
              </w:rPr>
            </w:pPr>
            <w:r>
              <w:t>12,632</w:t>
            </w:r>
          </w:p>
        </w:tc>
        <w:tc>
          <w:tcPr>
            <w:tcW w:w="1029" w:type="pct"/>
            <w:tcMar>
              <w:top w:w="150" w:type="dxa"/>
              <w:left w:w="240" w:type="dxa"/>
              <w:bottom w:w="150" w:type="dxa"/>
              <w:right w:w="240" w:type="dxa"/>
            </w:tcMar>
            <w:vAlign w:val="center"/>
            <w:hideMark/>
          </w:tcPr>
          <w:p w14:paraId="56E1F375" w14:textId="77777777" w:rsidR="00265CF1" w:rsidRPr="00D71FF2" w:rsidRDefault="00265CF1" w:rsidP="00265CF1">
            <w:pPr>
              <w:rPr>
                <w:rFonts w:ascii="Times New Roman" w:hAnsi="Times New Roman" w:cs="Times New Roman"/>
                <w:sz w:val="18"/>
                <w:szCs w:val="18"/>
              </w:rPr>
            </w:pPr>
            <w:r>
              <w:t>7,108 (56.3)</w:t>
            </w:r>
          </w:p>
        </w:tc>
        <w:tc>
          <w:tcPr>
            <w:tcW w:w="1256" w:type="pct"/>
            <w:tcMar>
              <w:top w:w="150" w:type="dxa"/>
              <w:left w:w="240" w:type="dxa"/>
              <w:bottom w:w="150" w:type="dxa"/>
              <w:right w:w="240" w:type="dxa"/>
            </w:tcMar>
            <w:vAlign w:val="center"/>
            <w:hideMark/>
          </w:tcPr>
          <w:p w14:paraId="3545A11A" w14:textId="77777777" w:rsidR="00265CF1" w:rsidRPr="00D71FF2" w:rsidRDefault="00265CF1" w:rsidP="00265CF1">
            <w:pPr>
              <w:rPr>
                <w:rFonts w:ascii="Times New Roman" w:hAnsi="Times New Roman" w:cs="Times New Roman"/>
                <w:sz w:val="18"/>
                <w:szCs w:val="18"/>
              </w:rPr>
            </w:pPr>
            <w:r>
              <w:t>2,755 (21.8)</w:t>
            </w:r>
          </w:p>
        </w:tc>
        <w:tc>
          <w:tcPr>
            <w:tcW w:w="932" w:type="pct"/>
            <w:tcMar>
              <w:top w:w="150" w:type="dxa"/>
              <w:left w:w="240" w:type="dxa"/>
              <w:bottom w:w="150" w:type="dxa"/>
              <w:right w:w="0" w:type="dxa"/>
            </w:tcMar>
            <w:vAlign w:val="center"/>
            <w:hideMark/>
          </w:tcPr>
          <w:p w14:paraId="4B4234DE" w14:textId="77777777" w:rsidR="00265CF1" w:rsidRPr="00D71FF2" w:rsidRDefault="00265CF1" w:rsidP="00265CF1">
            <w:pPr>
              <w:rPr>
                <w:rFonts w:ascii="Times New Roman" w:hAnsi="Times New Roman" w:cs="Times New Roman"/>
                <w:sz w:val="18"/>
                <w:szCs w:val="18"/>
              </w:rPr>
            </w:pPr>
            <w:r>
              <w:t>2,769 (21.9)</w:t>
            </w:r>
          </w:p>
        </w:tc>
      </w:tr>
      <w:tr w:rsidR="00265CF1" w:rsidRPr="00D71FF2" w14:paraId="0604685A" w14:textId="77777777" w:rsidTr="00603380">
        <w:tc>
          <w:tcPr>
            <w:tcW w:w="473" w:type="pct"/>
            <w:tcMar>
              <w:top w:w="150" w:type="dxa"/>
              <w:left w:w="0" w:type="dxa"/>
              <w:bottom w:w="150" w:type="dxa"/>
              <w:right w:w="240" w:type="dxa"/>
            </w:tcMar>
            <w:vAlign w:val="center"/>
            <w:hideMark/>
          </w:tcPr>
          <w:p w14:paraId="1593D404" w14:textId="77777777" w:rsidR="00265CF1" w:rsidRPr="00D71FF2" w:rsidRDefault="00265CF1" w:rsidP="00265CF1">
            <w:pPr>
              <w:rPr>
                <w:rFonts w:ascii="Times New Roman" w:hAnsi="Times New Roman" w:cs="Times New Roman"/>
                <w:sz w:val="18"/>
                <w:szCs w:val="18"/>
              </w:rPr>
            </w:pPr>
            <w:r>
              <w:t>3</w:t>
            </w:r>
          </w:p>
        </w:tc>
        <w:tc>
          <w:tcPr>
            <w:tcW w:w="572" w:type="pct"/>
            <w:tcMar>
              <w:top w:w="150" w:type="dxa"/>
              <w:left w:w="240" w:type="dxa"/>
              <w:bottom w:w="150" w:type="dxa"/>
              <w:right w:w="240" w:type="dxa"/>
            </w:tcMar>
            <w:vAlign w:val="center"/>
            <w:hideMark/>
          </w:tcPr>
          <w:p w14:paraId="63396CF3" w14:textId="77777777" w:rsidR="00265CF1" w:rsidRPr="00D71FF2" w:rsidRDefault="00265CF1" w:rsidP="00265CF1">
            <w:pPr>
              <w:rPr>
                <w:rFonts w:ascii="Times New Roman" w:hAnsi="Times New Roman" w:cs="Times New Roman"/>
                <w:sz w:val="18"/>
                <w:szCs w:val="18"/>
              </w:rPr>
            </w:pPr>
            <w:r>
              <w:t>1997</w:t>
            </w:r>
          </w:p>
        </w:tc>
        <w:tc>
          <w:tcPr>
            <w:tcW w:w="739" w:type="pct"/>
            <w:tcMar>
              <w:top w:w="150" w:type="dxa"/>
              <w:left w:w="240" w:type="dxa"/>
              <w:bottom w:w="150" w:type="dxa"/>
              <w:right w:w="240" w:type="dxa"/>
            </w:tcMar>
            <w:vAlign w:val="center"/>
            <w:hideMark/>
          </w:tcPr>
          <w:p w14:paraId="2D159BC4" w14:textId="77777777" w:rsidR="00265CF1" w:rsidRPr="00D71FF2" w:rsidRDefault="00265CF1" w:rsidP="00265CF1">
            <w:pPr>
              <w:rPr>
                <w:rFonts w:ascii="Times New Roman" w:hAnsi="Times New Roman" w:cs="Times New Roman"/>
                <w:sz w:val="18"/>
                <w:szCs w:val="18"/>
              </w:rPr>
            </w:pPr>
            <w:r>
              <w:t>12,743</w:t>
            </w:r>
          </w:p>
        </w:tc>
        <w:tc>
          <w:tcPr>
            <w:tcW w:w="1029" w:type="pct"/>
            <w:tcMar>
              <w:top w:w="150" w:type="dxa"/>
              <w:left w:w="240" w:type="dxa"/>
              <w:bottom w:w="150" w:type="dxa"/>
              <w:right w:w="240" w:type="dxa"/>
            </w:tcMar>
            <w:vAlign w:val="center"/>
            <w:hideMark/>
          </w:tcPr>
          <w:p w14:paraId="310580DA" w14:textId="77777777" w:rsidR="00265CF1" w:rsidRPr="00D71FF2" w:rsidRDefault="00265CF1" w:rsidP="00265CF1">
            <w:pPr>
              <w:rPr>
                <w:rFonts w:ascii="Times New Roman" w:hAnsi="Times New Roman" w:cs="Times New Roman"/>
                <w:sz w:val="18"/>
                <w:szCs w:val="18"/>
              </w:rPr>
            </w:pPr>
            <w:r>
              <w:t>6,624 (52.0)</w:t>
            </w:r>
          </w:p>
        </w:tc>
        <w:tc>
          <w:tcPr>
            <w:tcW w:w="1256" w:type="pct"/>
            <w:tcMar>
              <w:top w:w="150" w:type="dxa"/>
              <w:left w:w="240" w:type="dxa"/>
              <w:bottom w:w="150" w:type="dxa"/>
              <w:right w:w="240" w:type="dxa"/>
            </w:tcMar>
            <w:vAlign w:val="center"/>
            <w:hideMark/>
          </w:tcPr>
          <w:p w14:paraId="3B2CEC15" w14:textId="77777777" w:rsidR="00265CF1" w:rsidRPr="00D71FF2" w:rsidRDefault="00265CF1" w:rsidP="00265CF1">
            <w:pPr>
              <w:rPr>
                <w:rFonts w:ascii="Times New Roman" w:hAnsi="Times New Roman" w:cs="Times New Roman"/>
                <w:sz w:val="18"/>
                <w:szCs w:val="18"/>
              </w:rPr>
            </w:pPr>
            <w:r>
              <w:t>2,866 (22.5)</w:t>
            </w:r>
          </w:p>
        </w:tc>
        <w:tc>
          <w:tcPr>
            <w:tcW w:w="932" w:type="pct"/>
            <w:tcMar>
              <w:top w:w="150" w:type="dxa"/>
              <w:left w:w="240" w:type="dxa"/>
              <w:bottom w:w="150" w:type="dxa"/>
              <w:right w:w="0" w:type="dxa"/>
            </w:tcMar>
            <w:vAlign w:val="center"/>
            <w:hideMark/>
          </w:tcPr>
          <w:p w14:paraId="4569C702" w14:textId="77777777" w:rsidR="00265CF1" w:rsidRPr="00D71FF2" w:rsidRDefault="00265CF1" w:rsidP="00265CF1">
            <w:pPr>
              <w:rPr>
                <w:rFonts w:ascii="Times New Roman" w:hAnsi="Times New Roman" w:cs="Times New Roman"/>
                <w:sz w:val="18"/>
                <w:szCs w:val="18"/>
              </w:rPr>
            </w:pPr>
            <w:r>
              <w:t>3,253 (25.5)</w:t>
            </w:r>
          </w:p>
        </w:tc>
      </w:tr>
      <w:tr w:rsidR="00265CF1" w:rsidRPr="00D71FF2" w14:paraId="38DF26B3" w14:textId="77777777" w:rsidTr="00603380">
        <w:tc>
          <w:tcPr>
            <w:tcW w:w="473" w:type="pct"/>
            <w:tcMar>
              <w:top w:w="150" w:type="dxa"/>
              <w:left w:w="0" w:type="dxa"/>
              <w:bottom w:w="150" w:type="dxa"/>
              <w:right w:w="240" w:type="dxa"/>
            </w:tcMar>
            <w:vAlign w:val="center"/>
            <w:hideMark/>
          </w:tcPr>
          <w:p w14:paraId="72240941" w14:textId="77777777" w:rsidR="00265CF1" w:rsidRPr="00D71FF2" w:rsidRDefault="00265CF1" w:rsidP="00265CF1">
            <w:pPr>
              <w:rPr>
                <w:rFonts w:ascii="Times New Roman" w:hAnsi="Times New Roman" w:cs="Times New Roman"/>
                <w:sz w:val="18"/>
                <w:szCs w:val="18"/>
              </w:rPr>
            </w:pPr>
            <w:r>
              <w:t>4</w:t>
            </w:r>
          </w:p>
        </w:tc>
        <w:tc>
          <w:tcPr>
            <w:tcW w:w="572" w:type="pct"/>
            <w:tcMar>
              <w:top w:w="150" w:type="dxa"/>
              <w:left w:w="240" w:type="dxa"/>
              <w:bottom w:w="150" w:type="dxa"/>
              <w:right w:w="240" w:type="dxa"/>
            </w:tcMar>
            <w:vAlign w:val="center"/>
            <w:hideMark/>
          </w:tcPr>
          <w:p w14:paraId="6B83E42B" w14:textId="77777777" w:rsidR="00265CF1" w:rsidRPr="00D71FF2" w:rsidRDefault="00265CF1" w:rsidP="00265CF1">
            <w:pPr>
              <w:rPr>
                <w:rFonts w:ascii="Times New Roman" w:hAnsi="Times New Roman" w:cs="Times New Roman"/>
                <w:sz w:val="18"/>
                <w:szCs w:val="18"/>
              </w:rPr>
            </w:pPr>
            <w:r>
              <w:t>2000</w:t>
            </w:r>
          </w:p>
        </w:tc>
        <w:tc>
          <w:tcPr>
            <w:tcW w:w="739" w:type="pct"/>
            <w:tcMar>
              <w:top w:w="150" w:type="dxa"/>
              <w:left w:w="240" w:type="dxa"/>
              <w:bottom w:w="150" w:type="dxa"/>
              <w:right w:w="240" w:type="dxa"/>
            </w:tcMar>
            <w:vAlign w:val="center"/>
            <w:hideMark/>
          </w:tcPr>
          <w:p w14:paraId="3DD532A4" w14:textId="77777777" w:rsidR="00265CF1" w:rsidRPr="00D71FF2" w:rsidRDefault="00265CF1" w:rsidP="00265CF1">
            <w:pPr>
              <w:rPr>
                <w:rFonts w:ascii="Times New Roman" w:hAnsi="Times New Roman" w:cs="Times New Roman"/>
                <w:sz w:val="18"/>
                <w:szCs w:val="18"/>
              </w:rPr>
            </w:pPr>
            <w:r>
              <w:t>13,530</w:t>
            </w:r>
          </w:p>
        </w:tc>
        <w:tc>
          <w:tcPr>
            <w:tcW w:w="1029" w:type="pct"/>
            <w:tcMar>
              <w:top w:w="150" w:type="dxa"/>
              <w:left w:w="240" w:type="dxa"/>
              <w:bottom w:w="150" w:type="dxa"/>
              <w:right w:w="240" w:type="dxa"/>
            </w:tcMar>
            <w:vAlign w:val="center"/>
            <w:hideMark/>
          </w:tcPr>
          <w:p w14:paraId="3704A282" w14:textId="77777777" w:rsidR="00265CF1" w:rsidRPr="00D71FF2" w:rsidRDefault="00265CF1" w:rsidP="00265CF1">
            <w:pPr>
              <w:rPr>
                <w:rFonts w:ascii="Times New Roman" w:hAnsi="Times New Roman" w:cs="Times New Roman"/>
                <w:sz w:val="18"/>
                <w:szCs w:val="18"/>
              </w:rPr>
            </w:pPr>
            <w:r>
              <w:t>6,916 (51.1)</w:t>
            </w:r>
          </w:p>
        </w:tc>
        <w:tc>
          <w:tcPr>
            <w:tcW w:w="1256" w:type="pct"/>
            <w:tcMar>
              <w:top w:w="150" w:type="dxa"/>
              <w:left w:w="240" w:type="dxa"/>
              <w:bottom w:w="150" w:type="dxa"/>
              <w:right w:w="240" w:type="dxa"/>
            </w:tcMar>
            <w:vAlign w:val="center"/>
            <w:hideMark/>
          </w:tcPr>
          <w:p w14:paraId="47DB2267" w14:textId="77777777" w:rsidR="00265CF1" w:rsidRPr="00D71FF2" w:rsidRDefault="00265CF1" w:rsidP="00265CF1">
            <w:pPr>
              <w:rPr>
                <w:rFonts w:ascii="Times New Roman" w:hAnsi="Times New Roman" w:cs="Times New Roman"/>
                <w:sz w:val="18"/>
                <w:szCs w:val="18"/>
              </w:rPr>
            </w:pPr>
            <w:r>
              <w:t>3,199 (23.6)</w:t>
            </w:r>
          </w:p>
        </w:tc>
        <w:tc>
          <w:tcPr>
            <w:tcW w:w="932" w:type="pct"/>
            <w:tcMar>
              <w:top w:w="150" w:type="dxa"/>
              <w:left w:w="240" w:type="dxa"/>
              <w:bottom w:w="150" w:type="dxa"/>
              <w:right w:w="0" w:type="dxa"/>
            </w:tcMar>
            <w:vAlign w:val="center"/>
            <w:hideMark/>
          </w:tcPr>
          <w:p w14:paraId="3CC3A6B4" w14:textId="77777777" w:rsidR="00265CF1" w:rsidRPr="00D71FF2" w:rsidRDefault="00265CF1" w:rsidP="00265CF1">
            <w:pPr>
              <w:rPr>
                <w:rFonts w:ascii="Times New Roman" w:hAnsi="Times New Roman" w:cs="Times New Roman"/>
                <w:sz w:val="18"/>
                <w:szCs w:val="18"/>
              </w:rPr>
            </w:pPr>
            <w:r>
              <w:t>3,415 (25.2)</w:t>
            </w:r>
          </w:p>
        </w:tc>
      </w:tr>
      <w:tr w:rsidR="00265CF1" w:rsidRPr="00D71FF2" w14:paraId="57776BA2" w14:textId="77777777" w:rsidTr="00603380">
        <w:tc>
          <w:tcPr>
            <w:tcW w:w="473" w:type="pct"/>
            <w:tcMar>
              <w:top w:w="150" w:type="dxa"/>
              <w:left w:w="0" w:type="dxa"/>
              <w:bottom w:w="150" w:type="dxa"/>
              <w:right w:w="240" w:type="dxa"/>
            </w:tcMar>
            <w:vAlign w:val="center"/>
            <w:hideMark/>
          </w:tcPr>
          <w:p w14:paraId="63DC7CAA" w14:textId="77777777" w:rsidR="00265CF1" w:rsidRPr="00D71FF2" w:rsidRDefault="00265CF1" w:rsidP="00265CF1">
            <w:pPr>
              <w:rPr>
                <w:rFonts w:ascii="Times New Roman" w:hAnsi="Times New Roman" w:cs="Times New Roman"/>
                <w:sz w:val="18"/>
                <w:szCs w:val="18"/>
              </w:rPr>
            </w:pPr>
            <w:r>
              <w:t>5</w:t>
            </w:r>
          </w:p>
        </w:tc>
        <w:tc>
          <w:tcPr>
            <w:tcW w:w="572" w:type="pct"/>
            <w:tcMar>
              <w:top w:w="150" w:type="dxa"/>
              <w:left w:w="240" w:type="dxa"/>
              <w:bottom w:w="150" w:type="dxa"/>
              <w:right w:w="240" w:type="dxa"/>
            </w:tcMar>
            <w:vAlign w:val="center"/>
            <w:hideMark/>
          </w:tcPr>
          <w:p w14:paraId="1CA76538" w14:textId="77777777" w:rsidR="00265CF1" w:rsidRPr="00D71FF2" w:rsidRDefault="00265CF1" w:rsidP="00265CF1">
            <w:pPr>
              <w:rPr>
                <w:rFonts w:ascii="Times New Roman" w:hAnsi="Times New Roman" w:cs="Times New Roman"/>
                <w:sz w:val="18"/>
                <w:szCs w:val="18"/>
              </w:rPr>
            </w:pPr>
            <w:r>
              <w:t>2004</w:t>
            </w:r>
          </w:p>
        </w:tc>
        <w:tc>
          <w:tcPr>
            <w:tcW w:w="739" w:type="pct"/>
            <w:tcMar>
              <w:top w:w="150" w:type="dxa"/>
              <w:left w:w="240" w:type="dxa"/>
              <w:bottom w:w="150" w:type="dxa"/>
              <w:right w:w="240" w:type="dxa"/>
            </w:tcMar>
            <w:vAlign w:val="center"/>
            <w:hideMark/>
          </w:tcPr>
          <w:p w14:paraId="5CE2D88E" w14:textId="77777777" w:rsidR="00265CF1" w:rsidRPr="00D71FF2" w:rsidRDefault="00265CF1" w:rsidP="00265CF1">
            <w:pPr>
              <w:rPr>
                <w:rFonts w:ascii="Times New Roman" w:hAnsi="Times New Roman" w:cs="Times New Roman"/>
                <w:sz w:val="18"/>
                <w:szCs w:val="18"/>
              </w:rPr>
            </w:pPr>
            <w:r>
              <w:t>11,783</w:t>
            </w:r>
          </w:p>
        </w:tc>
        <w:tc>
          <w:tcPr>
            <w:tcW w:w="1029" w:type="pct"/>
            <w:tcMar>
              <w:top w:w="150" w:type="dxa"/>
              <w:left w:w="240" w:type="dxa"/>
              <w:bottom w:w="150" w:type="dxa"/>
              <w:right w:w="240" w:type="dxa"/>
            </w:tcMar>
            <w:vAlign w:val="center"/>
            <w:hideMark/>
          </w:tcPr>
          <w:p w14:paraId="059A96CE" w14:textId="77777777" w:rsidR="00265CF1" w:rsidRPr="00D71FF2" w:rsidRDefault="00265CF1" w:rsidP="00265CF1">
            <w:pPr>
              <w:rPr>
                <w:rFonts w:ascii="Times New Roman" w:hAnsi="Times New Roman" w:cs="Times New Roman"/>
                <w:sz w:val="18"/>
                <w:szCs w:val="18"/>
              </w:rPr>
            </w:pPr>
            <w:r>
              <w:t>5,776 (49.0)</w:t>
            </w:r>
          </w:p>
        </w:tc>
        <w:tc>
          <w:tcPr>
            <w:tcW w:w="1256" w:type="pct"/>
            <w:tcMar>
              <w:top w:w="150" w:type="dxa"/>
              <w:left w:w="240" w:type="dxa"/>
              <w:bottom w:w="150" w:type="dxa"/>
              <w:right w:w="240" w:type="dxa"/>
            </w:tcMar>
            <w:vAlign w:val="center"/>
            <w:hideMark/>
          </w:tcPr>
          <w:p w14:paraId="169820CC" w14:textId="77777777" w:rsidR="00265CF1" w:rsidRPr="00D71FF2" w:rsidRDefault="00265CF1" w:rsidP="00265CF1">
            <w:pPr>
              <w:rPr>
                <w:rFonts w:ascii="Times New Roman" w:hAnsi="Times New Roman" w:cs="Times New Roman"/>
                <w:sz w:val="18"/>
                <w:szCs w:val="18"/>
              </w:rPr>
            </w:pPr>
            <w:r>
              <w:t>2,921 (24.8)</w:t>
            </w:r>
          </w:p>
        </w:tc>
        <w:tc>
          <w:tcPr>
            <w:tcW w:w="932" w:type="pct"/>
            <w:tcMar>
              <w:top w:w="150" w:type="dxa"/>
              <w:left w:w="240" w:type="dxa"/>
              <w:bottom w:w="150" w:type="dxa"/>
              <w:right w:w="0" w:type="dxa"/>
            </w:tcMar>
            <w:vAlign w:val="center"/>
            <w:hideMark/>
          </w:tcPr>
          <w:p w14:paraId="652F0248" w14:textId="77777777" w:rsidR="00265CF1" w:rsidRPr="00D71FF2" w:rsidRDefault="00265CF1" w:rsidP="00265CF1">
            <w:pPr>
              <w:rPr>
                <w:rFonts w:ascii="Times New Roman" w:hAnsi="Times New Roman" w:cs="Times New Roman"/>
                <w:sz w:val="18"/>
                <w:szCs w:val="18"/>
              </w:rPr>
            </w:pPr>
            <w:r>
              <w:t>3,086 (26.2)</w:t>
            </w:r>
          </w:p>
        </w:tc>
      </w:tr>
      <w:tr w:rsidR="00265CF1" w:rsidRPr="00D71FF2" w14:paraId="10618455" w14:textId="77777777" w:rsidTr="00603380">
        <w:tc>
          <w:tcPr>
            <w:tcW w:w="473" w:type="pct"/>
            <w:tcMar>
              <w:top w:w="150" w:type="dxa"/>
              <w:left w:w="0" w:type="dxa"/>
              <w:bottom w:w="150" w:type="dxa"/>
              <w:right w:w="240" w:type="dxa"/>
            </w:tcMar>
            <w:vAlign w:val="center"/>
            <w:hideMark/>
          </w:tcPr>
          <w:p w14:paraId="1B68F9C6" w14:textId="77777777" w:rsidR="00265CF1" w:rsidRPr="00D71FF2" w:rsidRDefault="00265CF1" w:rsidP="00265CF1">
            <w:pPr>
              <w:rPr>
                <w:rFonts w:ascii="Times New Roman" w:hAnsi="Times New Roman" w:cs="Times New Roman"/>
                <w:sz w:val="18"/>
                <w:szCs w:val="18"/>
              </w:rPr>
            </w:pPr>
            <w:r>
              <w:t>6</w:t>
            </w:r>
          </w:p>
        </w:tc>
        <w:tc>
          <w:tcPr>
            <w:tcW w:w="572" w:type="pct"/>
            <w:tcMar>
              <w:top w:w="150" w:type="dxa"/>
              <w:left w:w="240" w:type="dxa"/>
              <w:bottom w:w="150" w:type="dxa"/>
              <w:right w:w="240" w:type="dxa"/>
            </w:tcMar>
            <w:vAlign w:val="center"/>
            <w:hideMark/>
          </w:tcPr>
          <w:p w14:paraId="2542E531" w14:textId="77777777" w:rsidR="00265CF1" w:rsidRPr="00D71FF2" w:rsidRDefault="00265CF1" w:rsidP="00265CF1">
            <w:pPr>
              <w:rPr>
                <w:rFonts w:ascii="Times New Roman" w:hAnsi="Times New Roman" w:cs="Times New Roman"/>
                <w:sz w:val="18"/>
                <w:szCs w:val="18"/>
              </w:rPr>
            </w:pPr>
            <w:r>
              <w:t>2006</w:t>
            </w:r>
          </w:p>
        </w:tc>
        <w:tc>
          <w:tcPr>
            <w:tcW w:w="739" w:type="pct"/>
            <w:tcMar>
              <w:top w:w="150" w:type="dxa"/>
              <w:left w:w="240" w:type="dxa"/>
              <w:bottom w:w="150" w:type="dxa"/>
              <w:right w:w="240" w:type="dxa"/>
            </w:tcMar>
            <w:vAlign w:val="center"/>
            <w:hideMark/>
          </w:tcPr>
          <w:p w14:paraId="125F4E7D" w14:textId="77777777" w:rsidR="00265CF1" w:rsidRPr="00D71FF2" w:rsidRDefault="00265CF1" w:rsidP="00265CF1">
            <w:pPr>
              <w:rPr>
                <w:rFonts w:ascii="Times New Roman" w:hAnsi="Times New Roman" w:cs="Times New Roman"/>
                <w:sz w:val="18"/>
                <w:szCs w:val="18"/>
              </w:rPr>
            </w:pPr>
            <w:r>
              <w:t>11,328</w:t>
            </w:r>
          </w:p>
        </w:tc>
        <w:tc>
          <w:tcPr>
            <w:tcW w:w="1029" w:type="pct"/>
            <w:tcMar>
              <w:top w:w="150" w:type="dxa"/>
              <w:left w:w="240" w:type="dxa"/>
              <w:bottom w:w="150" w:type="dxa"/>
              <w:right w:w="240" w:type="dxa"/>
            </w:tcMar>
            <w:vAlign w:val="center"/>
            <w:hideMark/>
          </w:tcPr>
          <w:p w14:paraId="6D52C209" w14:textId="77777777" w:rsidR="00265CF1" w:rsidRPr="00D71FF2" w:rsidRDefault="00265CF1" w:rsidP="00265CF1">
            <w:pPr>
              <w:rPr>
                <w:rFonts w:ascii="Times New Roman" w:hAnsi="Times New Roman" w:cs="Times New Roman"/>
                <w:sz w:val="18"/>
                <w:szCs w:val="18"/>
              </w:rPr>
            </w:pPr>
            <w:r>
              <w:t>5,730 (50.6)</w:t>
            </w:r>
          </w:p>
        </w:tc>
        <w:tc>
          <w:tcPr>
            <w:tcW w:w="1256" w:type="pct"/>
            <w:tcMar>
              <w:top w:w="150" w:type="dxa"/>
              <w:left w:w="240" w:type="dxa"/>
              <w:bottom w:w="150" w:type="dxa"/>
              <w:right w:w="240" w:type="dxa"/>
            </w:tcMar>
            <w:vAlign w:val="center"/>
            <w:hideMark/>
          </w:tcPr>
          <w:p w14:paraId="1AEACF0E" w14:textId="77777777" w:rsidR="00265CF1" w:rsidRPr="00D71FF2" w:rsidRDefault="00265CF1" w:rsidP="00265CF1">
            <w:pPr>
              <w:rPr>
                <w:rFonts w:ascii="Times New Roman" w:hAnsi="Times New Roman" w:cs="Times New Roman"/>
                <w:sz w:val="18"/>
                <w:szCs w:val="18"/>
              </w:rPr>
            </w:pPr>
            <w:r>
              <w:t>2,493 (22.0)</w:t>
            </w:r>
          </w:p>
        </w:tc>
        <w:tc>
          <w:tcPr>
            <w:tcW w:w="932" w:type="pct"/>
            <w:tcMar>
              <w:top w:w="150" w:type="dxa"/>
              <w:left w:w="240" w:type="dxa"/>
              <w:bottom w:w="150" w:type="dxa"/>
              <w:right w:w="0" w:type="dxa"/>
            </w:tcMar>
            <w:vAlign w:val="center"/>
            <w:hideMark/>
          </w:tcPr>
          <w:p w14:paraId="3D160242" w14:textId="77777777" w:rsidR="00265CF1" w:rsidRPr="00D71FF2" w:rsidRDefault="00265CF1" w:rsidP="00265CF1">
            <w:pPr>
              <w:rPr>
                <w:rFonts w:ascii="Times New Roman" w:hAnsi="Times New Roman" w:cs="Times New Roman"/>
                <w:sz w:val="18"/>
                <w:szCs w:val="18"/>
              </w:rPr>
            </w:pPr>
            <w:r>
              <w:t>3,105 (27.4)</w:t>
            </w:r>
          </w:p>
        </w:tc>
      </w:tr>
      <w:tr w:rsidR="00265CF1" w:rsidRPr="00D71FF2" w14:paraId="22146AFF" w14:textId="77777777" w:rsidTr="00603380">
        <w:tc>
          <w:tcPr>
            <w:tcW w:w="473" w:type="pct"/>
            <w:tcMar>
              <w:top w:w="150" w:type="dxa"/>
              <w:left w:w="0" w:type="dxa"/>
              <w:bottom w:w="150" w:type="dxa"/>
              <w:right w:w="240" w:type="dxa"/>
            </w:tcMar>
            <w:vAlign w:val="center"/>
            <w:hideMark/>
          </w:tcPr>
          <w:p w14:paraId="081E6901" w14:textId="77777777" w:rsidR="00265CF1" w:rsidRPr="00D71FF2" w:rsidRDefault="00265CF1" w:rsidP="00265CF1">
            <w:pPr>
              <w:rPr>
                <w:rFonts w:ascii="Times New Roman" w:hAnsi="Times New Roman" w:cs="Times New Roman"/>
                <w:sz w:val="18"/>
                <w:szCs w:val="18"/>
              </w:rPr>
            </w:pPr>
            <w:r>
              <w:t>7</w:t>
            </w:r>
          </w:p>
        </w:tc>
        <w:tc>
          <w:tcPr>
            <w:tcW w:w="572" w:type="pct"/>
            <w:tcMar>
              <w:top w:w="150" w:type="dxa"/>
              <w:left w:w="240" w:type="dxa"/>
              <w:bottom w:w="150" w:type="dxa"/>
              <w:right w:w="240" w:type="dxa"/>
            </w:tcMar>
            <w:vAlign w:val="center"/>
            <w:hideMark/>
          </w:tcPr>
          <w:p w14:paraId="11AF00B7" w14:textId="77777777" w:rsidR="00265CF1" w:rsidRPr="00D71FF2" w:rsidRDefault="00265CF1" w:rsidP="00265CF1">
            <w:pPr>
              <w:rPr>
                <w:rFonts w:ascii="Times New Roman" w:hAnsi="Times New Roman" w:cs="Times New Roman"/>
                <w:sz w:val="18"/>
                <w:szCs w:val="18"/>
              </w:rPr>
            </w:pPr>
            <w:r>
              <w:t>2009</w:t>
            </w:r>
          </w:p>
        </w:tc>
        <w:tc>
          <w:tcPr>
            <w:tcW w:w="739" w:type="pct"/>
            <w:tcMar>
              <w:top w:w="150" w:type="dxa"/>
              <w:left w:w="240" w:type="dxa"/>
              <w:bottom w:w="150" w:type="dxa"/>
              <w:right w:w="240" w:type="dxa"/>
            </w:tcMar>
            <w:vAlign w:val="center"/>
            <w:hideMark/>
          </w:tcPr>
          <w:p w14:paraId="01BB2C8C" w14:textId="77777777" w:rsidR="00265CF1" w:rsidRPr="00D71FF2" w:rsidRDefault="00265CF1" w:rsidP="00265CF1">
            <w:pPr>
              <w:rPr>
                <w:rFonts w:ascii="Times New Roman" w:hAnsi="Times New Roman" w:cs="Times New Roman"/>
                <w:sz w:val="18"/>
                <w:szCs w:val="18"/>
              </w:rPr>
            </w:pPr>
            <w:r>
              <w:t>11,566</w:t>
            </w:r>
          </w:p>
        </w:tc>
        <w:tc>
          <w:tcPr>
            <w:tcW w:w="1029" w:type="pct"/>
            <w:tcMar>
              <w:top w:w="150" w:type="dxa"/>
              <w:left w:w="240" w:type="dxa"/>
              <w:bottom w:w="150" w:type="dxa"/>
              <w:right w:w="240" w:type="dxa"/>
            </w:tcMar>
            <w:vAlign w:val="center"/>
            <w:hideMark/>
          </w:tcPr>
          <w:p w14:paraId="04A8B5F4" w14:textId="77777777" w:rsidR="00265CF1" w:rsidRPr="00D71FF2" w:rsidRDefault="00265CF1" w:rsidP="00265CF1">
            <w:pPr>
              <w:rPr>
                <w:rFonts w:ascii="Times New Roman" w:hAnsi="Times New Roman" w:cs="Times New Roman"/>
                <w:sz w:val="18"/>
                <w:szCs w:val="18"/>
              </w:rPr>
            </w:pPr>
            <w:r>
              <w:t>5,702 (49.3)</w:t>
            </w:r>
          </w:p>
        </w:tc>
        <w:tc>
          <w:tcPr>
            <w:tcW w:w="1256" w:type="pct"/>
            <w:tcMar>
              <w:top w:w="150" w:type="dxa"/>
              <w:left w:w="240" w:type="dxa"/>
              <w:bottom w:w="150" w:type="dxa"/>
              <w:right w:w="240" w:type="dxa"/>
            </w:tcMar>
            <w:vAlign w:val="center"/>
            <w:hideMark/>
          </w:tcPr>
          <w:p w14:paraId="575902DF" w14:textId="77777777" w:rsidR="00265CF1" w:rsidRPr="00D71FF2" w:rsidRDefault="00265CF1" w:rsidP="00265CF1">
            <w:pPr>
              <w:rPr>
                <w:rFonts w:ascii="Times New Roman" w:hAnsi="Times New Roman" w:cs="Times New Roman"/>
                <w:sz w:val="18"/>
                <w:szCs w:val="18"/>
              </w:rPr>
            </w:pPr>
            <w:r>
              <w:t>2,802 (24.2)</w:t>
            </w:r>
          </w:p>
        </w:tc>
        <w:tc>
          <w:tcPr>
            <w:tcW w:w="932" w:type="pct"/>
            <w:tcMar>
              <w:top w:w="150" w:type="dxa"/>
              <w:left w:w="240" w:type="dxa"/>
              <w:bottom w:w="150" w:type="dxa"/>
              <w:right w:w="0" w:type="dxa"/>
            </w:tcMar>
            <w:vAlign w:val="center"/>
            <w:hideMark/>
          </w:tcPr>
          <w:p w14:paraId="0CCFFC72" w14:textId="77777777" w:rsidR="00265CF1" w:rsidRPr="00D71FF2" w:rsidRDefault="00265CF1" w:rsidP="00265CF1">
            <w:pPr>
              <w:rPr>
                <w:rFonts w:ascii="Times New Roman" w:hAnsi="Times New Roman" w:cs="Times New Roman"/>
                <w:sz w:val="18"/>
                <w:szCs w:val="18"/>
              </w:rPr>
            </w:pPr>
            <w:r>
              <w:t>3,062 (26.5)</w:t>
            </w:r>
          </w:p>
        </w:tc>
      </w:tr>
      <w:tr w:rsidR="00265CF1" w:rsidRPr="00D71FF2" w14:paraId="642A14A0" w14:textId="77777777" w:rsidTr="00603380">
        <w:tc>
          <w:tcPr>
            <w:tcW w:w="473" w:type="pct"/>
            <w:tcMar>
              <w:top w:w="150" w:type="dxa"/>
              <w:left w:w="0" w:type="dxa"/>
              <w:bottom w:w="150" w:type="dxa"/>
              <w:right w:w="240" w:type="dxa"/>
            </w:tcMar>
            <w:vAlign w:val="center"/>
            <w:hideMark/>
          </w:tcPr>
          <w:p w14:paraId="04597A5A" w14:textId="77777777" w:rsidR="00265CF1" w:rsidRPr="00D71FF2" w:rsidRDefault="00265CF1" w:rsidP="00265CF1">
            <w:pPr>
              <w:rPr>
                <w:rFonts w:ascii="Times New Roman" w:hAnsi="Times New Roman" w:cs="Times New Roman"/>
                <w:sz w:val="18"/>
                <w:szCs w:val="18"/>
              </w:rPr>
            </w:pPr>
            <w:r>
              <w:t>8</w:t>
            </w:r>
          </w:p>
        </w:tc>
        <w:tc>
          <w:tcPr>
            <w:tcW w:w="572" w:type="pct"/>
            <w:tcMar>
              <w:top w:w="150" w:type="dxa"/>
              <w:left w:w="240" w:type="dxa"/>
              <w:bottom w:w="150" w:type="dxa"/>
              <w:right w:w="240" w:type="dxa"/>
            </w:tcMar>
            <w:vAlign w:val="center"/>
            <w:hideMark/>
          </w:tcPr>
          <w:p w14:paraId="77B78DA2" w14:textId="77777777" w:rsidR="00265CF1" w:rsidRPr="00D71FF2" w:rsidRDefault="00265CF1" w:rsidP="00265CF1">
            <w:pPr>
              <w:rPr>
                <w:rFonts w:ascii="Times New Roman" w:hAnsi="Times New Roman" w:cs="Times New Roman"/>
                <w:sz w:val="18"/>
                <w:szCs w:val="18"/>
              </w:rPr>
            </w:pPr>
            <w:r>
              <w:t>2011</w:t>
            </w:r>
          </w:p>
        </w:tc>
        <w:tc>
          <w:tcPr>
            <w:tcW w:w="739" w:type="pct"/>
            <w:tcMar>
              <w:top w:w="150" w:type="dxa"/>
              <w:left w:w="240" w:type="dxa"/>
              <w:bottom w:w="150" w:type="dxa"/>
              <w:right w:w="240" w:type="dxa"/>
            </w:tcMar>
            <w:vAlign w:val="center"/>
            <w:hideMark/>
          </w:tcPr>
          <w:p w14:paraId="57C16FDE" w14:textId="77777777" w:rsidR="00265CF1" w:rsidRPr="00D71FF2" w:rsidRDefault="00265CF1" w:rsidP="00265CF1">
            <w:pPr>
              <w:rPr>
                <w:rFonts w:ascii="Times New Roman" w:hAnsi="Times New Roman" w:cs="Times New Roman"/>
                <w:sz w:val="18"/>
                <w:szCs w:val="18"/>
              </w:rPr>
            </w:pPr>
            <w:r>
              <w:t>14,898</w:t>
            </w:r>
          </w:p>
        </w:tc>
        <w:tc>
          <w:tcPr>
            <w:tcW w:w="1029" w:type="pct"/>
            <w:tcMar>
              <w:top w:w="150" w:type="dxa"/>
              <w:left w:w="240" w:type="dxa"/>
              <w:bottom w:w="150" w:type="dxa"/>
              <w:right w:w="240" w:type="dxa"/>
            </w:tcMar>
            <w:vAlign w:val="center"/>
            <w:hideMark/>
          </w:tcPr>
          <w:p w14:paraId="32ED86C5" w14:textId="77777777" w:rsidR="00265CF1" w:rsidRPr="00D71FF2" w:rsidRDefault="00265CF1" w:rsidP="00265CF1">
            <w:pPr>
              <w:rPr>
                <w:rFonts w:ascii="Times New Roman" w:hAnsi="Times New Roman" w:cs="Times New Roman"/>
                <w:sz w:val="18"/>
                <w:szCs w:val="18"/>
              </w:rPr>
            </w:pPr>
            <w:r>
              <w:t>6,772 (45.5)</w:t>
            </w:r>
          </w:p>
        </w:tc>
        <w:tc>
          <w:tcPr>
            <w:tcW w:w="1256" w:type="pct"/>
            <w:tcMar>
              <w:top w:w="150" w:type="dxa"/>
              <w:left w:w="240" w:type="dxa"/>
              <w:bottom w:w="150" w:type="dxa"/>
              <w:right w:w="240" w:type="dxa"/>
            </w:tcMar>
            <w:vAlign w:val="center"/>
            <w:hideMark/>
          </w:tcPr>
          <w:p w14:paraId="5D57F55A" w14:textId="77777777" w:rsidR="00265CF1" w:rsidRPr="00D71FF2" w:rsidRDefault="00265CF1" w:rsidP="00265CF1">
            <w:pPr>
              <w:rPr>
                <w:rFonts w:ascii="Times New Roman" w:hAnsi="Times New Roman" w:cs="Times New Roman"/>
                <w:sz w:val="18"/>
                <w:szCs w:val="18"/>
              </w:rPr>
            </w:pPr>
            <w:r>
              <w:t>3,172 (21.3)</w:t>
            </w:r>
          </w:p>
        </w:tc>
        <w:tc>
          <w:tcPr>
            <w:tcW w:w="932" w:type="pct"/>
            <w:tcMar>
              <w:top w:w="150" w:type="dxa"/>
              <w:left w:w="240" w:type="dxa"/>
              <w:bottom w:w="150" w:type="dxa"/>
              <w:right w:w="0" w:type="dxa"/>
            </w:tcMar>
            <w:vAlign w:val="center"/>
            <w:hideMark/>
          </w:tcPr>
          <w:p w14:paraId="126C69F8" w14:textId="77777777" w:rsidR="00265CF1" w:rsidRPr="00D71FF2" w:rsidRDefault="00265CF1" w:rsidP="00265CF1">
            <w:pPr>
              <w:rPr>
                <w:rFonts w:ascii="Times New Roman" w:hAnsi="Times New Roman" w:cs="Times New Roman"/>
                <w:sz w:val="18"/>
                <w:szCs w:val="18"/>
              </w:rPr>
            </w:pPr>
            <w:r>
              <w:t>4,954 (33.3)</w:t>
            </w:r>
          </w:p>
        </w:tc>
      </w:tr>
      <w:tr w:rsidR="00265CF1" w:rsidRPr="00D71FF2" w14:paraId="5CEF3C00" w14:textId="77777777" w:rsidTr="00603380">
        <w:tc>
          <w:tcPr>
            <w:tcW w:w="473" w:type="pct"/>
            <w:tcMar>
              <w:top w:w="150" w:type="dxa"/>
              <w:left w:w="0" w:type="dxa"/>
              <w:bottom w:w="150" w:type="dxa"/>
              <w:right w:w="240" w:type="dxa"/>
            </w:tcMar>
            <w:vAlign w:val="center"/>
            <w:hideMark/>
          </w:tcPr>
          <w:p w14:paraId="3D662D8B" w14:textId="77777777" w:rsidR="00265CF1" w:rsidRPr="00D71FF2" w:rsidRDefault="00265CF1" w:rsidP="00265CF1">
            <w:pPr>
              <w:rPr>
                <w:rFonts w:ascii="Times New Roman" w:hAnsi="Times New Roman" w:cs="Times New Roman"/>
                <w:sz w:val="18"/>
                <w:szCs w:val="18"/>
              </w:rPr>
            </w:pPr>
            <w:r>
              <w:t>Total</w:t>
            </w:r>
          </w:p>
        </w:tc>
        <w:tc>
          <w:tcPr>
            <w:tcW w:w="572" w:type="pct"/>
            <w:tcMar>
              <w:top w:w="150" w:type="dxa"/>
              <w:left w:w="240" w:type="dxa"/>
              <w:bottom w:w="150" w:type="dxa"/>
              <w:right w:w="240" w:type="dxa"/>
            </w:tcMar>
            <w:vAlign w:val="center"/>
            <w:hideMark/>
          </w:tcPr>
          <w:p w14:paraId="13EE0B29" w14:textId="77777777" w:rsidR="00265CF1" w:rsidRPr="00D71FF2" w:rsidRDefault="00265CF1" w:rsidP="00265CF1">
            <w:pPr>
              <w:rPr>
                <w:rFonts w:ascii="Times New Roman" w:hAnsi="Times New Roman" w:cs="Times New Roman"/>
                <w:sz w:val="18"/>
                <w:szCs w:val="18"/>
              </w:rPr>
            </w:pPr>
            <w:r/>
          </w:p>
        </w:tc>
        <w:tc>
          <w:tcPr>
            <w:tcW w:w="739" w:type="pct"/>
            <w:tcMar>
              <w:top w:w="150" w:type="dxa"/>
              <w:left w:w="240" w:type="dxa"/>
              <w:bottom w:w="150" w:type="dxa"/>
              <w:right w:w="240" w:type="dxa"/>
            </w:tcMar>
            <w:vAlign w:val="center"/>
            <w:hideMark/>
          </w:tcPr>
          <w:p w14:paraId="2E2ED952" w14:textId="77777777" w:rsidR="00265CF1" w:rsidRPr="00D71FF2" w:rsidRDefault="00265CF1" w:rsidP="00265CF1">
            <w:pPr>
              <w:rPr>
                <w:rFonts w:ascii="Times New Roman" w:hAnsi="Times New Roman" w:cs="Times New Roman"/>
                <w:sz w:val="18"/>
                <w:szCs w:val="18"/>
              </w:rPr>
            </w:pPr>
            <w:r>
              <w:t>101,926</w:t>
            </w:r>
          </w:p>
        </w:tc>
        <w:tc>
          <w:tcPr>
            <w:tcW w:w="1029" w:type="pct"/>
            <w:tcMar>
              <w:top w:w="150" w:type="dxa"/>
              <w:left w:w="240" w:type="dxa"/>
              <w:bottom w:w="150" w:type="dxa"/>
              <w:right w:w="240" w:type="dxa"/>
            </w:tcMar>
            <w:vAlign w:val="center"/>
            <w:hideMark/>
          </w:tcPr>
          <w:p w14:paraId="5653E5D2" w14:textId="77777777" w:rsidR="00265CF1" w:rsidRPr="00D71FF2" w:rsidRDefault="00265CF1" w:rsidP="00265CF1">
            <w:pPr>
              <w:rPr>
                <w:rFonts w:ascii="Times New Roman" w:hAnsi="Times New Roman" w:cs="Times New Roman"/>
                <w:sz w:val="18"/>
                <w:szCs w:val="18"/>
              </w:rPr>
            </w:pPr>
            <w:r>
              <w:t>52,257 (51.3)</w:t>
            </w:r>
          </w:p>
        </w:tc>
        <w:tc>
          <w:tcPr>
            <w:tcW w:w="1256" w:type="pct"/>
            <w:tcMar>
              <w:top w:w="150" w:type="dxa"/>
              <w:left w:w="240" w:type="dxa"/>
              <w:bottom w:w="150" w:type="dxa"/>
              <w:right w:w="240" w:type="dxa"/>
            </w:tcMar>
            <w:vAlign w:val="center"/>
            <w:hideMark/>
          </w:tcPr>
          <w:p w14:paraId="6BA48A9E" w14:textId="77777777" w:rsidR="00265CF1" w:rsidRPr="00D71FF2" w:rsidRDefault="00265CF1" w:rsidP="00265CF1">
            <w:pPr>
              <w:rPr>
                <w:rFonts w:ascii="Times New Roman" w:hAnsi="Times New Roman" w:cs="Times New Roman"/>
                <w:sz w:val="18"/>
                <w:szCs w:val="18"/>
              </w:rPr>
            </w:pPr>
            <w:r>
              <w:t>22,982 (22.5)</w:t>
            </w:r>
          </w:p>
        </w:tc>
        <w:tc>
          <w:tcPr>
            <w:tcW w:w="932" w:type="pct"/>
            <w:tcMar>
              <w:top w:w="150" w:type="dxa"/>
              <w:left w:w="240" w:type="dxa"/>
              <w:bottom w:w="150" w:type="dxa"/>
              <w:right w:w="0" w:type="dxa"/>
            </w:tcMar>
            <w:vAlign w:val="center"/>
            <w:hideMark/>
          </w:tcPr>
          <w:p w14:paraId="2266CDBB" w14:textId="77777777" w:rsidR="00265CF1" w:rsidRPr="00D71FF2" w:rsidRDefault="00265CF1" w:rsidP="00265CF1">
            <w:pPr>
              <w:rPr>
                <w:rFonts w:ascii="Times New Roman" w:hAnsi="Times New Roman" w:cs="Times New Roman"/>
                <w:sz w:val="18"/>
                <w:szCs w:val="18"/>
              </w:rPr>
            </w:pPr>
            <w:r>
              <w:t>26,687 (26.2)</w:t>
            </w:r>
          </w:p>
        </w:tc>
      </w:tr>
    </w:tbl>
    <w:p w14:paraId="60DDA743" w14:textId="432C7590" w:rsidR="00265CF1" w:rsidRPr="00D71FF2" w:rsidRDefault="00603380" w:rsidP="00265CF1">
      <w:pPr>
        <w:rPr>
          <w:rFonts w:ascii="Times New Roman" w:hAnsi="Times New Roman" w:cs="Times New Roman"/>
        </w:rPr>
      </w:pPr>
      <w:r w:rsidRPr="00603380">
        <w:rPr>
          <w:rFonts w:ascii="Times New Roman" w:hAnsi="Times New Roman" w:cs="Times New Roman"/>
        </w:rPr>
        <w:t>Macronutrient composition differed substantially across the three categories (Table 2). Fat energy ratio increased progressively from Rural (mean 0.180) to Transitional (0.264) and Urban (0.357), while carbohydrate energy ratio showed the opposite trend. Protein energy ratio varied minimally across categories. All pairwise differences were statistically significant (P &lt; 0.001), supporting the construct validity of the three-category classification.</w:t>
      </w:r>
    </w:p>
    <w:p w14:paraId="3266985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2. </w:t>
      </w:r>
      <w:r w:rsidRPr="00D71FF2">
        <w:rPr>
          <w:rFonts w:ascii="Times New Roman" w:hAnsi="Times New Roman" w:cs="Times New Roman"/>
        </w:rPr>
        <w:t>Macronutrient Profiles by Urban–Rural Category</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466"/>
        <w:gridCol w:w="969"/>
        <w:gridCol w:w="963"/>
        <w:gridCol w:w="968"/>
        <w:gridCol w:w="963"/>
        <w:gridCol w:w="688"/>
        <w:gridCol w:w="1289"/>
      </w:tblGrid>
      <w:tr w:rsidR="005A094C" w:rsidRPr="00D71FF2" w14:paraId="57742D2D" w14:textId="2F52EFF0" w:rsidTr="005B70FA">
        <w:trPr>
          <w:tblHeader/>
        </w:trPr>
        <w:tc>
          <w:tcPr>
            <w:tcW w:w="1484" w:type="pct"/>
            <w:tcBorders>
              <w:bottom w:val="nil"/>
            </w:tcBorders>
            <w:tcMar>
              <w:top w:w="150" w:type="dxa"/>
              <w:left w:w="0" w:type="dxa"/>
              <w:bottom w:w="150" w:type="dxa"/>
              <w:right w:w="240" w:type="dxa"/>
            </w:tcMar>
            <w:vAlign w:val="center"/>
            <w:hideMark/>
          </w:tcPr>
          <w:p w14:paraId="24EE599B" w14:textId="77777777" w:rsidR="005A094C" w:rsidRPr="00D71FF2" w:rsidRDefault="005A094C" w:rsidP="00265CF1">
            <w:pPr>
              <w:rPr>
                <w:rFonts w:ascii="Times New Roman" w:hAnsi="Times New Roman" w:cs="Times New Roman"/>
                <w:b/>
                <w:bCs/>
                <w:sz w:val="18"/>
                <w:szCs w:val="18"/>
              </w:rPr>
            </w:pPr>
            <w:r w:rsidRPr="00D71FF2">
              <w:rPr>
                <w:rFonts w:ascii="Times New Roman" w:hAnsi="Times New Roman" w:cs="Times New Roman"/>
                <w:b/>
                <w:bCs/>
                <w:sz w:val="18"/>
                <w:szCs w:val="18"/>
              </w:rPr>
              <w:t>Feature</w:t>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hideMark/>
          </w:tcPr>
          <w:p w14:paraId="0B16AF08" w14:textId="77777777" w:rsidR="005A094C" w:rsidRPr="00D71FF2" w:rsidRDefault="005A094C" w:rsidP="00265CF1">
            <w:pPr>
              <w:rPr>
                <w:rFonts w:ascii="Times New Roman" w:hAnsi="Times New Roman" w:cs="Times New Roman"/>
                <w:b/>
                <w:bCs/>
                <w:sz w:val="18"/>
                <w:szCs w:val="18"/>
              </w:rPr>
            </w:pPr>
            <w:r>
              <w:t>Rural</w:t>
              <w:br/>
              <w:t>(n=52,257)</w:t>
            </w:r>
          </w:p>
          <w:p w14:paraId="2F52303D" w14:textId="324B3AAC" w:rsidR="005A094C" w:rsidRPr="00D71FF2" w:rsidRDefault="005A094C" w:rsidP="00265CF1">
            <w:pPr>
              <w:rPr>
                <w:rFonts w:ascii="Times New Roman" w:hAnsi="Times New Roman" w:cs="Times New Roman"/>
                <w:b/>
                <w:bCs/>
                <w:sz w:val="18"/>
                <w:szCs w:val="18"/>
              </w:rPr>
            </w:pPr>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tcPr>
          <w:p w14:paraId="36BC33E6" w14:textId="77777777" w:rsidR="005A094C" w:rsidRPr="00D71FF2" w:rsidRDefault="005A094C" w:rsidP="00265CF1">
            <w:pPr>
              <w:rPr>
                <w:rFonts w:ascii="Times New Roman" w:hAnsi="Times New Roman" w:cs="Times New Roman"/>
                <w:b/>
                <w:bCs/>
                <w:sz w:val="18"/>
                <w:szCs w:val="18"/>
              </w:rPr>
            </w:pPr>
            <w:r>
              <w:t>Transitional</w:t>
              <w:br/>
              <w:t>(n=22,982)</w:t>
            </w:r>
          </w:p>
          <w:p w14:paraId="466FE79D" w14:textId="6D1FC7E8" w:rsidR="005A094C" w:rsidRPr="00D71FF2" w:rsidRDefault="005A094C" w:rsidP="00265CF1">
            <w:pPr>
              <w:widowControl/>
              <w:jc w:val="left"/>
              <w:rPr>
                <w:rFonts w:ascii="Times New Roman" w:hAnsi="Times New Roman" w:cs="Times New Roman"/>
                <w:b/>
                <w:bCs/>
                <w:sz w:val="18"/>
                <w:szCs w:val="18"/>
              </w:rPr>
            </w:pPr>
            <w:r/>
          </w:p>
        </w:tc>
        <w:tc>
          <w:tcPr>
            <w:tcW w:w="1190" w:type="pct"/>
            <w:gridSpan w:val="2"/>
            <w:tcBorders>
              <w:top w:val="single" w:sz="8" w:space="0" w:color="auto"/>
              <w:bottom w:val="single" w:sz="4" w:space="0" w:color="auto"/>
            </w:tcBorders>
          </w:tcPr>
          <w:p w14:paraId="4EB693E0" w14:textId="77777777" w:rsidR="005A094C" w:rsidRPr="00D71FF2" w:rsidRDefault="005A094C" w:rsidP="00265CF1">
            <w:pPr>
              <w:widowControl/>
              <w:jc w:val="left"/>
              <w:rPr>
                <w:rFonts w:ascii="Times New Roman" w:hAnsi="Times New Roman" w:cs="Times New Roman"/>
                <w:b/>
                <w:bCs/>
                <w:sz w:val="18"/>
                <w:szCs w:val="18"/>
              </w:rPr>
            </w:pPr>
            <w:r>
              <w:t>Urban</w:t>
              <w:br/>
              <w:t>(n=26,687)</w:t>
            </w:r>
          </w:p>
          <w:p w14:paraId="1BCBA634" w14:textId="4D53E339" w:rsidR="005A094C" w:rsidRPr="00D71FF2" w:rsidRDefault="005A094C" w:rsidP="00265CF1">
            <w:pPr>
              <w:widowControl/>
              <w:jc w:val="left"/>
              <w:rPr>
                <w:rFonts w:ascii="Times New Roman" w:hAnsi="Times New Roman" w:cs="Times New Roman"/>
                <w:b/>
                <w:bCs/>
                <w:sz w:val="18"/>
                <w:szCs w:val="18"/>
              </w:rPr>
            </w:pPr>
            <w:r/>
          </w:p>
        </w:tc>
      </w:tr>
      <w:tr w:rsidR="00265CF1" w:rsidRPr="00D71FF2" w14:paraId="2DF9288D" w14:textId="77777777" w:rsidTr="005B70FA">
        <w:tc>
          <w:tcPr>
            <w:tcW w:w="1484" w:type="pct"/>
            <w:tcBorders>
              <w:top w:val="nil"/>
              <w:bottom w:val="single" w:sz="4" w:space="0" w:color="auto"/>
            </w:tcBorders>
            <w:tcMar>
              <w:top w:w="150" w:type="dxa"/>
              <w:left w:w="0" w:type="dxa"/>
              <w:bottom w:w="150" w:type="dxa"/>
              <w:right w:w="240" w:type="dxa"/>
            </w:tcMar>
            <w:vAlign w:val="center"/>
            <w:hideMark/>
          </w:tcPr>
          <w:p w14:paraId="1EF5F695" w14:textId="77777777" w:rsidR="00265CF1" w:rsidRPr="00D71FF2" w:rsidRDefault="00265CF1" w:rsidP="00265CF1">
            <w:pPr>
              <w:rPr>
                <w:rFonts w:ascii="Times New Roman" w:hAnsi="Times New Roman" w:cs="Times New Roman"/>
                <w:sz w:val="18"/>
                <w:szCs w:val="18"/>
              </w:rPr>
            </w:pP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5D0186CC"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1E9D23B1"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0D6F002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76651973"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414" w:type="pct"/>
            <w:tcBorders>
              <w:top w:val="single" w:sz="4" w:space="0" w:color="auto"/>
              <w:bottom w:val="single" w:sz="4" w:space="0" w:color="auto"/>
            </w:tcBorders>
            <w:vAlign w:val="center"/>
          </w:tcPr>
          <w:p w14:paraId="03048034" w14:textId="78745DBB"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Mean</w:t>
            </w:r>
          </w:p>
        </w:tc>
        <w:tc>
          <w:tcPr>
            <w:tcW w:w="776" w:type="pct"/>
            <w:tcBorders>
              <w:top w:val="single" w:sz="4" w:space="0" w:color="auto"/>
              <w:bottom w:val="single" w:sz="4" w:space="0" w:color="auto"/>
            </w:tcBorders>
            <w:tcMar>
              <w:top w:w="150" w:type="dxa"/>
              <w:left w:w="240" w:type="dxa"/>
              <w:bottom w:w="150" w:type="dxa"/>
              <w:right w:w="240" w:type="dxa"/>
            </w:tcMar>
            <w:vAlign w:val="center"/>
          </w:tcPr>
          <w:p w14:paraId="1F8E4FB5" w14:textId="233CBD88"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SD</w:t>
            </w:r>
          </w:p>
        </w:tc>
      </w:tr>
      <w:tr w:rsidR="00265CF1" w:rsidRPr="00D71FF2" w14:paraId="143772A3" w14:textId="77777777" w:rsidTr="005B70FA">
        <w:tc>
          <w:tcPr>
            <w:tcW w:w="1484" w:type="pct"/>
            <w:tcBorders>
              <w:top w:val="single" w:sz="4" w:space="0" w:color="auto"/>
            </w:tcBorders>
            <w:tcMar>
              <w:top w:w="150" w:type="dxa"/>
              <w:left w:w="0" w:type="dxa"/>
              <w:bottom w:w="150" w:type="dxa"/>
              <w:right w:w="240" w:type="dxa"/>
            </w:tcMar>
            <w:vAlign w:val="center"/>
            <w:hideMark/>
          </w:tcPr>
          <w:p w14:paraId="4A9568D6" w14:textId="77777777" w:rsidR="00265CF1" w:rsidRPr="00D71FF2" w:rsidRDefault="00265CF1" w:rsidP="00265CF1">
            <w:pPr>
              <w:rPr>
                <w:rFonts w:ascii="Times New Roman" w:hAnsi="Times New Roman" w:cs="Times New Roman"/>
                <w:sz w:val="18"/>
                <w:szCs w:val="18"/>
              </w:rPr>
            </w:pPr>
            <w:r>
              <w:t>Fat energy ratio</w:t>
            </w:r>
          </w:p>
        </w:tc>
        <w:tc>
          <w:tcPr>
            <w:tcW w:w="583" w:type="pct"/>
            <w:tcBorders>
              <w:top w:val="single" w:sz="4" w:space="0" w:color="auto"/>
            </w:tcBorders>
            <w:tcMar>
              <w:top w:w="150" w:type="dxa"/>
              <w:left w:w="240" w:type="dxa"/>
              <w:bottom w:w="150" w:type="dxa"/>
              <w:right w:w="240" w:type="dxa"/>
            </w:tcMar>
            <w:vAlign w:val="center"/>
            <w:hideMark/>
          </w:tcPr>
          <w:p w14:paraId="60E3BBBF" w14:textId="77777777" w:rsidR="00265CF1" w:rsidRPr="00D71FF2" w:rsidRDefault="00265CF1" w:rsidP="005A094C">
            <w:pPr>
              <w:jc w:val="right"/>
              <w:rPr>
                <w:rFonts w:ascii="Times New Roman" w:hAnsi="Times New Roman" w:cs="Times New Roman"/>
                <w:sz w:val="18"/>
                <w:szCs w:val="18"/>
              </w:rPr>
            </w:pPr>
            <w:r>
              <w:t>0.250</w:t>
            </w:r>
          </w:p>
        </w:tc>
        <w:tc>
          <w:tcPr>
            <w:tcW w:w="580" w:type="pct"/>
            <w:tcBorders>
              <w:top w:val="single" w:sz="4" w:space="0" w:color="auto"/>
            </w:tcBorders>
            <w:tcMar>
              <w:top w:w="150" w:type="dxa"/>
              <w:left w:w="240" w:type="dxa"/>
              <w:bottom w:w="150" w:type="dxa"/>
              <w:right w:w="240" w:type="dxa"/>
            </w:tcMar>
            <w:vAlign w:val="center"/>
            <w:hideMark/>
          </w:tcPr>
          <w:p w14:paraId="1BA67EB5" w14:textId="77777777" w:rsidR="00265CF1" w:rsidRPr="00D71FF2" w:rsidRDefault="00265CF1" w:rsidP="005A094C">
            <w:pPr>
              <w:jc w:val="right"/>
              <w:rPr>
                <w:rFonts w:ascii="Times New Roman" w:hAnsi="Times New Roman" w:cs="Times New Roman"/>
                <w:sz w:val="18"/>
                <w:szCs w:val="18"/>
              </w:rPr>
            </w:pPr>
            <w:r>
              <w:t>0.130</w:t>
            </w:r>
          </w:p>
        </w:tc>
        <w:tc>
          <w:tcPr>
            <w:tcW w:w="583" w:type="pct"/>
            <w:tcBorders>
              <w:top w:val="single" w:sz="4" w:space="0" w:color="auto"/>
            </w:tcBorders>
            <w:tcMar>
              <w:top w:w="150" w:type="dxa"/>
              <w:left w:w="240" w:type="dxa"/>
              <w:bottom w:w="150" w:type="dxa"/>
              <w:right w:w="240" w:type="dxa"/>
            </w:tcMar>
            <w:vAlign w:val="center"/>
            <w:hideMark/>
          </w:tcPr>
          <w:p w14:paraId="5D57A3F1" w14:textId="77777777" w:rsidR="00265CF1" w:rsidRPr="00D71FF2" w:rsidRDefault="00265CF1" w:rsidP="005A094C">
            <w:pPr>
              <w:jc w:val="right"/>
              <w:rPr>
                <w:rFonts w:ascii="Times New Roman" w:hAnsi="Times New Roman" w:cs="Times New Roman"/>
                <w:sz w:val="18"/>
                <w:szCs w:val="18"/>
              </w:rPr>
            </w:pPr>
            <w:r>
              <w:t>0.265</w:t>
            </w:r>
          </w:p>
        </w:tc>
        <w:tc>
          <w:tcPr>
            <w:tcW w:w="580" w:type="pct"/>
            <w:tcBorders>
              <w:top w:val="single" w:sz="4" w:space="0" w:color="auto"/>
            </w:tcBorders>
            <w:tcMar>
              <w:top w:w="150" w:type="dxa"/>
              <w:left w:w="240" w:type="dxa"/>
              <w:bottom w:w="150" w:type="dxa"/>
              <w:right w:w="240" w:type="dxa"/>
            </w:tcMar>
            <w:vAlign w:val="center"/>
            <w:hideMark/>
          </w:tcPr>
          <w:p w14:paraId="06394B9E" w14:textId="77777777" w:rsidR="00265CF1" w:rsidRPr="00D71FF2" w:rsidRDefault="00265CF1" w:rsidP="005A094C">
            <w:pPr>
              <w:jc w:val="right"/>
              <w:rPr>
                <w:rFonts w:ascii="Times New Roman" w:hAnsi="Times New Roman" w:cs="Times New Roman"/>
                <w:sz w:val="18"/>
                <w:szCs w:val="18"/>
              </w:rPr>
            </w:pPr>
            <w:r>
              <w:t>0.020</w:t>
            </w:r>
          </w:p>
        </w:tc>
        <w:tc>
          <w:tcPr>
            <w:tcW w:w="414" w:type="pct"/>
            <w:tcBorders>
              <w:top w:val="single" w:sz="4" w:space="0" w:color="auto"/>
            </w:tcBorders>
            <w:vAlign w:val="center"/>
          </w:tcPr>
          <w:p w14:paraId="2D322EDC" w14:textId="6C3FC1C7" w:rsidR="00265CF1" w:rsidRPr="00D71FF2" w:rsidRDefault="00265CF1" w:rsidP="005A094C">
            <w:pPr>
              <w:jc w:val="right"/>
              <w:rPr>
                <w:rFonts w:ascii="Times New Roman" w:hAnsi="Times New Roman" w:cs="Times New Roman"/>
                <w:sz w:val="18"/>
                <w:szCs w:val="18"/>
              </w:rPr>
            </w:pPr>
            <w:r>
              <w:t>0.331</w:t>
            </w:r>
          </w:p>
        </w:tc>
        <w:tc>
          <w:tcPr>
            <w:tcW w:w="776" w:type="pct"/>
            <w:tcBorders>
              <w:top w:val="single" w:sz="4" w:space="0" w:color="auto"/>
            </w:tcBorders>
            <w:tcMar>
              <w:top w:w="150" w:type="dxa"/>
              <w:left w:w="240" w:type="dxa"/>
              <w:bottom w:w="150" w:type="dxa"/>
              <w:right w:w="240" w:type="dxa"/>
            </w:tcMar>
            <w:vAlign w:val="center"/>
          </w:tcPr>
          <w:p w14:paraId="5F169190" w14:textId="64F9D20C" w:rsidR="00265CF1" w:rsidRPr="00D71FF2" w:rsidRDefault="00265CF1" w:rsidP="005A094C">
            <w:pPr>
              <w:jc w:val="right"/>
              <w:rPr>
                <w:rFonts w:ascii="Times New Roman" w:hAnsi="Times New Roman" w:cs="Times New Roman"/>
                <w:sz w:val="18"/>
                <w:szCs w:val="18"/>
              </w:rPr>
            </w:pPr>
            <w:r>
              <w:t>0.129</w:t>
            </w:r>
          </w:p>
        </w:tc>
      </w:tr>
      <w:tr w:rsidR="00265CF1" w:rsidRPr="00D71FF2" w14:paraId="3A822F20" w14:textId="77777777" w:rsidTr="005B70FA">
        <w:tc>
          <w:tcPr>
            <w:tcW w:w="1484" w:type="pct"/>
            <w:tcMar>
              <w:top w:w="150" w:type="dxa"/>
              <w:left w:w="0" w:type="dxa"/>
              <w:bottom w:w="150" w:type="dxa"/>
              <w:right w:w="240" w:type="dxa"/>
            </w:tcMar>
            <w:vAlign w:val="center"/>
            <w:hideMark/>
          </w:tcPr>
          <w:p w14:paraId="2E358466" w14:textId="77777777" w:rsidR="00265CF1" w:rsidRPr="00D71FF2" w:rsidRDefault="00265CF1" w:rsidP="00265CF1">
            <w:pPr>
              <w:rPr>
                <w:rFonts w:ascii="Times New Roman" w:hAnsi="Times New Roman" w:cs="Times New Roman"/>
                <w:sz w:val="18"/>
                <w:szCs w:val="18"/>
              </w:rPr>
            </w:pPr>
            <w:r>
              <w:t>Carbohydrate energy ratio</w:t>
            </w:r>
          </w:p>
        </w:tc>
        <w:tc>
          <w:tcPr>
            <w:tcW w:w="583" w:type="pct"/>
            <w:tcMar>
              <w:top w:w="150" w:type="dxa"/>
              <w:left w:w="240" w:type="dxa"/>
              <w:bottom w:w="150" w:type="dxa"/>
              <w:right w:w="240" w:type="dxa"/>
            </w:tcMar>
            <w:vAlign w:val="center"/>
            <w:hideMark/>
          </w:tcPr>
          <w:p w14:paraId="562504D6" w14:textId="77777777" w:rsidR="00265CF1" w:rsidRPr="00D71FF2" w:rsidRDefault="00265CF1" w:rsidP="005A094C">
            <w:pPr>
              <w:jc w:val="right"/>
              <w:rPr>
                <w:rFonts w:ascii="Times New Roman" w:hAnsi="Times New Roman" w:cs="Times New Roman"/>
                <w:sz w:val="18"/>
                <w:szCs w:val="18"/>
              </w:rPr>
            </w:pPr>
            <w:r>
              <w:t>0.626</w:t>
            </w:r>
          </w:p>
        </w:tc>
        <w:tc>
          <w:tcPr>
            <w:tcW w:w="580" w:type="pct"/>
            <w:tcMar>
              <w:top w:w="150" w:type="dxa"/>
              <w:left w:w="240" w:type="dxa"/>
              <w:bottom w:w="150" w:type="dxa"/>
              <w:right w:w="240" w:type="dxa"/>
            </w:tcMar>
            <w:vAlign w:val="center"/>
            <w:hideMark/>
          </w:tcPr>
          <w:p w14:paraId="65376007" w14:textId="77777777" w:rsidR="00265CF1" w:rsidRPr="00D71FF2" w:rsidRDefault="00265CF1" w:rsidP="005A094C">
            <w:pPr>
              <w:jc w:val="right"/>
              <w:rPr>
                <w:rFonts w:ascii="Times New Roman" w:hAnsi="Times New Roman" w:cs="Times New Roman"/>
                <w:sz w:val="18"/>
                <w:szCs w:val="18"/>
              </w:rPr>
            </w:pPr>
            <w:r>
              <w:t>0.133</w:t>
            </w:r>
          </w:p>
        </w:tc>
        <w:tc>
          <w:tcPr>
            <w:tcW w:w="583" w:type="pct"/>
            <w:tcMar>
              <w:top w:w="150" w:type="dxa"/>
              <w:left w:w="240" w:type="dxa"/>
              <w:bottom w:w="150" w:type="dxa"/>
              <w:right w:w="240" w:type="dxa"/>
            </w:tcMar>
            <w:vAlign w:val="center"/>
            <w:hideMark/>
          </w:tcPr>
          <w:p w14:paraId="186BE807" w14:textId="77777777" w:rsidR="00265CF1" w:rsidRPr="00D71FF2" w:rsidRDefault="00265CF1" w:rsidP="005A094C">
            <w:pPr>
              <w:jc w:val="right"/>
              <w:rPr>
                <w:rFonts w:ascii="Times New Roman" w:hAnsi="Times New Roman" w:cs="Times New Roman"/>
                <w:sz w:val="18"/>
                <w:szCs w:val="18"/>
              </w:rPr>
            </w:pPr>
            <w:r>
              <w:t>0.602</w:t>
            </w:r>
          </w:p>
        </w:tc>
        <w:tc>
          <w:tcPr>
            <w:tcW w:w="580" w:type="pct"/>
            <w:tcMar>
              <w:top w:w="150" w:type="dxa"/>
              <w:left w:w="240" w:type="dxa"/>
              <w:bottom w:w="150" w:type="dxa"/>
              <w:right w:w="240" w:type="dxa"/>
            </w:tcMar>
            <w:vAlign w:val="center"/>
            <w:hideMark/>
          </w:tcPr>
          <w:p w14:paraId="7EB11534" w14:textId="77777777" w:rsidR="00265CF1" w:rsidRPr="00D71FF2" w:rsidRDefault="00265CF1" w:rsidP="005A094C">
            <w:pPr>
              <w:jc w:val="right"/>
              <w:rPr>
                <w:rFonts w:ascii="Times New Roman" w:hAnsi="Times New Roman" w:cs="Times New Roman"/>
                <w:sz w:val="18"/>
                <w:szCs w:val="18"/>
              </w:rPr>
            </w:pPr>
            <w:r>
              <w:t>0.047</w:t>
            </w:r>
          </w:p>
        </w:tc>
        <w:tc>
          <w:tcPr>
            <w:tcW w:w="414" w:type="pct"/>
            <w:vAlign w:val="center"/>
          </w:tcPr>
          <w:p w14:paraId="1F039A1D" w14:textId="5EFBFFC8" w:rsidR="00265CF1" w:rsidRPr="00D71FF2" w:rsidRDefault="00265CF1" w:rsidP="005A094C">
            <w:pPr>
              <w:jc w:val="right"/>
              <w:rPr>
                <w:rFonts w:ascii="Times New Roman" w:hAnsi="Times New Roman" w:cs="Times New Roman"/>
                <w:sz w:val="18"/>
                <w:szCs w:val="18"/>
              </w:rPr>
            </w:pPr>
            <w:r>
              <w:t>0.532</w:t>
            </w:r>
          </w:p>
        </w:tc>
        <w:tc>
          <w:tcPr>
            <w:tcW w:w="776" w:type="pct"/>
            <w:tcMar>
              <w:top w:w="150" w:type="dxa"/>
              <w:left w:w="240" w:type="dxa"/>
              <w:bottom w:w="150" w:type="dxa"/>
              <w:right w:w="240" w:type="dxa"/>
            </w:tcMar>
            <w:vAlign w:val="center"/>
          </w:tcPr>
          <w:p w14:paraId="6A8762BA" w14:textId="04908B4E" w:rsidR="00265CF1" w:rsidRPr="00D71FF2" w:rsidRDefault="00265CF1" w:rsidP="005A094C">
            <w:pPr>
              <w:jc w:val="right"/>
              <w:rPr>
                <w:rFonts w:ascii="Times New Roman" w:hAnsi="Times New Roman" w:cs="Times New Roman"/>
                <w:sz w:val="18"/>
                <w:szCs w:val="18"/>
              </w:rPr>
            </w:pPr>
            <w:r>
              <w:t>0.133</w:t>
            </w:r>
          </w:p>
        </w:tc>
      </w:tr>
      <w:tr w:rsidR="00265CF1" w:rsidRPr="00D71FF2" w14:paraId="13AE8BDE" w14:textId="77777777" w:rsidTr="005B70FA">
        <w:tc>
          <w:tcPr>
            <w:tcW w:w="1484" w:type="pct"/>
            <w:tcMar>
              <w:top w:w="150" w:type="dxa"/>
              <w:left w:w="0" w:type="dxa"/>
              <w:bottom w:w="150" w:type="dxa"/>
              <w:right w:w="240" w:type="dxa"/>
            </w:tcMar>
            <w:vAlign w:val="center"/>
            <w:hideMark/>
          </w:tcPr>
          <w:p w14:paraId="2F56C281" w14:textId="77777777" w:rsidR="00265CF1" w:rsidRPr="00D71FF2" w:rsidRDefault="00265CF1" w:rsidP="00265CF1">
            <w:pPr>
              <w:rPr>
                <w:rFonts w:ascii="Times New Roman" w:hAnsi="Times New Roman" w:cs="Times New Roman"/>
                <w:sz w:val="18"/>
                <w:szCs w:val="18"/>
              </w:rPr>
            </w:pPr>
            <w:r>
              <w:t>Protein energy ratio</w:t>
            </w:r>
          </w:p>
        </w:tc>
        <w:tc>
          <w:tcPr>
            <w:tcW w:w="583" w:type="pct"/>
            <w:tcMar>
              <w:top w:w="150" w:type="dxa"/>
              <w:left w:w="240" w:type="dxa"/>
              <w:bottom w:w="150" w:type="dxa"/>
              <w:right w:w="240" w:type="dxa"/>
            </w:tcMar>
            <w:vAlign w:val="center"/>
            <w:hideMark/>
          </w:tcPr>
          <w:p w14:paraId="2E70AD93" w14:textId="77777777" w:rsidR="00265CF1" w:rsidRPr="00D71FF2" w:rsidRDefault="00265CF1" w:rsidP="005A094C">
            <w:pPr>
              <w:jc w:val="right"/>
              <w:rPr>
                <w:rFonts w:ascii="Times New Roman" w:hAnsi="Times New Roman" w:cs="Times New Roman"/>
                <w:sz w:val="18"/>
                <w:szCs w:val="18"/>
              </w:rPr>
            </w:pPr>
            <w:r>
              <w:t>0.119</w:t>
            </w:r>
          </w:p>
        </w:tc>
        <w:tc>
          <w:tcPr>
            <w:tcW w:w="580" w:type="pct"/>
            <w:tcMar>
              <w:top w:w="150" w:type="dxa"/>
              <w:left w:w="240" w:type="dxa"/>
              <w:bottom w:w="150" w:type="dxa"/>
              <w:right w:w="240" w:type="dxa"/>
            </w:tcMar>
            <w:vAlign w:val="center"/>
            <w:hideMark/>
          </w:tcPr>
          <w:p w14:paraId="33BFAAA8" w14:textId="77777777" w:rsidR="00265CF1" w:rsidRPr="00D71FF2" w:rsidRDefault="00265CF1" w:rsidP="005A094C">
            <w:pPr>
              <w:jc w:val="right"/>
              <w:rPr>
                <w:rFonts w:ascii="Times New Roman" w:hAnsi="Times New Roman" w:cs="Times New Roman"/>
                <w:sz w:val="18"/>
                <w:szCs w:val="18"/>
              </w:rPr>
            </w:pPr>
            <w:r>
              <w:t>0.025</w:t>
            </w:r>
          </w:p>
        </w:tc>
        <w:tc>
          <w:tcPr>
            <w:tcW w:w="583" w:type="pct"/>
            <w:tcMar>
              <w:top w:w="150" w:type="dxa"/>
              <w:left w:w="240" w:type="dxa"/>
              <w:bottom w:w="150" w:type="dxa"/>
              <w:right w:w="240" w:type="dxa"/>
            </w:tcMar>
            <w:vAlign w:val="center"/>
            <w:hideMark/>
          </w:tcPr>
          <w:p w14:paraId="5B02C918" w14:textId="77777777" w:rsidR="00265CF1" w:rsidRPr="00D71FF2" w:rsidRDefault="00265CF1" w:rsidP="005A094C">
            <w:pPr>
              <w:jc w:val="right"/>
              <w:rPr>
                <w:rFonts w:ascii="Times New Roman" w:hAnsi="Times New Roman" w:cs="Times New Roman"/>
                <w:sz w:val="18"/>
                <w:szCs w:val="18"/>
              </w:rPr>
            </w:pPr>
            <w:r>
              <w:t>0.125</w:t>
            </w:r>
          </w:p>
        </w:tc>
        <w:tc>
          <w:tcPr>
            <w:tcW w:w="580" w:type="pct"/>
            <w:tcMar>
              <w:top w:w="150" w:type="dxa"/>
              <w:left w:w="240" w:type="dxa"/>
              <w:bottom w:w="150" w:type="dxa"/>
              <w:right w:w="240" w:type="dxa"/>
            </w:tcMar>
            <w:vAlign w:val="center"/>
            <w:hideMark/>
          </w:tcPr>
          <w:p w14:paraId="14E9844C" w14:textId="77777777" w:rsidR="00265CF1" w:rsidRPr="00D71FF2" w:rsidRDefault="00265CF1" w:rsidP="005A094C">
            <w:pPr>
              <w:jc w:val="right"/>
              <w:rPr>
                <w:rFonts w:ascii="Times New Roman" w:hAnsi="Times New Roman" w:cs="Times New Roman"/>
                <w:sz w:val="18"/>
                <w:szCs w:val="18"/>
              </w:rPr>
            </w:pPr>
            <w:r>
              <w:t>0.028</w:t>
            </w:r>
          </w:p>
        </w:tc>
        <w:tc>
          <w:tcPr>
            <w:tcW w:w="414" w:type="pct"/>
            <w:vAlign w:val="center"/>
          </w:tcPr>
          <w:p w14:paraId="62CB70E5" w14:textId="383CD52D" w:rsidR="00265CF1" w:rsidRPr="00D71FF2" w:rsidRDefault="00265CF1" w:rsidP="005A094C">
            <w:pPr>
              <w:jc w:val="right"/>
              <w:rPr>
                <w:rFonts w:ascii="Times New Roman" w:hAnsi="Times New Roman" w:cs="Times New Roman"/>
                <w:sz w:val="18"/>
                <w:szCs w:val="18"/>
              </w:rPr>
            </w:pPr>
            <w:r>
              <w:t>0.132</w:t>
            </w:r>
          </w:p>
        </w:tc>
        <w:tc>
          <w:tcPr>
            <w:tcW w:w="776" w:type="pct"/>
            <w:tcMar>
              <w:top w:w="150" w:type="dxa"/>
              <w:left w:w="240" w:type="dxa"/>
              <w:bottom w:w="150" w:type="dxa"/>
              <w:right w:w="240" w:type="dxa"/>
            </w:tcMar>
            <w:vAlign w:val="center"/>
          </w:tcPr>
          <w:p w14:paraId="5D8524A2" w14:textId="10CAEEC6" w:rsidR="00265CF1" w:rsidRPr="00D71FF2" w:rsidRDefault="00265CF1" w:rsidP="005A094C">
            <w:pPr>
              <w:jc w:val="right"/>
              <w:rPr>
                <w:rFonts w:ascii="Times New Roman" w:hAnsi="Times New Roman" w:cs="Times New Roman"/>
                <w:sz w:val="18"/>
                <w:szCs w:val="18"/>
              </w:rPr>
            </w:pPr>
            <w:r>
              <w:t>0.031</w:t>
            </w:r>
          </w:p>
        </w:tc>
      </w:tr>
      <w:tr w:rsidR="00265CF1" w:rsidRPr="00D71FF2" w14:paraId="08304808" w14:textId="77777777" w:rsidTr="005B70FA">
        <w:tc>
          <w:tcPr>
            <w:tcW w:w="1484" w:type="pct"/>
            <w:tcMar>
              <w:top w:w="150" w:type="dxa"/>
              <w:left w:w="0" w:type="dxa"/>
              <w:bottom w:w="150" w:type="dxa"/>
              <w:right w:w="240" w:type="dxa"/>
            </w:tcMar>
            <w:vAlign w:val="center"/>
            <w:hideMark/>
          </w:tcPr>
          <w:p w14:paraId="2A38782D" w14:textId="7FCB3A73" w:rsidR="00265CF1" w:rsidRPr="00D71FF2" w:rsidRDefault="00265CF1" w:rsidP="00265CF1">
            <w:pPr>
              <w:rPr>
                <w:rFonts w:ascii="Times New Roman" w:hAnsi="Times New Roman" w:cs="Times New Roman"/>
                <w:sz w:val="18"/>
                <w:szCs w:val="18"/>
              </w:rPr>
            </w:pPr>
            <w:r>
              <w:t>Fat-to-carbohydrate ratio</w:t>
            </w:r>
          </w:p>
        </w:tc>
        <w:tc>
          <w:tcPr>
            <w:tcW w:w="583" w:type="pct"/>
            <w:tcMar>
              <w:top w:w="150" w:type="dxa"/>
              <w:left w:w="240" w:type="dxa"/>
              <w:bottom w:w="150" w:type="dxa"/>
              <w:right w:w="240" w:type="dxa"/>
            </w:tcMar>
            <w:vAlign w:val="center"/>
            <w:hideMark/>
          </w:tcPr>
          <w:p w14:paraId="5367167C" w14:textId="77777777" w:rsidR="00265CF1" w:rsidRPr="00D71FF2" w:rsidRDefault="00265CF1" w:rsidP="005A094C">
            <w:pPr>
              <w:jc w:val="right"/>
              <w:rPr>
                <w:rFonts w:ascii="Times New Roman" w:hAnsi="Times New Roman" w:cs="Times New Roman"/>
                <w:sz w:val="18"/>
                <w:szCs w:val="18"/>
              </w:rPr>
            </w:pPr>
            <w:r>
              <w:t>0.212</w:t>
            </w:r>
          </w:p>
        </w:tc>
        <w:tc>
          <w:tcPr>
            <w:tcW w:w="580" w:type="pct"/>
            <w:tcMar>
              <w:top w:w="150" w:type="dxa"/>
              <w:left w:w="240" w:type="dxa"/>
              <w:bottom w:w="150" w:type="dxa"/>
              <w:right w:w="240" w:type="dxa"/>
            </w:tcMar>
            <w:vAlign w:val="center"/>
            <w:hideMark/>
          </w:tcPr>
          <w:p w14:paraId="34D67F78" w14:textId="77777777" w:rsidR="00265CF1" w:rsidRPr="00D71FF2" w:rsidRDefault="00265CF1" w:rsidP="005A094C">
            <w:pPr>
              <w:jc w:val="right"/>
              <w:rPr>
                <w:rFonts w:ascii="Times New Roman" w:hAnsi="Times New Roman" w:cs="Times New Roman"/>
                <w:sz w:val="18"/>
                <w:szCs w:val="18"/>
              </w:rPr>
            </w:pPr>
            <w:r>
              <w:t>0.181</w:t>
            </w:r>
          </w:p>
        </w:tc>
        <w:tc>
          <w:tcPr>
            <w:tcW w:w="583" w:type="pct"/>
            <w:tcMar>
              <w:top w:w="150" w:type="dxa"/>
              <w:left w:w="240" w:type="dxa"/>
              <w:bottom w:w="150" w:type="dxa"/>
              <w:right w:w="240" w:type="dxa"/>
            </w:tcMar>
            <w:vAlign w:val="center"/>
            <w:hideMark/>
          </w:tcPr>
          <w:p w14:paraId="23E4F211" w14:textId="77777777" w:rsidR="00265CF1" w:rsidRPr="00D71FF2" w:rsidRDefault="00265CF1" w:rsidP="005A094C">
            <w:pPr>
              <w:jc w:val="right"/>
              <w:rPr>
                <w:rFonts w:ascii="Times New Roman" w:hAnsi="Times New Roman" w:cs="Times New Roman"/>
                <w:sz w:val="18"/>
                <w:szCs w:val="18"/>
              </w:rPr>
            </w:pPr>
            <w:r>
              <w:t>0.198</w:t>
            </w:r>
          </w:p>
        </w:tc>
        <w:tc>
          <w:tcPr>
            <w:tcW w:w="580" w:type="pct"/>
            <w:tcMar>
              <w:top w:w="150" w:type="dxa"/>
              <w:left w:w="240" w:type="dxa"/>
              <w:bottom w:w="150" w:type="dxa"/>
              <w:right w:w="240" w:type="dxa"/>
            </w:tcMar>
            <w:vAlign w:val="center"/>
            <w:hideMark/>
          </w:tcPr>
          <w:p w14:paraId="212736FE" w14:textId="77777777" w:rsidR="00265CF1" w:rsidRPr="00D71FF2" w:rsidRDefault="00265CF1" w:rsidP="005A094C">
            <w:pPr>
              <w:jc w:val="right"/>
              <w:rPr>
                <w:rFonts w:ascii="Times New Roman" w:hAnsi="Times New Roman" w:cs="Times New Roman"/>
                <w:sz w:val="18"/>
                <w:szCs w:val="18"/>
              </w:rPr>
            </w:pPr>
            <w:r>
              <w:t>0.031</w:t>
            </w:r>
          </w:p>
        </w:tc>
        <w:tc>
          <w:tcPr>
            <w:tcW w:w="414" w:type="pct"/>
            <w:vAlign w:val="center"/>
          </w:tcPr>
          <w:p w14:paraId="51E33236" w14:textId="5436EA16" w:rsidR="00265CF1" w:rsidRPr="00D71FF2" w:rsidRDefault="00265CF1" w:rsidP="005A094C">
            <w:pPr>
              <w:jc w:val="right"/>
              <w:rPr>
                <w:rFonts w:ascii="Times New Roman" w:hAnsi="Times New Roman" w:cs="Times New Roman"/>
                <w:sz w:val="18"/>
                <w:szCs w:val="18"/>
              </w:rPr>
            </w:pPr>
            <w:r>
              <w:t>0.324</w:t>
            </w:r>
          </w:p>
        </w:tc>
        <w:tc>
          <w:tcPr>
            <w:tcW w:w="776" w:type="pct"/>
            <w:tcMar>
              <w:top w:w="150" w:type="dxa"/>
              <w:left w:w="240" w:type="dxa"/>
              <w:bottom w:w="150" w:type="dxa"/>
              <w:right w:w="240" w:type="dxa"/>
            </w:tcMar>
            <w:vAlign w:val="center"/>
          </w:tcPr>
          <w:p w14:paraId="78756651" w14:textId="59BF24C2" w:rsidR="00265CF1" w:rsidRPr="00D71FF2" w:rsidRDefault="00265CF1" w:rsidP="005A094C">
            <w:pPr>
              <w:jc w:val="right"/>
              <w:rPr>
                <w:rFonts w:ascii="Times New Roman" w:hAnsi="Times New Roman" w:cs="Times New Roman"/>
                <w:sz w:val="18"/>
                <w:szCs w:val="18"/>
              </w:rPr>
            </w:pPr>
            <w:r>
              <w:t>0.212</w:t>
            </w:r>
          </w:p>
        </w:tc>
      </w:tr>
    </w:tbl>
    <w:p w14:paraId="3F482097"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All pairwise differences between categories are significant at P &lt; 0.001 (ANOVA with Bonferroni correction).</w:t>
      </w:r>
    </w:p>
    <w:p w14:paraId="4D1717D9" w14:textId="339ACEC3" w:rsidR="00265CF1" w:rsidRPr="00D71FF2" w:rsidRDefault="000B23C2" w:rsidP="005A094C">
      <w:pPr>
        <w:pStyle w:val="3"/>
      </w:pPr>
      <w:r w:rsidRPr="00D71FF2">
        <w:t>Inference Accuracy</w:t>
      </w:r>
      <w:r w:rsidR="00140DA9" w:rsidRPr="00D71FF2">
        <w:t xml:space="preserve"> Under Simulated Missingness</w:t>
      </w:r>
    </w:p>
    <w:p>
      <w:pPr>
        <w:spacing w:after="120"/>
      </w:pPr>
      <w:r>
        <w:t>Although the primary inferential target is binary administrative status, we retain the three-class structure throughout the results for descriptive completeness, as the Transitional stratum captures a meaningful intermediate dietary pattern in the nutrition transition literature.</w:t>
      </w:r>
    </w:p>
    <w:p w14:paraId="63E7907A" w14:textId="77777777" w:rsidR="00603380" w:rsidRPr="00D71FF2" w:rsidRDefault="00603380" w:rsidP="00265CF1">
      <w:pPr>
        <w:rPr>
          <w:rFonts w:ascii="Times New Roman" w:hAnsi="Times New Roman" w:cs="Times New Roman"/>
        </w:rPr>
      </w:pPr>
      <w:r>
        <w:t>Under 30% simulated missingness, the proposed framework achieved three-class accuracy 0.786 and macro-F1 0.770 (Table 3). It is important to note that Transitional accuracy is partially definitional due to the FatER-based label construction; therefore, the remainder of this section focuses on the binary administrative discrimination task (Rural vs. Urban), which avoids circularity.</w:t>
      </w:r>
    </w:p>
    <w:p w14:paraId="09FAB541" w14:textId="19F6E1D0" w:rsidR="00265CF1" w:rsidRPr="00D71FF2" w:rsidRDefault="00603380" w:rsidP="00265CF1">
      <w:pPr>
        <w:rPr>
          <w:rFonts w:ascii="Times New Roman" w:hAnsi="Times New Roman" w:cs="Times New Roman"/>
        </w:rPr>
      </w:pPr>
      <w:r>
        <w:t>The absolute performance gain over the strongest non-proposed comparator (random forest imputation) was incremental (Δ accuracy ≈ 0.9 percentage points) but consistent across missing rates (mean advantage over KNN ≈ 6.5 percentage points).</w:t>
      </w:r>
    </w:p>
    <w:p w14:paraId="720834C9" w14:textId="7B1ED52A"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3. </w:t>
      </w:r>
      <w:r w:rsidR="004A32A1" w:rsidRPr="00D71FF2">
        <w:rPr>
          <w:rFonts w:ascii="Times New Roman" w:hAnsi="Times New Roman" w:cs="Times New Roman"/>
        </w:rPr>
        <w:t>Inference</w:t>
      </w:r>
      <w:r w:rsidRPr="00D71FF2">
        <w:rPr>
          <w:rFonts w:ascii="Times New Roman" w:hAnsi="Times New Roman" w:cs="Times New Roman"/>
        </w:rPr>
        <w:t xml:space="preserve"> Performance Comparison (30% Missing Rate)</w:t>
      </w:r>
    </w:p>
    <w:tbl>
      <w:tblPr>
        <w:tblW w:w="5000" w:type="pct"/>
        <w:tblBorders>
          <w:top w:val="single" w:sz="8" w:space="0" w:color="auto"/>
        </w:tblBorders>
        <w:tblCellMar>
          <w:top w:w="15" w:type="dxa"/>
          <w:left w:w="15" w:type="dxa"/>
          <w:bottom w:w="15" w:type="dxa"/>
          <w:right w:w="15" w:type="dxa"/>
        </w:tblCellMar>
        <w:tblLook w:val="04A0" w:firstRow="1" w:lastRow="0" w:firstColumn="1" w:lastColumn="0" w:noHBand="0" w:noVBand="1"/>
      </w:tblPr>
      <w:tblGrid>
        <w:gridCol w:w="2222"/>
        <w:gridCol w:w="1389"/>
        <w:gridCol w:w="1434"/>
        <w:gridCol w:w="1430"/>
        <w:gridCol w:w="1831"/>
      </w:tblGrid>
      <w:tr w:rsidR="00265CF1" w:rsidRPr="00D71FF2" w14:paraId="2D7250CB" w14:textId="77777777" w:rsidTr="005B70FA">
        <w:trPr>
          <w:tblHeader/>
        </w:trPr>
        <w:tc>
          <w:tcPr>
            <w:tcW w:w="1338" w:type="pct"/>
            <w:tcBorders>
              <w:top w:val="single" w:sz="8" w:space="0" w:color="auto"/>
              <w:bottom w:val="single" w:sz="4" w:space="0" w:color="auto"/>
            </w:tcBorders>
            <w:tcMar>
              <w:top w:w="150" w:type="dxa"/>
              <w:left w:w="0" w:type="dxa"/>
              <w:bottom w:w="150" w:type="dxa"/>
              <w:right w:w="240" w:type="dxa"/>
            </w:tcMar>
            <w:vAlign w:val="center"/>
            <w:hideMark/>
          </w:tcPr>
          <w:p w14:paraId="3FDDE95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lastRenderedPageBreak/>
              <w:t>Method</w:t>
            </w:r>
          </w:p>
        </w:tc>
        <w:tc>
          <w:tcPr>
            <w:tcW w:w="836" w:type="pct"/>
            <w:tcBorders>
              <w:top w:val="single" w:sz="8" w:space="0" w:color="auto"/>
              <w:bottom w:val="single" w:sz="4" w:space="0" w:color="auto"/>
            </w:tcBorders>
            <w:tcMar>
              <w:top w:w="150" w:type="dxa"/>
              <w:left w:w="240" w:type="dxa"/>
              <w:bottom w:w="150" w:type="dxa"/>
              <w:right w:w="240" w:type="dxa"/>
            </w:tcMar>
            <w:vAlign w:val="center"/>
            <w:hideMark/>
          </w:tcPr>
          <w:p w14:paraId="3F4EC02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63" w:type="pct"/>
            <w:tcBorders>
              <w:top w:val="single" w:sz="8" w:space="0" w:color="auto"/>
              <w:bottom w:val="single" w:sz="4" w:space="0" w:color="auto"/>
            </w:tcBorders>
            <w:tcMar>
              <w:top w:w="150" w:type="dxa"/>
              <w:left w:w="240" w:type="dxa"/>
              <w:bottom w:w="150" w:type="dxa"/>
              <w:right w:w="240" w:type="dxa"/>
            </w:tcMar>
            <w:vAlign w:val="center"/>
            <w:hideMark/>
          </w:tcPr>
          <w:p w14:paraId="4B2E35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861" w:type="pct"/>
            <w:tcBorders>
              <w:top w:val="single" w:sz="8" w:space="0" w:color="auto"/>
              <w:bottom w:val="single" w:sz="4" w:space="0" w:color="auto"/>
            </w:tcBorders>
            <w:tcMar>
              <w:top w:w="150" w:type="dxa"/>
              <w:left w:w="240" w:type="dxa"/>
              <w:bottom w:w="150" w:type="dxa"/>
              <w:right w:w="240" w:type="dxa"/>
            </w:tcMar>
            <w:vAlign w:val="center"/>
            <w:hideMark/>
          </w:tcPr>
          <w:p w14:paraId="46B791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Cohen's κ</w:t>
            </w:r>
          </w:p>
        </w:tc>
        <w:tc>
          <w:tcPr>
            <w:tcW w:w="1103" w:type="pct"/>
            <w:tcBorders>
              <w:top w:val="single" w:sz="8" w:space="0" w:color="auto"/>
              <w:bottom w:val="single" w:sz="4" w:space="0" w:color="auto"/>
            </w:tcBorders>
            <w:tcMar>
              <w:top w:w="150" w:type="dxa"/>
              <w:left w:w="240" w:type="dxa"/>
              <w:bottom w:w="150" w:type="dxa"/>
              <w:right w:w="240" w:type="dxa"/>
            </w:tcMar>
            <w:vAlign w:val="center"/>
            <w:hideMark/>
          </w:tcPr>
          <w:p w14:paraId="0B57415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JS Divergence</w:t>
            </w:r>
          </w:p>
        </w:tc>
      </w:tr>
      <w:tr w:rsidR="00265CF1" w:rsidRPr="00D71FF2" w14:paraId="700AD124" w14:textId="77777777" w:rsidTr="005B70FA">
        <w:tc>
          <w:tcPr>
            <w:tcW w:w="1338" w:type="pct"/>
            <w:tcBorders>
              <w:top w:val="single" w:sz="4" w:space="0" w:color="auto"/>
            </w:tcBorders>
            <w:tcMar>
              <w:top w:w="150" w:type="dxa"/>
              <w:left w:w="0" w:type="dxa"/>
              <w:bottom w:w="150" w:type="dxa"/>
              <w:right w:w="240" w:type="dxa"/>
            </w:tcMar>
            <w:vAlign w:val="center"/>
            <w:hideMark/>
          </w:tcPr>
          <w:p w14:paraId="15923957"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Majority category</w:t>
            </w:r>
          </w:p>
        </w:tc>
        <w:tc>
          <w:tcPr>
            <w:tcW w:w="836" w:type="pct"/>
            <w:tcBorders>
              <w:top w:val="single" w:sz="4" w:space="0" w:color="auto"/>
            </w:tcBorders>
            <w:tcMar>
              <w:top w:w="150" w:type="dxa"/>
              <w:left w:w="240" w:type="dxa"/>
              <w:bottom w:w="150" w:type="dxa"/>
              <w:right w:w="240" w:type="dxa"/>
            </w:tcMar>
            <w:vAlign w:val="center"/>
            <w:hideMark/>
          </w:tcPr>
          <w:p w14:paraId="25AE7DEC" w14:textId="77777777" w:rsidR="00265CF1" w:rsidRPr="00D71FF2" w:rsidRDefault="00265CF1" w:rsidP="005B70FA">
            <w:pPr>
              <w:jc w:val="right"/>
              <w:rPr>
                <w:rFonts w:ascii="Times New Roman" w:hAnsi="Times New Roman" w:cs="Times New Roman"/>
                <w:sz w:val="18"/>
                <w:szCs w:val="18"/>
              </w:rPr>
            </w:pPr>
            <w:r>
              <w:t>0.516</w:t>
            </w:r>
          </w:p>
        </w:tc>
        <w:tc>
          <w:tcPr>
            <w:tcW w:w="863" w:type="pct"/>
            <w:tcBorders>
              <w:top w:val="single" w:sz="4" w:space="0" w:color="auto"/>
            </w:tcBorders>
            <w:tcMar>
              <w:top w:w="150" w:type="dxa"/>
              <w:left w:w="240" w:type="dxa"/>
              <w:bottom w:w="150" w:type="dxa"/>
              <w:right w:w="240" w:type="dxa"/>
            </w:tcMar>
            <w:vAlign w:val="center"/>
            <w:hideMark/>
          </w:tcPr>
          <w:p w14:paraId="32218CDE" w14:textId="77777777" w:rsidR="00265CF1" w:rsidRPr="00D71FF2" w:rsidRDefault="00265CF1" w:rsidP="005B70FA">
            <w:pPr>
              <w:jc w:val="right"/>
              <w:rPr>
                <w:rFonts w:ascii="Times New Roman" w:hAnsi="Times New Roman" w:cs="Times New Roman"/>
                <w:sz w:val="18"/>
                <w:szCs w:val="18"/>
              </w:rPr>
            </w:pPr>
            <w:r>
              <w:t>0.227</w:t>
            </w:r>
          </w:p>
        </w:tc>
        <w:tc>
          <w:tcPr>
            <w:tcW w:w="861" w:type="pct"/>
            <w:tcBorders>
              <w:top w:val="single" w:sz="4" w:space="0" w:color="auto"/>
            </w:tcBorders>
            <w:tcMar>
              <w:top w:w="150" w:type="dxa"/>
              <w:left w:w="240" w:type="dxa"/>
              <w:bottom w:w="150" w:type="dxa"/>
              <w:right w:w="240" w:type="dxa"/>
            </w:tcMar>
            <w:vAlign w:val="center"/>
            <w:hideMark/>
          </w:tcPr>
          <w:p w14:paraId="4C25FB16" w14:textId="77777777" w:rsidR="00265CF1" w:rsidRPr="00D71FF2" w:rsidRDefault="00265CF1" w:rsidP="005B70FA">
            <w:pPr>
              <w:jc w:val="right"/>
              <w:rPr>
                <w:rFonts w:ascii="Times New Roman" w:hAnsi="Times New Roman" w:cs="Times New Roman"/>
                <w:sz w:val="18"/>
                <w:szCs w:val="18"/>
              </w:rPr>
            </w:pPr>
            <w:r>
              <w:t>0.000</w:t>
            </w:r>
          </w:p>
        </w:tc>
        <w:tc>
          <w:tcPr>
            <w:tcW w:w="1103" w:type="pct"/>
            <w:tcBorders>
              <w:top w:val="single" w:sz="4" w:space="0" w:color="auto"/>
            </w:tcBorders>
            <w:tcMar>
              <w:top w:w="150" w:type="dxa"/>
              <w:left w:w="240" w:type="dxa"/>
              <w:bottom w:w="150" w:type="dxa"/>
              <w:right w:w="0" w:type="dxa"/>
            </w:tcMar>
            <w:vAlign w:val="center"/>
            <w:hideMark/>
          </w:tcPr>
          <w:p w14:paraId="681E5E0C" w14:textId="77777777" w:rsidR="00265CF1" w:rsidRPr="00D71FF2" w:rsidRDefault="00265CF1" w:rsidP="005B70FA">
            <w:pPr>
              <w:jc w:val="right"/>
              <w:rPr>
                <w:rFonts w:ascii="Times New Roman" w:hAnsi="Times New Roman" w:cs="Times New Roman"/>
                <w:sz w:val="18"/>
                <w:szCs w:val="18"/>
              </w:rPr>
            </w:pPr>
            <w:r>
              <w:t>0.104</w:t>
            </w:r>
          </w:p>
        </w:tc>
      </w:tr>
      <w:tr w:rsidR="00265CF1" w:rsidRPr="00D71FF2" w14:paraId="58A2FEEC" w14:textId="77777777" w:rsidTr="005B70FA">
        <w:tc>
          <w:tcPr>
            <w:tcW w:w="1338" w:type="pct"/>
            <w:tcMar>
              <w:top w:w="150" w:type="dxa"/>
              <w:left w:w="0" w:type="dxa"/>
              <w:bottom w:w="150" w:type="dxa"/>
              <w:right w:w="240" w:type="dxa"/>
            </w:tcMar>
            <w:vAlign w:val="center"/>
            <w:hideMark/>
          </w:tcPr>
          <w:p w14:paraId="6A0649A9"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MICE</w:t>
            </w:r>
          </w:p>
        </w:tc>
        <w:tc>
          <w:tcPr>
            <w:tcW w:w="836" w:type="pct"/>
            <w:tcMar>
              <w:top w:w="150" w:type="dxa"/>
              <w:left w:w="240" w:type="dxa"/>
              <w:bottom w:w="150" w:type="dxa"/>
              <w:right w:w="240" w:type="dxa"/>
            </w:tcMar>
            <w:vAlign w:val="center"/>
            <w:hideMark/>
          </w:tcPr>
          <w:p w14:paraId="0E44D4B4" w14:textId="77777777" w:rsidR="00265CF1" w:rsidRPr="00D71FF2" w:rsidRDefault="00265CF1" w:rsidP="005B70FA">
            <w:pPr>
              <w:jc w:val="right"/>
              <w:rPr>
                <w:rFonts w:ascii="Times New Roman" w:hAnsi="Times New Roman" w:cs="Times New Roman"/>
                <w:sz w:val="18"/>
                <w:szCs w:val="18"/>
              </w:rPr>
            </w:pPr>
            <w:r>
              <w:t>0.673</w:t>
            </w:r>
          </w:p>
        </w:tc>
        <w:tc>
          <w:tcPr>
            <w:tcW w:w="863" w:type="pct"/>
            <w:tcMar>
              <w:top w:w="150" w:type="dxa"/>
              <w:left w:w="240" w:type="dxa"/>
              <w:bottom w:w="150" w:type="dxa"/>
              <w:right w:w="240" w:type="dxa"/>
            </w:tcMar>
            <w:vAlign w:val="center"/>
            <w:hideMark/>
          </w:tcPr>
          <w:p w14:paraId="01A0BDFC" w14:textId="77777777" w:rsidR="00265CF1" w:rsidRPr="00D71FF2" w:rsidRDefault="00265CF1" w:rsidP="005B70FA">
            <w:pPr>
              <w:jc w:val="right"/>
              <w:rPr>
                <w:rFonts w:ascii="Times New Roman" w:hAnsi="Times New Roman" w:cs="Times New Roman"/>
                <w:sz w:val="18"/>
                <w:szCs w:val="18"/>
              </w:rPr>
            </w:pPr>
            <w:r>
              <w:t>0.631</w:t>
            </w:r>
          </w:p>
        </w:tc>
        <w:tc>
          <w:tcPr>
            <w:tcW w:w="861" w:type="pct"/>
            <w:tcMar>
              <w:top w:w="150" w:type="dxa"/>
              <w:left w:w="240" w:type="dxa"/>
              <w:bottom w:w="150" w:type="dxa"/>
              <w:right w:w="240" w:type="dxa"/>
            </w:tcMar>
            <w:vAlign w:val="center"/>
            <w:hideMark/>
          </w:tcPr>
          <w:p w14:paraId="0EA50FB1" w14:textId="77777777" w:rsidR="00265CF1" w:rsidRPr="00D71FF2" w:rsidRDefault="00265CF1" w:rsidP="005B70FA">
            <w:pPr>
              <w:jc w:val="right"/>
              <w:rPr>
                <w:rFonts w:ascii="Times New Roman" w:hAnsi="Times New Roman" w:cs="Times New Roman"/>
                <w:sz w:val="18"/>
                <w:szCs w:val="18"/>
              </w:rPr>
            </w:pPr>
            <w:r>
              <w:t>0.462</w:t>
            </w:r>
          </w:p>
        </w:tc>
        <w:tc>
          <w:tcPr>
            <w:tcW w:w="1103" w:type="pct"/>
            <w:tcMar>
              <w:top w:w="150" w:type="dxa"/>
              <w:left w:w="240" w:type="dxa"/>
              <w:bottom w:w="150" w:type="dxa"/>
              <w:right w:w="0" w:type="dxa"/>
            </w:tcMar>
            <w:vAlign w:val="center"/>
            <w:hideMark/>
          </w:tcPr>
          <w:p w14:paraId="6D57B40B" w14:textId="77777777" w:rsidR="00265CF1" w:rsidRPr="00D71FF2" w:rsidRDefault="00265CF1" w:rsidP="005B70FA">
            <w:pPr>
              <w:jc w:val="right"/>
              <w:rPr>
                <w:rFonts w:ascii="Times New Roman" w:hAnsi="Times New Roman" w:cs="Times New Roman"/>
                <w:sz w:val="18"/>
                <w:szCs w:val="18"/>
              </w:rPr>
            </w:pPr>
            <w:r>
              <w:t>0.032</w:t>
            </w:r>
          </w:p>
        </w:tc>
      </w:tr>
      <w:tr w:rsidR="00265CF1" w:rsidRPr="00D71FF2" w14:paraId="66AC6CD7" w14:textId="77777777" w:rsidTr="005B70FA">
        <w:tc>
          <w:tcPr>
            <w:tcW w:w="1338" w:type="pct"/>
            <w:tcMar>
              <w:top w:w="150" w:type="dxa"/>
              <w:left w:w="0" w:type="dxa"/>
              <w:bottom w:w="150" w:type="dxa"/>
              <w:right w:w="240" w:type="dxa"/>
            </w:tcMar>
            <w:vAlign w:val="center"/>
            <w:hideMark/>
          </w:tcPr>
          <w:p w14:paraId="001A7BC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KNN (k = 5)</w:t>
            </w:r>
          </w:p>
        </w:tc>
        <w:tc>
          <w:tcPr>
            <w:tcW w:w="836" w:type="pct"/>
            <w:tcMar>
              <w:top w:w="150" w:type="dxa"/>
              <w:left w:w="240" w:type="dxa"/>
              <w:bottom w:w="150" w:type="dxa"/>
              <w:right w:w="240" w:type="dxa"/>
            </w:tcMar>
            <w:vAlign w:val="center"/>
            <w:hideMark/>
          </w:tcPr>
          <w:p w14:paraId="130B452E" w14:textId="77777777" w:rsidR="00265CF1" w:rsidRPr="00D71FF2" w:rsidRDefault="00265CF1" w:rsidP="005B70FA">
            <w:pPr>
              <w:jc w:val="right"/>
              <w:rPr>
                <w:rFonts w:ascii="Times New Roman" w:hAnsi="Times New Roman" w:cs="Times New Roman"/>
                <w:sz w:val="18"/>
                <w:szCs w:val="18"/>
              </w:rPr>
            </w:pPr>
            <w:r>
              <w:t>0.721</w:t>
            </w:r>
          </w:p>
        </w:tc>
        <w:tc>
          <w:tcPr>
            <w:tcW w:w="863" w:type="pct"/>
            <w:tcMar>
              <w:top w:w="150" w:type="dxa"/>
              <w:left w:w="240" w:type="dxa"/>
              <w:bottom w:w="150" w:type="dxa"/>
              <w:right w:w="240" w:type="dxa"/>
            </w:tcMar>
            <w:vAlign w:val="center"/>
            <w:hideMark/>
          </w:tcPr>
          <w:p w14:paraId="3269BEEB" w14:textId="77777777" w:rsidR="00265CF1" w:rsidRPr="00D71FF2" w:rsidRDefault="00265CF1" w:rsidP="005B70FA">
            <w:pPr>
              <w:jc w:val="right"/>
              <w:rPr>
                <w:rFonts w:ascii="Times New Roman" w:hAnsi="Times New Roman" w:cs="Times New Roman"/>
                <w:sz w:val="18"/>
                <w:szCs w:val="18"/>
              </w:rPr>
            </w:pPr>
            <w:r>
              <w:t>0.707</w:t>
            </w:r>
          </w:p>
        </w:tc>
        <w:tc>
          <w:tcPr>
            <w:tcW w:w="861" w:type="pct"/>
            <w:tcMar>
              <w:top w:w="150" w:type="dxa"/>
              <w:left w:w="240" w:type="dxa"/>
              <w:bottom w:w="150" w:type="dxa"/>
              <w:right w:w="240" w:type="dxa"/>
            </w:tcMar>
            <w:vAlign w:val="center"/>
            <w:hideMark/>
          </w:tcPr>
          <w:p w14:paraId="1DCE10FA" w14:textId="77777777" w:rsidR="00265CF1" w:rsidRPr="00D71FF2" w:rsidRDefault="00265CF1" w:rsidP="005B70FA">
            <w:pPr>
              <w:jc w:val="right"/>
              <w:rPr>
                <w:rFonts w:ascii="Times New Roman" w:hAnsi="Times New Roman" w:cs="Times New Roman"/>
                <w:sz w:val="18"/>
                <w:szCs w:val="18"/>
              </w:rPr>
            </w:pPr>
            <w:r>
              <w:t>0.539</w:t>
            </w:r>
          </w:p>
        </w:tc>
        <w:tc>
          <w:tcPr>
            <w:tcW w:w="1103" w:type="pct"/>
            <w:tcMar>
              <w:top w:w="150" w:type="dxa"/>
              <w:left w:w="240" w:type="dxa"/>
              <w:bottom w:w="150" w:type="dxa"/>
              <w:right w:w="0" w:type="dxa"/>
            </w:tcMar>
            <w:vAlign w:val="center"/>
            <w:hideMark/>
          </w:tcPr>
          <w:p w14:paraId="056DF714" w14:textId="77777777" w:rsidR="00265CF1" w:rsidRPr="00D71FF2" w:rsidRDefault="00265CF1" w:rsidP="005B70FA">
            <w:pPr>
              <w:jc w:val="right"/>
              <w:rPr>
                <w:rFonts w:ascii="Times New Roman" w:hAnsi="Times New Roman" w:cs="Times New Roman"/>
                <w:sz w:val="18"/>
                <w:szCs w:val="18"/>
              </w:rPr>
            </w:pPr>
            <w:r>
              <w:t>0.014</w:t>
            </w:r>
          </w:p>
        </w:tc>
      </w:tr>
      <w:tr w:rsidR="00265CF1" w:rsidRPr="00D71FF2" w14:paraId="75DD6E26" w14:textId="77777777" w:rsidTr="005B70FA">
        <w:tc>
          <w:tcPr>
            <w:tcW w:w="1338" w:type="pct"/>
            <w:tcBorders>
              <w:bottom w:val="nil"/>
            </w:tcBorders>
            <w:tcMar>
              <w:top w:w="150" w:type="dxa"/>
              <w:left w:w="0" w:type="dxa"/>
              <w:bottom w:w="150" w:type="dxa"/>
              <w:right w:w="240" w:type="dxa"/>
            </w:tcMar>
            <w:vAlign w:val="center"/>
            <w:hideMark/>
          </w:tcPr>
          <w:p w14:paraId="7FD8653E"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RF-Imputer</w:t>
            </w:r>
          </w:p>
        </w:tc>
        <w:tc>
          <w:tcPr>
            <w:tcW w:w="836" w:type="pct"/>
            <w:tcBorders>
              <w:bottom w:val="nil"/>
            </w:tcBorders>
            <w:tcMar>
              <w:top w:w="150" w:type="dxa"/>
              <w:left w:w="240" w:type="dxa"/>
              <w:bottom w:w="150" w:type="dxa"/>
              <w:right w:w="240" w:type="dxa"/>
            </w:tcMar>
            <w:vAlign w:val="center"/>
            <w:hideMark/>
          </w:tcPr>
          <w:p w14:paraId="2BB1065E" w14:textId="77777777" w:rsidR="00265CF1" w:rsidRPr="00D71FF2" w:rsidRDefault="00265CF1" w:rsidP="005B70FA">
            <w:pPr>
              <w:jc w:val="right"/>
              <w:rPr>
                <w:rFonts w:ascii="Times New Roman" w:hAnsi="Times New Roman" w:cs="Times New Roman"/>
                <w:sz w:val="18"/>
                <w:szCs w:val="18"/>
              </w:rPr>
            </w:pPr>
            <w:r>
              <w:t>0.777</w:t>
            </w:r>
          </w:p>
        </w:tc>
        <w:tc>
          <w:tcPr>
            <w:tcW w:w="863" w:type="pct"/>
            <w:tcBorders>
              <w:bottom w:val="nil"/>
            </w:tcBorders>
            <w:tcMar>
              <w:top w:w="150" w:type="dxa"/>
              <w:left w:w="240" w:type="dxa"/>
              <w:bottom w:w="150" w:type="dxa"/>
              <w:right w:w="240" w:type="dxa"/>
            </w:tcMar>
            <w:vAlign w:val="center"/>
            <w:hideMark/>
          </w:tcPr>
          <w:p w14:paraId="414E0DF4" w14:textId="77777777" w:rsidR="00265CF1" w:rsidRPr="00D71FF2" w:rsidRDefault="00265CF1" w:rsidP="005B70FA">
            <w:pPr>
              <w:jc w:val="right"/>
              <w:rPr>
                <w:rFonts w:ascii="Times New Roman" w:hAnsi="Times New Roman" w:cs="Times New Roman"/>
                <w:sz w:val="18"/>
                <w:szCs w:val="18"/>
              </w:rPr>
            </w:pPr>
            <w:r>
              <w:t>0.759</w:t>
            </w:r>
          </w:p>
        </w:tc>
        <w:tc>
          <w:tcPr>
            <w:tcW w:w="861" w:type="pct"/>
            <w:tcBorders>
              <w:bottom w:val="nil"/>
            </w:tcBorders>
            <w:tcMar>
              <w:top w:w="150" w:type="dxa"/>
              <w:left w:w="240" w:type="dxa"/>
              <w:bottom w:w="150" w:type="dxa"/>
              <w:right w:w="240" w:type="dxa"/>
            </w:tcMar>
            <w:vAlign w:val="center"/>
            <w:hideMark/>
          </w:tcPr>
          <w:p w14:paraId="6A7A2041" w14:textId="77777777" w:rsidR="00265CF1" w:rsidRPr="00D71FF2" w:rsidRDefault="00265CF1" w:rsidP="005B70FA">
            <w:pPr>
              <w:jc w:val="right"/>
              <w:rPr>
                <w:rFonts w:ascii="Times New Roman" w:hAnsi="Times New Roman" w:cs="Times New Roman"/>
                <w:sz w:val="18"/>
                <w:szCs w:val="18"/>
              </w:rPr>
            </w:pPr>
            <w:r>
              <w:t>0.623</w:t>
            </w:r>
          </w:p>
        </w:tc>
        <w:tc>
          <w:tcPr>
            <w:tcW w:w="1103" w:type="pct"/>
            <w:tcBorders>
              <w:bottom w:val="nil"/>
            </w:tcBorders>
            <w:tcMar>
              <w:top w:w="150" w:type="dxa"/>
              <w:left w:w="240" w:type="dxa"/>
              <w:bottom w:w="150" w:type="dxa"/>
              <w:right w:w="0" w:type="dxa"/>
            </w:tcMar>
            <w:vAlign w:val="center"/>
            <w:hideMark/>
          </w:tcPr>
          <w:p w14:paraId="6A345CEA" w14:textId="77777777" w:rsidR="00265CF1" w:rsidRPr="00D71FF2" w:rsidRDefault="00265CF1" w:rsidP="005B70FA">
            <w:pPr>
              <w:jc w:val="right"/>
              <w:rPr>
                <w:rFonts w:ascii="Times New Roman" w:hAnsi="Times New Roman" w:cs="Times New Roman"/>
                <w:sz w:val="18"/>
                <w:szCs w:val="18"/>
              </w:rPr>
            </w:pPr>
            <w:r>
              <w:t>0.025</w:t>
            </w:r>
          </w:p>
        </w:tc>
      </w:tr>
      <w:tr w:rsidR="00265CF1" w:rsidRPr="00D71FF2" w14:paraId="1C941AD9" w14:textId="77777777" w:rsidTr="005B70FA">
        <w:tc>
          <w:tcPr>
            <w:tcW w:w="1338" w:type="pct"/>
            <w:tcBorders>
              <w:top w:val="nil"/>
              <w:bottom w:val="single" w:sz="8" w:space="0" w:color="auto"/>
            </w:tcBorders>
            <w:tcMar>
              <w:top w:w="150" w:type="dxa"/>
              <w:left w:w="0" w:type="dxa"/>
              <w:bottom w:w="150" w:type="dxa"/>
              <w:right w:w="240" w:type="dxa"/>
            </w:tcMar>
            <w:vAlign w:val="center"/>
            <w:hideMark/>
          </w:tcPr>
          <w:p w14:paraId="4AD78C4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b/>
                <w:bCs/>
                <w:sz w:val="18"/>
                <w:szCs w:val="18"/>
              </w:rPr>
              <w:t>Proposed framework</w:t>
            </w:r>
          </w:p>
        </w:tc>
        <w:tc>
          <w:tcPr>
            <w:tcW w:w="836" w:type="pct"/>
            <w:tcBorders>
              <w:top w:val="nil"/>
              <w:bottom w:val="single" w:sz="8" w:space="0" w:color="auto"/>
            </w:tcBorders>
            <w:tcMar>
              <w:top w:w="150" w:type="dxa"/>
              <w:left w:w="240" w:type="dxa"/>
              <w:bottom w:w="150" w:type="dxa"/>
              <w:right w:w="240" w:type="dxa"/>
            </w:tcMar>
            <w:vAlign w:val="center"/>
            <w:hideMark/>
          </w:tcPr>
          <w:p w14:paraId="4A2D9653" w14:textId="77777777" w:rsidR="00265CF1" w:rsidRPr="00D71FF2" w:rsidRDefault="00265CF1" w:rsidP="005B70FA">
            <w:pPr>
              <w:jc w:val="right"/>
              <w:rPr>
                <w:rFonts w:ascii="Times New Roman" w:hAnsi="Times New Roman" w:cs="Times New Roman"/>
                <w:sz w:val="18"/>
                <w:szCs w:val="18"/>
              </w:rPr>
            </w:pPr>
            <w:r>
              <w:t>0.786</w:t>
            </w:r>
          </w:p>
        </w:tc>
        <w:tc>
          <w:tcPr>
            <w:tcW w:w="863" w:type="pct"/>
            <w:tcBorders>
              <w:top w:val="nil"/>
              <w:bottom w:val="single" w:sz="8" w:space="0" w:color="auto"/>
            </w:tcBorders>
            <w:tcMar>
              <w:top w:w="150" w:type="dxa"/>
              <w:left w:w="240" w:type="dxa"/>
              <w:bottom w:w="150" w:type="dxa"/>
              <w:right w:w="240" w:type="dxa"/>
            </w:tcMar>
            <w:vAlign w:val="center"/>
            <w:hideMark/>
          </w:tcPr>
          <w:p w14:paraId="51ECC4C5" w14:textId="77777777" w:rsidR="00265CF1" w:rsidRPr="00D71FF2" w:rsidRDefault="00265CF1" w:rsidP="005B70FA">
            <w:pPr>
              <w:jc w:val="right"/>
              <w:rPr>
                <w:rFonts w:ascii="Times New Roman" w:hAnsi="Times New Roman" w:cs="Times New Roman"/>
                <w:sz w:val="18"/>
                <w:szCs w:val="18"/>
              </w:rPr>
            </w:pPr>
            <w:r>
              <w:t>0.770</w:t>
            </w:r>
          </w:p>
        </w:tc>
        <w:tc>
          <w:tcPr>
            <w:tcW w:w="861" w:type="pct"/>
            <w:tcBorders>
              <w:top w:val="nil"/>
              <w:bottom w:val="single" w:sz="8" w:space="0" w:color="auto"/>
            </w:tcBorders>
            <w:tcMar>
              <w:top w:w="150" w:type="dxa"/>
              <w:left w:w="240" w:type="dxa"/>
              <w:bottom w:w="150" w:type="dxa"/>
              <w:right w:w="240" w:type="dxa"/>
            </w:tcMar>
            <w:vAlign w:val="center"/>
            <w:hideMark/>
          </w:tcPr>
          <w:p w14:paraId="03459283" w14:textId="77777777" w:rsidR="00265CF1" w:rsidRPr="00D71FF2" w:rsidRDefault="00265CF1" w:rsidP="005B70FA">
            <w:pPr>
              <w:jc w:val="right"/>
              <w:rPr>
                <w:rFonts w:ascii="Times New Roman" w:hAnsi="Times New Roman" w:cs="Times New Roman"/>
                <w:sz w:val="18"/>
                <w:szCs w:val="18"/>
              </w:rPr>
            </w:pPr>
            <w:r>
              <w:t>0.638</w:t>
            </w:r>
          </w:p>
        </w:tc>
        <w:tc>
          <w:tcPr>
            <w:tcW w:w="1103" w:type="pct"/>
            <w:tcBorders>
              <w:top w:val="nil"/>
              <w:bottom w:val="single" w:sz="8" w:space="0" w:color="auto"/>
            </w:tcBorders>
            <w:tcMar>
              <w:top w:w="150" w:type="dxa"/>
              <w:left w:w="240" w:type="dxa"/>
              <w:bottom w:w="150" w:type="dxa"/>
              <w:right w:w="0" w:type="dxa"/>
            </w:tcMar>
            <w:vAlign w:val="center"/>
            <w:hideMark/>
          </w:tcPr>
          <w:p w14:paraId="1F125002" w14:textId="77777777" w:rsidR="00265CF1" w:rsidRPr="00D71FF2" w:rsidRDefault="00265CF1" w:rsidP="005B70FA">
            <w:pPr>
              <w:jc w:val="right"/>
              <w:rPr>
                <w:rFonts w:ascii="Times New Roman" w:hAnsi="Times New Roman" w:cs="Times New Roman"/>
                <w:sz w:val="18"/>
                <w:szCs w:val="18"/>
              </w:rPr>
            </w:pPr>
            <w:r>
              <w:t>0.023</w:t>
            </w:r>
          </w:p>
        </w:tc>
      </w:tr>
    </w:tbl>
    <w:p w14:paraId="78D6B133" w14:textId="53C46609" w:rsidR="00265CF1" w:rsidRPr="00D71FF2" w:rsidRDefault="00265CF1" w:rsidP="00265CF1">
      <w:pPr>
        <w:rPr>
          <w:rFonts w:ascii="Times New Roman" w:hAnsi="Times New Roman" w:cs="Times New Roman"/>
          <w:i/>
          <w:iCs/>
        </w:rPr>
      </w:pPr>
      <w:r w:rsidRPr="00D71FF2">
        <w:rPr>
          <w:rFonts w:ascii="Times New Roman" w:hAnsi="Times New Roman" w:cs="Times New Roman"/>
          <w:i/>
          <w:iCs/>
        </w:rPr>
        <w:t>JS: Jensen–Shannon. 95% confidence intervals from bootstrap resampling (n = 2,000) are reported in text.</w:t>
      </w:r>
    </w:p>
    <w:p w14:paraId="6F5BA5FD" w14:textId="24EE16BC"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4. </w:t>
      </w:r>
      <w:r w:rsidRPr="00D71FF2">
        <w:rPr>
          <w:rFonts w:ascii="Times New Roman" w:hAnsi="Times New Roman" w:cs="Times New Roman"/>
        </w:rPr>
        <w:t xml:space="preserve">Category-Specific </w:t>
      </w:r>
      <w:r w:rsidR="00876511" w:rsidRPr="00D71FF2">
        <w:rPr>
          <w:rFonts w:ascii="Times New Roman" w:hAnsi="Times New Roman" w:cs="Times New Roman"/>
        </w:rPr>
        <w:t xml:space="preserve">Inference </w:t>
      </w:r>
      <w:r w:rsidRPr="00D71FF2">
        <w:rPr>
          <w:rFonts w:ascii="Times New Roman" w:hAnsi="Times New Roman" w:cs="Times New Roman"/>
        </w:rPr>
        <w:t>Accuracy (30% Missing Rate)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111"/>
        <w:gridCol w:w="1369"/>
        <w:gridCol w:w="1206"/>
        <w:gridCol w:w="1010"/>
        <w:gridCol w:w="927"/>
        <w:gridCol w:w="1450"/>
        <w:gridCol w:w="1233"/>
      </w:tblGrid>
      <w:tr w:rsidR="00A36456" w:rsidRPr="00D71FF2" w14:paraId="05976AB6" w14:textId="77777777" w:rsidTr="00A36456">
        <w:trPr>
          <w:tblHeader/>
        </w:trPr>
        <w:tc>
          <w:tcPr>
            <w:tcW w:w="669" w:type="pct"/>
            <w:tcBorders>
              <w:top w:val="single" w:sz="8" w:space="0" w:color="auto"/>
              <w:bottom w:val="single" w:sz="4" w:space="0" w:color="auto"/>
            </w:tcBorders>
            <w:tcMar>
              <w:top w:w="150" w:type="dxa"/>
              <w:left w:w="0" w:type="dxa"/>
              <w:bottom w:w="150" w:type="dxa"/>
              <w:right w:w="240" w:type="dxa"/>
            </w:tcMar>
            <w:vAlign w:val="center"/>
            <w:hideMark/>
          </w:tcPr>
          <w:p w14:paraId="29FBD9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Category</w:t>
            </w:r>
          </w:p>
        </w:tc>
        <w:tc>
          <w:tcPr>
            <w:tcW w:w="824" w:type="pct"/>
            <w:tcBorders>
              <w:top w:val="single" w:sz="8" w:space="0" w:color="auto"/>
              <w:bottom w:val="single" w:sz="4" w:space="0" w:color="auto"/>
            </w:tcBorders>
            <w:tcMar>
              <w:top w:w="150" w:type="dxa"/>
              <w:left w:w="240" w:type="dxa"/>
              <w:bottom w:w="150" w:type="dxa"/>
              <w:right w:w="240" w:type="dxa"/>
            </w:tcMar>
            <w:vAlign w:val="center"/>
            <w:hideMark/>
          </w:tcPr>
          <w:p w14:paraId="3DD55C1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 (masked)</w:t>
            </w:r>
          </w:p>
        </w:tc>
        <w:tc>
          <w:tcPr>
            <w:tcW w:w="726" w:type="pct"/>
            <w:tcBorders>
              <w:top w:val="single" w:sz="8" w:space="0" w:color="auto"/>
              <w:bottom w:val="single" w:sz="4" w:space="0" w:color="auto"/>
            </w:tcBorders>
            <w:tcMar>
              <w:top w:w="150" w:type="dxa"/>
              <w:left w:w="240" w:type="dxa"/>
              <w:bottom w:w="150" w:type="dxa"/>
              <w:right w:w="240" w:type="dxa"/>
            </w:tcMar>
            <w:vAlign w:val="center"/>
            <w:hideMark/>
          </w:tcPr>
          <w:p w14:paraId="3D3A0FA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Majority</w:t>
            </w:r>
          </w:p>
        </w:tc>
        <w:tc>
          <w:tcPr>
            <w:tcW w:w="608" w:type="pct"/>
            <w:tcBorders>
              <w:top w:val="single" w:sz="8" w:space="0" w:color="auto"/>
              <w:bottom w:val="single" w:sz="4" w:space="0" w:color="auto"/>
            </w:tcBorders>
            <w:tcMar>
              <w:top w:w="150" w:type="dxa"/>
              <w:left w:w="240" w:type="dxa"/>
              <w:bottom w:w="150" w:type="dxa"/>
              <w:right w:w="240" w:type="dxa"/>
            </w:tcMar>
            <w:vAlign w:val="center"/>
            <w:hideMark/>
          </w:tcPr>
          <w:p w14:paraId="77786AB0"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MICE</w:t>
            </w:r>
          </w:p>
        </w:tc>
        <w:tc>
          <w:tcPr>
            <w:tcW w:w="558" w:type="pct"/>
            <w:tcBorders>
              <w:top w:val="single" w:sz="8" w:space="0" w:color="auto"/>
              <w:bottom w:val="single" w:sz="4" w:space="0" w:color="auto"/>
            </w:tcBorders>
            <w:tcMar>
              <w:top w:w="150" w:type="dxa"/>
              <w:left w:w="240" w:type="dxa"/>
              <w:bottom w:w="150" w:type="dxa"/>
              <w:right w:w="240" w:type="dxa"/>
            </w:tcMar>
            <w:vAlign w:val="center"/>
            <w:hideMark/>
          </w:tcPr>
          <w:p w14:paraId="61A1D20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KNN</w:t>
            </w:r>
          </w:p>
        </w:tc>
        <w:tc>
          <w:tcPr>
            <w:tcW w:w="873" w:type="pct"/>
            <w:tcBorders>
              <w:top w:val="single" w:sz="8" w:space="0" w:color="auto"/>
              <w:bottom w:val="single" w:sz="4" w:space="0" w:color="auto"/>
            </w:tcBorders>
            <w:tcMar>
              <w:top w:w="150" w:type="dxa"/>
              <w:left w:w="240" w:type="dxa"/>
              <w:bottom w:w="150" w:type="dxa"/>
              <w:right w:w="240" w:type="dxa"/>
            </w:tcMar>
            <w:vAlign w:val="center"/>
            <w:hideMark/>
          </w:tcPr>
          <w:p w14:paraId="18034C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RF-Imputer</w:t>
            </w:r>
          </w:p>
        </w:tc>
        <w:tc>
          <w:tcPr>
            <w:tcW w:w="742" w:type="pct"/>
            <w:tcBorders>
              <w:top w:val="single" w:sz="8" w:space="0" w:color="auto"/>
              <w:bottom w:val="single" w:sz="4" w:space="0" w:color="auto"/>
            </w:tcBorders>
            <w:tcMar>
              <w:top w:w="150" w:type="dxa"/>
              <w:left w:w="240" w:type="dxa"/>
              <w:bottom w:w="150" w:type="dxa"/>
              <w:right w:w="240" w:type="dxa"/>
            </w:tcMar>
            <w:vAlign w:val="center"/>
            <w:hideMark/>
          </w:tcPr>
          <w:p w14:paraId="519CC0A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Proposed</w:t>
            </w:r>
          </w:p>
        </w:tc>
      </w:tr>
      <w:tr w:rsidR="00A36456" w:rsidRPr="00D71FF2" w14:paraId="187CC337" w14:textId="77777777" w:rsidTr="00A36456">
        <w:tc>
          <w:tcPr>
            <w:tcW w:w="669" w:type="pct"/>
            <w:tcBorders>
              <w:top w:val="single" w:sz="4" w:space="0" w:color="auto"/>
            </w:tcBorders>
            <w:tcMar>
              <w:top w:w="150" w:type="dxa"/>
              <w:left w:w="0" w:type="dxa"/>
              <w:bottom w:w="150" w:type="dxa"/>
              <w:right w:w="240" w:type="dxa"/>
            </w:tcMar>
            <w:vAlign w:val="center"/>
            <w:hideMark/>
          </w:tcPr>
          <w:p w14:paraId="1CE589C2"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Rural</w:t>
            </w:r>
          </w:p>
        </w:tc>
        <w:tc>
          <w:tcPr>
            <w:tcW w:w="824" w:type="pct"/>
            <w:tcBorders>
              <w:top w:val="single" w:sz="4" w:space="0" w:color="auto"/>
            </w:tcBorders>
            <w:tcMar>
              <w:top w:w="150" w:type="dxa"/>
              <w:left w:w="240" w:type="dxa"/>
              <w:bottom w:w="150" w:type="dxa"/>
              <w:right w:w="240" w:type="dxa"/>
            </w:tcMar>
            <w:vAlign w:val="center"/>
            <w:hideMark/>
          </w:tcPr>
          <w:p w14:paraId="2CE28F73" w14:textId="77777777" w:rsidR="00265CF1" w:rsidRPr="00D71FF2" w:rsidRDefault="00265CF1" w:rsidP="00A36456">
            <w:pPr>
              <w:jc w:val="right"/>
              <w:rPr>
                <w:rFonts w:ascii="Times New Roman" w:hAnsi="Times New Roman" w:cs="Times New Roman"/>
                <w:sz w:val="18"/>
                <w:szCs w:val="18"/>
              </w:rPr>
            </w:pPr>
            <w:r>
              <w:t>3,150</w:t>
            </w:r>
          </w:p>
        </w:tc>
        <w:tc>
          <w:tcPr>
            <w:tcW w:w="726" w:type="pct"/>
            <w:tcBorders>
              <w:top w:val="single" w:sz="4" w:space="0" w:color="auto"/>
            </w:tcBorders>
            <w:tcMar>
              <w:top w:w="150" w:type="dxa"/>
              <w:left w:w="240" w:type="dxa"/>
              <w:bottom w:w="150" w:type="dxa"/>
              <w:right w:w="240" w:type="dxa"/>
            </w:tcMar>
            <w:vAlign w:val="center"/>
            <w:hideMark/>
          </w:tcPr>
          <w:p w14:paraId="0AA5FC8E" w14:textId="77777777" w:rsidR="00265CF1" w:rsidRPr="00D71FF2" w:rsidRDefault="00265CF1" w:rsidP="00A36456">
            <w:pPr>
              <w:jc w:val="right"/>
              <w:rPr>
                <w:rFonts w:ascii="Times New Roman" w:hAnsi="Times New Roman" w:cs="Times New Roman"/>
                <w:sz w:val="18"/>
                <w:szCs w:val="18"/>
              </w:rPr>
            </w:pPr>
            <w:r>
              <w:t>1.000</w:t>
            </w:r>
          </w:p>
        </w:tc>
        <w:tc>
          <w:tcPr>
            <w:tcW w:w="608" w:type="pct"/>
            <w:tcBorders>
              <w:top w:val="single" w:sz="4" w:space="0" w:color="auto"/>
            </w:tcBorders>
            <w:tcMar>
              <w:top w:w="150" w:type="dxa"/>
              <w:left w:w="240" w:type="dxa"/>
              <w:bottom w:w="150" w:type="dxa"/>
              <w:right w:w="240" w:type="dxa"/>
            </w:tcMar>
            <w:vAlign w:val="center"/>
            <w:hideMark/>
          </w:tcPr>
          <w:p w14:paraId="1CD69BE5" w14:textId="77777777" w:rsidR="00265CF1" w:rsidRPr="00D71FF2" w:rsidRDefault="00265CF1" w:rsidP="00A36456">
            <w:pPr>
              <w:jc w:val="right"/>
              <w:rPr>
                <w:rFonts w:ascii="Times New Roman" w:hAnsi="Times New Roman" w:cs="Times New Roman"/>
                <w:sz w:val="18"/>
                <w:szCs w:val="18"/>
              </w:rPr>
            </w:pPr>
            <w:r>
              <w:t>0.765</w:t>
            </w:r>
          </w:p>
        </w:tc>
        <w:tc>
          <w:tcPr>
            <w:tcW w:w="558" w:type="pct"/>
            <w:tcBorders>
              <w:top w:val="single" w:sz="4" w:space="0" w:color="auto"/>
            </w:tcBorders>
            <w:tcMar>
              <w:top w:w="150" w:type="dxa"/>
              <w:left w:w="240" w:type="dxa"/>
              <w:bottom w:w="150" w:type="dxa"/>
              <w:right w:w="240" w:type="dxa"/>
            </w:tcMar>
            <w:vAlign w:val="center"/>
            <w:hideMark/>
          </w:tcPr>
          <w:p w14:paraId="70275E87" w14:textId="77777777" w:rsidR="00265CF1" w:rsidRPr="00D71FF2" w:rsidRDefault="00265CF1" w:rsidP="00A36456">
            <w:pPr>
              <w:jc w:val="right"/>
              <w:rPr>
                <w:rFonts w:ascii="Times New Roman" w:hAnsi="Times New Roman" w:cs="Times New Roman"/>
                <w:sz w:val="18"/>
                <w:szCs w:val="18"/>
              </w:rPr>
            </w:pPr>
            <w:r>
              <w:t>0.782</w:t>
            </w:r>
          </w:p>
        </w:tc>
        <w:tc>
          <w:tcPr>
            <w:tcW w:w="873" w:type="pct"/>
            <w:tcBorders>
              <w:top w:val="single" w:sz="4" w:space="0" w:color="auto"/>
            </w:tcBorders>
            <w:tcMar>
              <w:top w:w="150" w:type="dxa"/>
              <w:left w:w="240" w:type="dxa"/>
              <w:bottom w:w="150" w:type="dxa"/>
              <w:right w:w="240" w:type="dxa"/>
            </w:tcMar>
            <w:vAlign w:val="center"/>
            <w:hideMark/>
          </w:tcPr>
          <w:p w14:paraId="3162660B" w14:textId="77777777" w:rsidR="00265CF1" w:rsidRPr="00D71FF2" w:rsidRDefault="00265CF1" w:rsidP="00A36456">
            <w:pPr>
              <w:jc w:val="right"/>
              <w:rPr>
                <w:rFonts w:ascii="Times New Roman" w:hAnsi="Times New Roman" w:cs="Times New Roman"/>
                <w:sz w:val="18"/>
                <w:szCs w:val="18"/>
              </w:rPr>
            </w:pPr>
            <w:r>
              <w:t>0.876</w:t>
            </w:r>
          </w:p>
        </w:tc>
        <w:tc>
          <w:tcPr>
            <w:tcW w:w="742" w:type="pct"/>
            <w:tcBorders>
              <w:top w:val="single" w:sz="4" w:space="0" w:color="auto"/>
            </w:tcBorders>
            <w:tcMar>
              <w:top w:w="150" w:type="dxa"/>
              <w:left w:w="240" w:type="dxa"/>
              <w:bottom w:w="150" w:type="dxa"/>
              <w:right w:w="0" w:type="dxa"/>
            </w:tcMar>
            <w:vAlign w:val="center"/>
            <w:hideMark/>
          </w:tcPr>
          <w:p w14:paraId="26F1775C" w14:textId="77777777" w:rsidR="00265CF1" w:rsidRPr="00D71FF2" w:rsidRDefault="00265CF1" w:rsidP="00A36456">
            <w:pPr>
              <w:jc w:val="right"/>
              <w:rPr>
                <w:rFonts w:ascii="Times New Roman" w:hAnsi="Times New Roman" w:cs="Times New Roman"/>
                <w:sz w:val="18"/>
                <w:szCs w:val="18"/>
              </w:rPr>
            </w:pPr>
            <w:r>
              <w:t>0.879</w:t>
            </w:r>
          </w:p>
        </w:tc>
      </w:tr>
      <w:tr w:rsidR="00A36456" w:rsidRPr="00D71FF2" w14:paraId="3766078C" w14:textId="77777777" w:rsidTr="00A36456">
        <w:tc>
          <w:tcPr>
            <w:tcW w:w="669" w:type="pct"/>
            <w:tcMar>
              <w:top w:w="150" w:type="dxa"/>
              <w:left w:w="0" w:type="dxa"/>
              <w:bottom w:w="150" w:type="dxa"/>
              <w:right w:w="240" w:type="dxa"/>
            </w:tcMar>
            <w:vAlign w:val="center"/>
            <w:hideMark/>
          </w:tcPr>
          <w:p w14:paraId="0559D0B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Transitional</w:t>
            </w:r>
          </w:p>
        </w:tc>
        <w:tc>
          <w:tcPr>
            <w:tcW w:w="824" w:type="pct"/>
            <w:tcMar>
              <w:top w:w="150" w:type="dxa"/>
              <w:left w:w="240" w:type="dxa"/>
              <w:bottom w:w="150" w:type="dxa"/>
              <w:right w:w="240" w:type="dxa"/>
            </w:tcMar>
            <w:vAlign w:val="center"/>
            <w:hideMark/>
          </w:tcPr>
          <w:p w14:paraId="61A833F3" w14:textId="77777777" w:rsidR="00265CF1" w:rsidRPr="00D71FF2" w:rsidRDefault="00265CF1" w:rsidP="00A36456">
            <w:pPr>
              <w:jc w:val="right"/>
              <w:rPr>
                <w:rFonts w:ascii="Times New Roman" w:hAnsi="Times New Roman" w:cs="Times New Roman"/>
                <w:sz w:val="18"/>
                <w:szCs w:val="18"/>
              </w:rPr>
            </w:pPr>
            <w:r>
              <w:t>1,364</w:t>
            </w:r>
          </w:p>
        </w:tc>
        <w:tc>
          <w:tcPr>
            <w:tcW w:w="726" w:type="pct"/>
            <w:tcMar>
              <w:top w:w="150" w:type="dxa"/>
              <w:left w:w="240" w:type="dxa"/>
              <w:bottom w:w="150" w:type="dxa"/>
              <w:right w:w="240" w:type="dxa"/>
            </w:tcMar>
            <w:vAlign w:val="center"/>
            <w:hideMark/>
          </w:tcPr>
          <w:p w14:paraId="0CDDD1B7"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4C30431" w14:textId="77777777" w:rsidR="00265CF1" w:rsidRPr="00D71FF2" w:rsidRDefault="00265CF1" w:rsidP="00A36456">
            <w:pPr>
              <w:jc w:val="right"/>
              <w:rPr>
                <w:rFonts w:ascii="Times New Roman" w:hAnsi="Times New Roman" w:cs="Times New Roman"/>
                <w:sz w:val="18"/>
                <w:szCs w:val="18"/>
              </w:rPr>
            </w:pPr>
            <w:r>
              <w:t>0.868</w:t>
            </w:r>
          </w:p>
        </w:tc>
        <w:tc>
          <w:tcPr>
            <w:tcW w:w="558" w:type="pct"/>
            <w:tcMar>
              <w:top w:w="150" w:type="dxa"/>
              <w:left w:w="240" w:type="dxa"/>
              <w:bottom w:w="150" w:type="dxa"/>
              <w:right w:w="240" w:type="dxa"/>
            </w:tcMar>
            <w:vAlign w:val="center"/>
            <w:hideMark/>
          </w:tcPr>
          <w:p w14:paraId="388493CF" w14:textId="77777777" w:rsidR="00265CF1" w:rsidRPr="00D71FF2" w:rsidRDefault="00265CF1" w:rsidP="00A36456">
            <w:pPr>
              <w:jc w:val="right"/>
              <w:rPr>
                <w:rFonts w:ascii="Times New Roman" w:hAnsi="Times New Roman" w:cs="Times New Roman"/>
                <w:sz w:val="18"/>
                <w:szCs w:val="18"/>
              </w:rPr>
            </w:pPr>
            <w:r>
              <w:t>0.932</w:t>
            </w:r>
          </w:p>
        </w:tc>
        <w:tc>
          <w:tcPr>
            <w:tcW w:w="873" w:type="pct"/>
            <w:tcMar>
              <w:top w:w="150" w:type="dxa"/>
              <w:left w:w="240" w:type="dxa"/>
              <w:bottom w:w="150" w:type="dxa"/>
              <w:right w:w="240" w:type="dxa"/>
            </w:tcMar>
            <w:vAlign w:val="center"/>
            <w:hideMark/>
          </w:tcPr>
          <w:p w14:paraId="51273507" w14:textId="77777777" w:rsidR="00265CF1" w:rsidRPr="00D71FF2" w:rsidRDefault="00265CF1" w:rsidP="00A36456">
            <w:pPr>
              <w:jc w:val="right"/>
              <w:rPr>
                <w:rFonts w:ascii="Times New Roman" w:hAnsi="Times New Roman" w:cs="Times New Roman"/>
                <w:sz w:val="18"/>
                <w:szCs w:val="18"/>
              </w:rPr>
            </w:pPr>
            <w:r>
              <w:t>1.000</w:t>
            </w:r>
          </w:p>
        </w:tc>
        <w:tc>
          <w:tcPr>
            <w:tcW w:w="742" w:type="pct"/>
            <w:tcMar>
              <w:top w:w="150" w:type="dxa"/>
              <w:left w:w="240" w:type="dxa"/>
              <w:bottom w:w="150" w:type="dxa"/>
              <w:right w:w="0" w:type="dxa"/>
            </w:tcMar>
            <w:vAlign w:val="center"/>
            <w:hideMark/>
          </w:tcPr>
          <w:p w14:paraId="682A3CA9" w14:textId="77777777" w:rsidR="00265CF1" w:rsidRPr="00D71FF2" w:rsidRDefault="00265CF1" w:rsidP="00A36456">
            <w:pPr>
              <w:jc w:val="right"/>
              <w:rPr>
                <w:rFonts w:ascii="Times New Roman" w:hAnsi="Times New Roman" w:cs="Times New Roman"/>
                <w:sz w:val="18"/>
                <w:szCs w:val="18"/>
              </w:rPr>
            </w:pPr>
            <w:r>
              <w:t>0.993</w:t>
            </w:r>
          </w:p>
        </w:tc>
      </w:tr>
      <w:tr w:rsidR="00A36456" w:rsidRPr="00D71FF2" w14:paraId="66A2968B" w14:textId="77777777" w:rsidTr="00A36456">
        <w:tc>
          <w:tcPr>
            <w:tcW w:w="669" w:type="pct"/>
            <w:tcMar>
              <w:top w:w="150" w:type="dxa"/>
              <w:left w:w="0" w:type="dxa"/>
              <w:bottom w:w="150" w:type="dxa"/>
              <w:right w:w="240" w:type="dxa"/>
            </w:tcMar>
            <w:vAlign w:val="center"/>
            <w:hideMark/>
          </w:tcPr>
          <w:p w14:paraId="603C4BC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Urban</w:t>
            </w:r>
          </w:p>
        </w:tc>
        <w:tc>
          <w:tcPr>
            <w:tcW w:w="824" w:type="pct"/>
            <w:tcMar>
              <w:top w:w="150" w:type="dxa"/>
              <w:left w:w="240" w:type="dxa"/>
              <w:bottom w:w="150" w:type="dxa"/>
              <w:right w:w="240" w:type="dxa"/>
            </w:tcMar>
            <w:vAlign w:val="center"/>
            <w:hideMark/>
          </w:tcPr>
          <w:p w14:paraId="04338A1B" w14:textId="77777777" w:rsidR="00265CF1" w:rsidRPr="00D71FF2" w:rsidRDefault="00265CF1" w:rsidP="00A36456">
            <w:pPr>
              <w:jc w:val="right"/>
              <w:rPr>
                <w:rFonts w:ascii="Times New Roman" w:hAnsi="Times New Roman" w:cs="Times New Roman"/>
                <w:sz w:val="18"/>
                <w:szCs w:val="18"/>
              </w:rPr>
            </w:pPr>
            <w:r>
              <w:t>1,586</w:t>
            </w:r>
          </w:p>
        </w:tc>
        <w:tc>
          <w:tcPr>
            <w:tcW w:w="726" w:type="pct"/>
            <w:tcMar>
              <w:top w:w="150" w:type="dxa"/>
              <w:left w:w="240" w:type="dxa"/>
              <w:bottom w:w="150" w:type="dxa"/>
              <w:right w:w="240" w:type="dxa"/>
            </w:tcMar>
            <w:vAlign w:val="center"/>
            <w:hideMark/>
          </w:tcPr>
          <w:p w14:paraId="4845D080"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95C9C29" w14:textId="77777777" w:rsidR="00265CF1" w:rsidRPr="00D71FF2" w:rsidRDefault="00265CF1" w:rsidP="00A36456">
            <w:pPr>
              <w:jc w:val="right"/>
              <w:rPr>
                <w:rFonts w:ascii="Times New Roman" w:hAnsi="Times New Roman" w:cs="Times New Roman"/>
                <w:sz w:val="18"/>
                <w:szCs w:val="18"/>
              </w:rPr>
            </w:pPr>
            <w:r>
              <w:t>0.323</w:t>
            </w:r>
          </w:p>
        </w:tc>
        <w:tc>
          <w:tcPr>
            <w:tcW w:w="558" w:type="pct"/>
            <w:tcMar>
              <w:top w:w="150" w:type="dxa"/>
              <w:left w:w="240" w:type="dxa"/>
              <w:bottom w:w="150" w:type="dxa"/>
              <w:right w:w="240" w:type="dxa"/>
            </w:tcMar>
            <w:vAlign w:val="center"/>
            <w:hideMark/>
          </w:tcPr>
          <w:p w14:paraId="30DFACAF" w14:textId="77777777" w:rsidR="00265CF1" w:rsidRPr="00D71FF2" w:rsidRDefault="00265CF1" w:rsidP="00A36456">
            <w:pPr>
              <w:jc w:val="right"/>
              <w:rPr>
                <w:rFonts w:ascii="Times New Roman" w:hAnsi="Times New Roman" w:cs="Times New Roman"/>
                <w:sz w:val="18"/>
                <w:szCs w:val="18"/>
              </w:rPr>
            </w:pPr>
            <w:r>
              <w:t>0.417</w:t>
            </w:r>
          </w:p>
        </w:tc>
        <w:tc>
          <w:tcPr>
            <w:tcW w:w="873" w:type="pct"/>
            <w:tcMar>
              <w:top w:w="150" w:type="dxa"/>
              <w:left w:w="240" w:type="dxa"/>
              <w:bottom w:w="150" w:type="dxa"/>
              <w:right w:w="240" w:type="dxa"/>
            </w:tcMar>
            <w:vAlign w:val="center"/>
            <w:hideMark/>
          </w:tcPr>
          <w:p w14:paraId="0FF07C9C" w14:textId="77777777" w:rsidR="00265CF1" w:rsidRPr="00D71FF2" w:rsidRDefault="00265CF1" w:rsidP="00A36456">
            <w:pPr>
              <w:jc w:val="right"/>
              <w:rPr>
                <w:rFonts w:ascii="Times New Roman" w:hAnsi="Times New Roman" w:cs="Times New Roman"/>
                <w:sz w:val="18"/>
                <w:szCs w:val="18"/>
              </w:rPr>
            </w:pPr>
            <w:r>
              <w:t>0.388</w:t>
            </w:r>
          </w:p>
        </w:tc>
        <w:tc>
          <w:tcPr>
            <w:tcW w:w="742" w:type="pct"/>
            <w:tcMar>
              <w:top w:w="150" w:type="dxa"/>
              <w:left w:w="240" w:type="dxa"/>
              <w:bottom w:w="150" w:type="dxa"/>
              <w:right w:w="0" w:type="dxa"/>
            </w:tcMar>
            <w:vAlign w:val="center"/>
            <w:hideMark/>
          </w:tcPr>
          <w:p w14:paraId="17E927A5" w14:textId="77777777" w:rsidR="00265CF1" w:rsidRPr="00D71FF2" w:rsidRDefault="00265CF1" w:rsidP="00A36456">
            <w:pPr>
              <w:jc w:val="right"/>
              <w:rPr>
                <w:rFonts w:ascii="Times New Roman" w:hAnsi="Times New Roman" w:cs="Times New Roman"/>
                <w:sz w:val="18"/>
                <w:szCs w:val="18"/>
              </w:rPr>
            </w:pPr>
            <w:r>
              <w:t>0.421</w:t>
            </w:r>
          </w:p>
        </w:tc>
      </w:tr>
    </w:tbl>
    <w:p>
      <w:pPr>
        <w:spacing w:after="120"/>
      </w:pPr>
      <w:r>
        <w:t>Supplementary analysis: Binary administrative classification. To evaluate performance on the primary inferential task, we fit a separate binary XGBoost model on non-transitional observations (Rural vs. Urban, n=15,790). Under 30% simulated missingness, binary accuracy was 0.716 and macro-F1 0.505. Although macro-F1 was limited by low Urban recall (0.419), weighted-F1 was 0.698, reflecting practical utility when Rural identification is prioritised. Rural recall was 0.872 and rural positive predictive value (NPV for Urban-as-positive coding) was 0.740, supporting use as a high-specificity screening tool for non-urban dietary patterns. Full binary metrics are reported in Supplementary Table S7.</w:t>
      </w:r>
    </w:p>
    <w:p>
      <w:pPr>
        <w:spacing w:after="120"/>
      </w:pPr>
      <w:r>
        <w:t>The lower accuracy of the binary model (0.716) compared with the three-class model (0.786) is expected: the three-class model benefits from the Transitional category, which is partially defined by the same macronutrient features used for prediction. The binary task represents the more challenging administrative discrimination problem and is therefore the primary basis for evaluating the framework's practical utility.</w:t>
      </w:r>
    </w:p>
    <w:p>
      <w:pPr>
        <w:spacing w:after="120"/>
      </w:pPr>
      <w:r>
        <w:t>Urban classification accuracy was 0.421 under default three-class assignment. This is not a failure of the framework but rather reflects intrinsic heterogeneity of dietary patterns within administratively urban areas, where diets range from traditional to highly globalised. This finding establishes a practical boundary condition for inferring administrative residence from macronutrient data alone.</w:t>
      </w:r>
    </w:p>
    <w:p>
      <w:pPr>
        <w:spacing w:after="120"/>
      </w:pPr>
      <w:r>
        <w:t>Probability threshold tuning. Because default argmax classification under-represents Urban labels, we evaluated lower decision thresholds on predicted Urban probability. At an Urban threshold of 0.35, masked-label Urban recall increased to 0.66 (overall accuracy 0.750); at 0.40, Urban recall was 0.58 with accuracy 0.766 and Rural recall 0.76 (Supplementary Table S8). This supports application-specific threshold selection rather than a single deterministic rule.</w:t>
      </w:r>
    </w:p>
    <w:p w14:paraId="067635C8" w14:textId="62ACB511" w:rsidR="00265CF1" w:rsidRPr="00D71FF2" w:rsidRDefault="00140DA9" w:rsidP="00A36456">
      <w:pPr>
        <w:pStyle w:val="3"/>
      </w:pPr>
      <w:r w:rsidRPr="00D71FF2">
        <w:t>Robustness Across Missing Rates and Distributional Agreement</w:t>
      </w:r>
    </w:p>
    <w:p w14:paraId="4654A435" w14:textId="0A67AAE2" w:rsidR="00B16B35" w:rsidRPr="00D71FF2" w:rsidRDefault="00603380" w:rsidP="00265CF1">
      <w:pPr>
        <w:rPr>
          <w:rFonts w:ascii="Times New Roman" w:hAnsi="Times New Roman" w:cs="Times New Roman"/>
        </w:rPr>
      </w:pPr>
      <w:r>
        <w:t>Model performance remained stable across missing rates from 10% to 70%. Accuracy varied by less than 0.6 percentage points across this range (0.781–0.787), whereas KNN performance declined progressively as missingness increased (Figure 2).</w:t>
      </w:r>
    </w:p>
    <w:p w14:paraId="73F5BD1D" w14:textId="5203EEF9" w:rsidR="00B16B35" w:rsidRPr="00D71FF2" w:rsidRDefault="00B16B35" w:rsidP="00265CF1">
      <w:pPr>
        <w:rPr>
          <w:rFonts w:ascii="Times New Roman" w:hAnsi="Times New Roman" w:cs="Times New Roman"/>
        </w:rPr>
      </w:pPr>
      <w:r w:rsidRPr="00D71FF2">
        <w:rPr>
          <w:rFonts w:ascii="Times New Roman" w:hAnsi="Times New Roman" w:cs="Times New Roman"/>
          <w:b/>
          <w:bCs/>
        </w:rPr>
        <w:t>Figure 2.</w:t>
      </w:r>
      <w:r w:rsidRPr="00D71FF2">
        <w:rPr>
          <w:rFonts w:ascii="Times New Roman" w:hAnsi="Times New Roman" w:cs="Times New Roman"/>
        </w:rPr>
        <w:t> </w:t>
      </w:r>
      <w:r w:rsidR="003170B3" w:rsidRPr="00D71FF2">
        <w:rPr>
          <w:rFonts w:ascii="Times New Roman" w:hAnsi="Times New Roman" w:cs="Times New Roman"/>
        </w:rPr>
        <w:t xml:space="preserve">Robustness of </w:t>
      </w:r>
      <w:r w:rsidR="003B234A" w:rsidRPr="00D71FF2">
        <w:rPr>
          <w:rFonts w:ascii="Times New Roman" w:hAnsi="Times New Roman" w:cs="Times New Roman"/>
        </w:rPr>
        <w:t xml:space="preserve">inference </w:t>
      </w:r>
      <w:r w:rsidR="003170B3" w:rsidRPr="00D71FF2">
        <w:rPr>
          <w:rFonts w:ascii="Times New Roman" w:hAnsi="Times New Roman" w:cs="Times New Roman"/>
        </w:rPr>
        <w:t xml:space="preserve">performance across missing rates (10–70%). (a)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and (b) macro-averaged F1 score for the proposed framework and KNN imputation. (c) Distributional fidelity assessed by Jensen–Shannon divergence (lower values indicate better preservation of population structure). (d) Category-specific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of the proposed framework (Rural, Transitional, Urban). Error bars represent 95% confidence intervals from bootstrap resampling (n = 2,000).</w:t>
      </w:r>
    </w:p>
    <w:p w14:paraId="4041C7FC" w14:textId="330D8941" w:rsidR="00603380" w:rsidRPr="00D71FF2" w:rsidRDefault="00603380" w:rsidP="00265CF1">
      <w:pPr>
        <w:rPr>
          <w:rFonts w:ascii="Times New Roman" w:hAnsi="Times New Roman" w:cs="Times New Roman"/>
        </w:rPr>
      </w:pPr>
      <w:r>
        <w:t>Distributional agreement between observed and inferred category proportions was acceptable. Jensen–Shannon divergence remained below 0.052 at 70% missingness, and maximum category proportion deviation was 4.3% at 50% missingness (Table 5).</w:t>
      </w:r>
    </w:p>
    <w:p w14:paraId="2A6180E0"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5. </w:t>
      </w:r>
      <w:r w:rsidRPr="00D71FF2">
        <w:rPr>
          <w:rFonts w:ascii="Times New Roman" w:hAnsi="Times New Roman" w:cs="Times New Roman"/>
        </w:rPr>
        <w:t>Distributional Fidelity Across Missing Rates (Proposed Framework)</w:t>
      </w:r>
    </w:p>
    <w:tbl>
      <w:tblPr>
        <w:tblW w:w="5000" w:type="pct"/>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263"/>
        <w:gridCol w:w="1596"/>
        <w:gridCol w:w="2809"/>
        <w:gridCol w:w="2638"/>
      </w:tblGrid>
      <w:tr w:rsidR="00265CF1" w:rsidRPr="00D71FF2" w14:paraId="0690C8C6" w14:textId="77777777" w:rsidTr="0022005E">
        <w:trPr>
          <w:tblHeader/>
        </w:trPr>
        <w:tc>
          <w:tcPr>
            <w:tcW w:w="760" w:type="pct"/>
            <w:tcBorders>
              <w:top w:val="single" w:sz="8" w:space="0" w:color="auto"/>
              <w:bottom w:val="single" w:sz="4" w:space="0" w:color="auto"/>
            </w:tcBorders>
            <w:tcMar>
              <w:top w:w="150" w:type="dxa"/>
              <w:left w:w="0" w:type="dxa"/>
              <w:bottom w:w="150" w:type="dxa"/>
              <w:right w:w="240" w:type="dxa"/>
            </w:tcMar>
            <w:vAlign w:val="center"/>
            <w:hideMark/>
          </w:tcPr>
          <w:p w14:paraId="7999E01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Missing Rate</w:t>
            </w:r>
          </w:p>
        </w:tc>
        <w:tc>
          <w:tcPr>
            <w:tcW w:w="961" w:type="pct"/>
            <w:tcBorders>
              <w:top w:val="single" w:sz="8" w:space="0" w:color="auto"/>
              <w:bottom w:val="single" w:sz="4" w:space="0" w:color="auto"/>
            </w:tcBorders>
            <w:tcMar>
              <w:top w:w="150" w:type="dxa"/>
              <w:left w:w="240" w:type="dxa"/>
              <w:bottom w:w="150" w:type="dxa"/>
              <w:right w:w="240" w:type="dxa"/>
            </w:tcMar>
            <w:vAlign w:val="center"/>
            <w:hideMark/>
          </w:tcPr>
          <w:p w14:paraId="1F3801CB"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JS Divergence</w:t>
            </w:r>
          </w:p>
        </w:tc>
        <w:tc>
          <w:tcPr>
            <w:tcW w:w="1691" w:type="pct"/>
            <w:tcBorders>
              <w:top w:val="single" w:sz="8" w:space="0" w:color="auto"/>
              <w:bottom w:val="single" w:sz="4" w:space="0" w:color="auto"/>
            </w:tcBorders>
            <w:tcMar>
              <w:top w:w="150" w:type="dxa"/>
              <w:left w:w="240" w:type="dxa"/>
              <w:bottom w:w="150" w:type="dxa"/>
              <w:right w:w="240" w:type="dxa"/>
            </w:tcMar>
            <w:vAlign w:val="center"/>
            <w:hideMark/>
          </w:tcPr>
          <w:p w14:paraId="42A99E6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Max Category Difference (%)</w:t>
            </w:r>
          </w:p>
        </w:tc>
        <w:tc>
          <w:tcPr>
            <w:tcW w:w="1588" w:type="pct"/>
            <w:tcBorders>
              <w:top w:val="single" w:sz="8" w:space="0" w:color="auto"/>
              <w:bottom w:val="single" w:sz="4" w:space="0" w:color="auto"/>
            </w:tcBorders>
            <w:tcMar>
              <w:top w:w="150" w:type="dxa"/>
              <w:left w:w="240" w:type="dxa"/>
              <w:bottom w:w="150" w:type="dxa"/>
              <w:right w:w="240" w:type="dxa"/>
            </w:tcMar>
            <w:vAlign w:val="center"/>
            <w:hideMark/>
          </w:tcPr>
          <w:p w14:paraId="002E2D69"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Transitional Difference (%)</w:t>
            </w:r>
          </w:p>
        </w:tc>
      </w:tr>
      <w:tr w:rsidR="00265CF1" w:rsidRPr="00D71FF2" w14:paraId="0175A03E" w14:textId="77777777" w:rsidTr="0022005E">
        <w:tc>
          <w:tcPr>
            <w:tcW w:w="760" w:type="pct"/>
            <w:tcBorders>
              <w:top w:val="single" w:sz="4" w:space="0" w:color="auto"/>
            </w:tcBorders>
            <w:tcMar>
              <w:top w:w="150" w:type="dxa"/>
              <w:left w:w="0" w:type="dxa"/>
              <w:bottom w:w="150" w:type="dxa"/>
              <w:right w:w="240" w:type="dxa"/>
            </w:tcMar>
            <w:vAlign w:val="center"/>
            <w:hideMark/>
          </w:tcPr>
          <w:p w14:paraId="7B730D2C"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10%</w:t>
            </w:r>
          </w:p>
        </w:tc>
        <w:tc>
          <w:tcPr>
            <w:tcW w:w="961" w:type="pct"/>
            <w:tcBorders>
              <w:top w:val="single" w:sz="4" w:space="0" w:color="auto"/>
            </w:tcBorders>
            <w:tcMar>
              <w:top w:w="150" w:type="dxa"/>
              <w:left w:w="240" w:type="dxa"/>
              <w:bottom w:w="150" w:type="dxa"/>
              <w:right w:w="240" w:type="dxa"/>
            </w:tcMar>
            <w:vAlign w:val="center"/>
            <w:hideMark/>
          </w:tcPr>
          <w:p w14:paraId="07CD56DF" w14:textId="77777777" w:rsidR="00265CF1" w:rsidRPr="00D71FF2" w:rsidRDefault="00265CF1" w:rsidP="0022005E">
            <w:pPr>
              <w:jc w:val="right"/>
              <w:rPr>
                <w:rFonts w:ascii="Times New Roman" w:hAnsi="Times New Roman" w:cs="Times New Roman"/>
                <w:sz w:val="18"/>
                <w:szCs w:val="20"/>
              </w:rPr>
            </w:pPr>
            <w:r>
              <w:t>0.008</w:t>
            </w:r>
          </w:p>
        </w:tc>
        <w:tc>
          <w:tcPr>
            <w:tcW w:w="1691" w:type="pct"/>
            <w:tcBorders>
              <w:top w:val="single" w:sz="4" w:space="0" w:color="auto"/>
            </w:tcBorders>
            <w:tcMar>
              <w:top w:w="150" w:type="dxa"/>
              <w:left w:w="240" w:type="dxa"/>
              <w:bottom w:w="150" w:type="dxa"/>
              <w:right w:w="240" w:type="dxa"/>
            </w:tcMar>
            <w:vAlign w:val="center"/>
            <w:hideMark/>
          </w:tcPr>
          <w:p w14:paraId="6B8A5C56" w14:textId="77777777" w:rsidR="00265CF1" w:rsidRPr="00D71FF2" w:rsidRDefault="00265CF1" w:rsidP="0022005E">
            <w:pPr>
              <w:jc w:val="right"/>
              <w:rPr>
                <w:rFonts w:ascii="Times New Roman" w:hAnsi="Times New Roman" w:cs="Times New Roman"/>
                <w:sz w:val="18"/>
                <w:szCs w:val="20"/>
              </w:rPr>
            </w:pPr>
            <w:r>
              <w:t>1.0</w:t>
            </w:r>
          </w:p>
        </w:tc>
        <w:tc>
          <w:tcPr>
            <w:tcW w:w="1588" w:type="pct"/>
            <w:tcBorders>
              <w:top w:val="single" w:sz="4" w:space="0" w:color="auto"/>
            </w:tcBorders>
            <w:tcMar>
              <w:top w:w="150" w:type="dxa"/>
              <w:left w:w="240" w:type="dxa"/>
              <w:bottom w:w="150" w:type="dxa"/>
              <w:right w:w="0" w:type="dxa"/>
            </w:tcMar>
            <w:vAlign w:val="center"/>
            <w:hideMark/>
          </w:tcPr>
          <w:p w14:paraId="3605395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B6D7B08" w14:textId="77777777" w:rsidTr="0022005E">
        <w:tc>
          <w:tcPr>
            <w:tcW w:w="760" w:type="pct"/>
            <w:tcMar>
              <w:top w:w="150" w:type="dxa"/>
              <w:left w:w="0" w:type="dxa"/>
              <w:bottom w:w="150" w:type="dxa"/>
              <w:right w:w="240" w:type="dxa"/>
            </w:tcMar>
            <w:vAlign w:val="center"/>
            <w:hideMark/>
          </w:tcPr>
          <w:p w14:paraId="189111A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20%</w:t>
            </w:r>
          </w:p>
        </w:tc>
        <w:tc>
          <w:tcPr>
            <w:tcW w:w="961" w:type="pct"/>
            <w:tcMar>
              <w:top w:w="150" w:type="dxa"/>
              <w:left w:w="240" w:type="dxa"/>
              <w:bottom w:w="150" w:type="dxa"/>
              <w:right w:w="240" w:type="dxa"/>
            </w:tcMar>
            <w:vAlign w:val="center"/>
            <w:hideMark/>
          </w:tcPr>
          <w:p w14:paraId="105E6D04" w14:textId="77777777" w:rsidR="00265CF1" w:rsidRPr="00D71FF2" w:rsidRDefault="00265CF1" w:rsidP="0022005E">
            <w:pPr>
              <w:jc w:val="right"/>
              <w:rPr>
                <w:rFonts w:ascii="Times New Roman" w:hAnsi="Times New Roman" w:cs="Times New Roman"/>
                <w:sz w:val="18"/>
                <w:szCs w:val="20"/>
              </w:rPr>
            </w:pPr>
            <w:r>
              <w:t>0.017</w:t>
            </w:r>
          </w:p>
        </w:tc>
        <w:tc>
          <w:tcPr>
            <w:tcW w:w="1691" w:type="pct"/>
            <w:tcMar>
              <w:top w:w="150" w:type="dxa"/>
              <w:left w:w="240" w:type="dxa"/>
              <w:bottom w:w="150" w:type="dxa"/>
              <w:right w:w="240" w:type="dxa"/>
            </w:tcMar>
            <w:vAlign w:val="center"/>
            <w:hideMark/>
          </w:tcPr>
          <w:p w14:paraId="1188E66B" w14:textId="77777777" w:rsidR="00265CF1" w:rsidRPr="00D71FF2" w:rsidRDefault="00265CF1" w:rsidP="0022005E">
            <w:pPr>
              <w:jc w:val="right"/>
              <w:rPr>
                <w:rFonts w:ascii="Times New Roman" w:hAnsi="Times New Roman" w:cs="Times New Roman"/>
                <w:sz w:val="18"/>
                <w:szCs w:val="20"/>
              </w:rPr>
            </w:pPr>
            <w:r>
              <w:t>2.0</w:t>
            </w:r>
          </w:p>
        </w:tc>
        <w:tc>
          <w:tcPr>
            <w:tcW w:w="1588" w:type="pct"/>
            <w:tcMar>
              <w:top w:w="150" w:type="dxa"/>
              <w:left w:w="240" w:type="dxa"/>
              <w:bottom w:w="150" w:type="dxa"/>
              <w:right w:w="0" w:type="dxa"/>
            </w:tcMar>
            <w:vAlign w:val="center"/>
            <w:hideMark/>
          </w:tcPr>
          <w:p w14:paraId="4BFC5C4B"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42B4F452" w14:textId="77777777" w:rsidTr="0022005E">
        <w:tc>
          <w:tcPr>
            <w:tcW w:w="760" w:type="pct"/>
            <w:tcMar>
              <w:top w:w="150" w:type="dxa"/>
              <w:left w:w="0" w:type="dxa"/>
              <w:bottom w:w="150" w:type="dxa"/>
              <w:right w:w="240" w:type="dxa"/>
            </w:tcMar>
            <w:vAlign w:val="center"/>
            <w:hideMark/>
          </w:tcPr>
          <w:p w14:paraId="2215B28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30%</w:t>
            </w:r>
          </w:p>
        </w:tc>
        <w:tc>
          <w:tcPr>
            <w:tcW w:w="961" w:type="pct"/>
            <w:tcMar>
              <w:top w:w="150" w:type="dxa"/>
              <w:left w:w="240" w:type="dxa"/>
              <w:bottom w:w="150" w:type="dxa"/>
              <w:right w:w="240" w:type="dxa"/>
            </w:tcMar>
            <w:vAlign w:val="center"/>
            <w:hideMark/>
          </w:tcPr>
          <w:p w14:paraId="356ECFF7" w14:textId="77777777" w:rsidR="00265CF1" w:rsidRPr="00D71FF2" w:rsidRDefault="00265CF1" w:rsidP="0022005E">
            <w:pPr>
              <w:jc w:val="right"/>
              <w:rPr>
                <w:rFonts w:ascii="Times New Roman" w:hAnsi="Times New Roman" w:cs="Times New Roman"/>
                <w:sz w:val="18"/>
                <w:szCs w:val="20"/>
              </w:rPr>
            </w:pPr>
            <w:r>
              <w:t>0.023</w:t>
            </w:r>
          </w:p>
        </w:tc>
        <w:tc>
          <w:tcPr>
            <w:tcW w:w="1691" w:type="pct"/>
            <w:tcMar>
              <w:top w:w="150" w:type="dxa"/>
              <w:left w:w="240" w:type="dxa"/>
              <w:bottom w:w="150" w:type="dxa"/>
              <w:right w:w="240" w:type="dxa"/>
            </w:tcMar>
            <w:vAlign w:val="center"/>
            <w:hideMark/>
          </w:tcPr>
          <w:p w14:paraId="772D1849" w14:textId="77777777" w:rsidR="00265CF1" w:rsidRPr="00D71FF2" w:rsidRDefault="00265CF1" w:rsidP="0022005E">
            <w:pPr>
              <w:jc w:val="right"/>
              <w:rPr>
                <w:rFonts w:ascii="Times New Roman" w:hAnsi="Times New Roman" w:cs="Times New Roman"/>
                <w:sz w:val="18"/>
                <w:szCs w:val="20"/>
              </w:rPr>
            </w:pPr>
            <w:r>
              <w:t>2.7</w:t>
            </w:r>
          </w:p>
        </w:tc>
        <w:tc>
          <w:tcPr>
            <w:tcW w:w="1588" w:type="pct"/>
            <w:tcMar>
              <w:top w:w="150" w:type="dxa"/>
              <w:left w:w="240" w:type="dxa"/>
              <w:bottom w:w="150" w:type="dxa"/>
              <w:right w:w="0" w:type="dxa"/>
            </w:tcMar>
            <w:vAlign w:val="center"/>
            <w:hideMark/>
          </w:tcPr>
          <w:p w14:paraId="18099565"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F746D5F" w14:textId="77777777" w:rsidTr="0022005E">
        <w:tc>
          <w:tcPr>
            <w:tcW w:w="760" w:type="pct"/>
            <w:tcMar>
              <w:top w:w="150" w:type="dxa"/>
              <w:left w:w="0" w:type="dxa"/>
              <w:bottom w:w="150" w:type="dxa"/>
              <w:right w:w="240" w:type="dxa"/>
            </w:tcMar>
            <w:vAlign w:val="center"/>
            <w:hideMark/>
          </w:tcPr>
          <w:p w14:paraId="330DC33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40%</w:t>
            </w:r>
          </w:p>
        </w:tc>
        <w:tc>
          <w:tcPr>
            <w:tcW w:w="961" w:type="pct"/>
            <w:tcMar>
              <w:top w:w="150" w:type="dxa"/>
              <w:left w:w="240" w:type="dxa"/>
              <w:bottom w:w="150" w:type="dxa"/>
              <w:right w:w="240" w:type="dxa"/>
            </w:tcMar>
            <w:vAlign w:val="center"/>
            <w:hideMark/>
          </w:tcPr>
          <w:p w14:paraId="3206A4CB" w14:textId="77777777" w:rsidR="00265CF1" w:rsidRPr="00D71FF2" w:rsidRDefault="00265CF1" w:rsidP="0022005E">
            <w:pPr>
              <w:jc w:val="right"/>
              <w:rPr>
                <w:rFonts w:ascii="Times New Roman" w:hAnsi="Times New Roman" w:cs="Times New Roman"/>
                <w:sz w:val="18"/>
                <w:szCs w:val="20"/>
              </w:rPr>
            </w:pPr>
            <w:r>
              <w:t>0.030</w:t>
            </w:r>
          </w:p>
        </w:tc>
        <w:tc>
          <w:tcPr>
            <w:tcW w:w="1691" w:type="pct"/>
            <w:tcMar>
              <w:top w:w="150" w:type="dxa"/>
              <w:left w:w="240" w:type="dxa"/>
              <w:bottom w:w="150" w:type="dxa"/>
              <w:right w:w="240" w:type="dxa"/>
            </w:tcMar>
            <w:vAlign w:val="center"/>
            <w:hideMark/>
          </w:tcPr>
          <w:p w14:paraId="43ECBFBC" w14:textId="77777777" w:rsidR="00265CF1" w:rsidRPr="00D71FF2" w:rsidRDefault="00265CF1" w:rsidP="0022005E">
            <w:pPr>
              <w:jc w:val="right"/>
              <w:rPr>
                <w:rFonts w:ascii="Times New Roman" w:hAnsi="Times New Roman" w:cs="Times New Roman"/>
                <w:sz w:val="18"/>
                <w:szCs w:val="20"/>
              </w:rPr>
            </w:pPr>
            <w:r>
              <w:t>3.4</w:t>
            </w:r>
          </w:p>
        </w:tc>
        <w:tc>
          <w:tcPr>
            <w:tcW w:w="1588" w:type="pct"/>
            <w:tcMar>
              <w:top w:w="150" w:type="dxa"/>
              <w:left w:w="240" w:type="dxa"/>
              <w:bottom w:w="150" w:type="dxa"/>
              <w:right w:w="0" w:type="dxa"/>
            </w:tcMar>
            <w:vAlign w:val="center"/>
            <w:hideMark/>
          </w:tcPr>
          <w:p w14:paraId="6C846DC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C66261D" w14:textId="77777777" w:rsidTr="0022005E">
        <w:tc>
          <w:tcPr>
            <w:tcW w:w="760" w:type="pct"/>
            <w:tcBorders>
              <w:bottom w:val="single" w:sz="8" w:space="0" w:color="auto"/>
            </w:tcBorders>
            <w:tcMar>
              <w:top w:w="150" w:type="dxa"/>
              <w:left w:w="0" w:type="dxa"/>
              <w:bottom w:w="150" w:type="dxa"/>
              <w:right w:w="240" w:type="dxa"/>
            </w:tcMar>
            <w:vAlign w:val="center"/>
            <w:hideMark/>
          </w:tcPr>
          <w:p w14:paraId="2094959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lastRenderedPageBreak/>
              <w:t>50%</w:t>
            </w:r>
          </w:p>
        </w:tc>
        <w:tc>
          <w:tcPr>
            <w:tcW w:w="961" w:type="pct"/>
            <w:tcBorders>
              <w:bottom w:val="single" w:sz="8" w:space="0" w:color="auto"/>
            </w:tcBorders>
            <w:tcMar>
              <w:top w:w="150" w:type="dxa"/>
              <w:left w:w="240" w:type="dxa"/>
              <w:bottom w:w="150" w:type="dxa"/>
              <w:right w:w="240" w:type="dxa"/>
            </w:tcMar>
            <w:vAlign w:val="center"/>
            <w:hideMark/>
          </w:tcPr>
          <w:p w14:paraId="7F3B0DDA" w14:textId="77777777" w:rsidR="00265CF1" w:rsidRPr="00D71FF2" w:rsidRDefault="00265CF1" w:rsidP="0022005E">
            <w:pPr>
              <w:jc w:val="right"/>
              <w:rPr>
                <w:rFonts w:ascii="Times New Roman" w:hAnsi="Times New Roman" w:cs="Times New Roman"/>
                <w:sz w:val="18"/>
                <w:szCs w:val="20"/>
              </w:rPr>
            </w:pPr>
            <w:r>
              <w:t>0.037</w:t>
            </w:r>
          </w:p>
        </w:tc>
        <w:tc>
          <w:tcPr>
            <w:tcW w:w="1691" w:type="pct"/>
            <w:tcBorders>
              <w:bottom w:val="single" w:sz="8" w:space="0" w:color="auto"/>
            </w:tcBorders>
            <w:tcMar>
              <w:top w:w="150" w:type="dxa"/>
              <w:left w:w="240" w:type="dxa"/>
              <w:bottom w:w="150" w:type="dxa"/>
              <w:right w:w="240" w:type="dxa"/>
            </w:tcMar>
            <w:vAlign w:val="center"/>
            <w:hideMark/>
          </w:tcPr>
          <w:p w14:paraId="178F6227" w14:textId="77777777" w:rsidR="00265CF1" w:rsidRPr="00D71FF2" w:rsidRDefault="00265CF1" w:rsidP="0022005E">
            <w:pPr>
              <w:jc w:val="right"/>
              <w:rPr>
                <w:rFonts w:ascii="Times New Roman" w:hAnsi="Times New Roman" w:cs="Times New Roman"/>
                <w:sz w:val="18"/>
                <w:szCs w:val="20"/>
              </w:rPr>
            </w:pPr>
            <w:r>
              <w:t>4.3</w:t>
            </w:r>
          </w:p>
        </w:tc>
        <w:tc>
          <w:tcPr>
            <w:tcW w:w="1588" w:type="pct"/>
            <w:tcBorders>
              <w:bottom w:val="single" w:sz="8" w:space="0" w:color="auto"/>
            </w:tcBorders>
            <w:tcMar>
              <w:top w:w="150" w:type="dxa"/>
              <w:left w:w="240" w:type="dxa"/>
              <w:bottom w:w="150" w:type="dxa"/>
              <w:right w:w="0" w:type="dxa"/>
            </w:tcMar>
            <w:vAlign w:val="center"/>
            <w:hideMark/>
          </w:tcPr>
          <w:p w14:paraId="72B532AE" w14:textId="77777777" w:rsidR="00265CF1" w:rsidRPr="00D71FF2" w:rsidRDefault="00265CF1" w:rsidP="0022005E">
            <w:pPr>
              <w:jc w:val="right"/>
              <w:rPr>
                <w:rFonts w:ascii="Times New Roman" w:hAnsi="Times New Roman" w:cs="Times New Roman"/>
                <w:sz w:val="18"/>
                <w:szCs w:val="20"/>
              </w:rPr>
            </w:pPr>
            <w:r>
              <w:t>&lt; 5</w:t>
            </w:r>
          </w:p>
        </w:tc>
      </w:tr>
    </w:tbl>
    <w:p w14:paraId="65D0E566"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JS: Jensen–Shannon divergence (lower values indicate better fidelity).</w:t>
      </w:r>
    </w:p>
    <w:p w14:paraId="19FD631B" w14:textId="48C4E32B" w:rsidR="00265CF1" w:rsidRPr="00D71FF2" w:rsidRDefault="00265CF1" w:rsidP="0080027F">
      <w:pPr>
        <w:pStyle w:val="3"/>
      </w:pPr>
      <w:r w:rsidRPr="00D71FF2">
        <w:t xml:space="preserve">Temporal </w:t>
      </w:r>
      <w:proofErr w:type="spellStart"/>
      <w:r w:rsidR="00140DA9" w:rsidRPr="00D71FF2">
        <w:t>Generalisability</w:t>
      </w:r>
      <w:proofErr w:type="spellEnd"/>
      <w:r w:rsidRPr="00D71FF2">
        <w:t>: Leave-One-Year-Out</w:t>
      </w:r>
    </w:p>
    <w:p w14:paraId="4C663083" w14:textId="683FE2F3" w:rsidR="00384968" w:rsidRPr="00D71FF2" w:rsidRDefault="003A7C12" w:rsidP="00265CF1">
      <w:pPr>
        <w:rPr>
          <w:rFonts w:ascii="Times New Roman" w:hAnsi="Times New Roman" w:cs="Times New Roman"/>
        </w:rPr>
      </w:pPr>
      <w:r>
        <w:t>Leave-one-year-out validation demonstrated consistent performance across survey waves, with mean accuracy of 0.776 (SD 0.019) and macro-F1 of 0.759 (SD 0.020) (Table 6; Figure 3).</w:t>
      </w:r>
    </w:p>
    <w:p w14:paraId="7BDC290A" w14:textId="7AAF632E" w:rsidR="00384968" w:rsidRPr="00D71FF2" w:rsidRDefault="00384968" w:rsidP="00265CF1">
      <w:pPr>
        <w:rPr>
          <w:rFonts w:ascii="Times New Roman" w:hAnsi="Times New Roman" w:cs="Times New Roman"/>
        </w:rPr>
      </w:pPr>
      <w:r>
        <w:t>Figure 3. Leave-one-year-out temporal validation results across eight survey waves (1991–2011). (a) Inference accuracy for each held-out wave. Mean accuracy was 0.776 (SD 0.019). (b) Macro-averaged F1 score for each held-out wave.</w:t>
      </w:r>
    </w:p>
    <w:p w14:paraId="30069BCE" w14:textId="7FE3624C" w:rsidR="003A7C12" w:rsidRPr="00D71FF2" w:rsidRDefault="003A7C12" w:rsidP="00265CF1">
      <w:pPr>
        <w:rPr>
          <w:rFonts w:ascii="Times New Roman" w:hAnsi="Times New Roman" w:cs="Times New Roman"/>
        </w:rPr>
      </w:pPr>
      <w:r w:rsidRPr="003A7C12">
        <w:rPr>
          <w:rFonts w:ascii="Times New Roman" w:hAnsi="Times New Roman" w:cs="Times New Roman"/>
        </w:rPr>
        <w:t xml:space="preserve">Performance was lower in earlier waves and improved in later years, likely reflecting increasing differentiation of dietary patterns over time. These findings suggest that the framework </w:t>
      </w:r>
      <w:proofErr w:type="spellStart"/>
      <w:r w:rsidRPr="003A7C12">
        <w:rPr>
          <w:rFonts w:ascii="Times New Roman" w:hAnsi="Times New Roman" w:cs="Times New Roman"/>
        </w:rPr>
        <w:t>generalises</w:t>
      </w:r>
      <w:proofErr w:type="spellEnd"/>
      <w:r w:rsidRPr="003A7C12">
        <w:rPr>
          <w:rFonts w:ascii="Times New Roman" w:hAnsi="Times New Roman" w:cs="Times New Roman"/>
        </w:rPr>
        <w:t xml:space="preserve"> across temporal contexts while remaining sensitive to underlying dietary shifts.</w:t>
      </w:r>
    </w:p>
    <w:p w14:paraId="475C747B"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6. </w:t>
      </w:r>
      <w:r w:rsidRPr="00D71FF2">
        <w:rPr>
          <w:rFonts w:ascii="Times New Roman" w:hAnsi="Times New Roman" w:cs="Times New Roman"/>
        </w:rPr>
        <w:t>Leave-One-Year-Out Temporal Validation</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987"/>
        <w:gridCol w:w="2243"/>
        <w:gridCol w:w="1003"/>
        <w:gridCol w:w="1414"/>
        <w:gridCol w:w="1410"/>
        <w:gridCol w:w="1249"/>
      </w:tblGrid>
      <w:tr w:rsidR="00434208" w:rsidRPr="00D71FF2" w14:paraId="3ECEB834" w14:textId="77777777" w:rsidTr="00434208">
        <w:trPr>
          <w:tblHeader/>
        </w:trPr>
        <w:tc>
          <w:tcPr>
            <w:tcW w:w="594" w:type="pct"/>
            <w:tcBorders>
              <w:top w:val="single" w:sz="8" w:space="0" w:color="auto"/>
              <w:bottom w:val="single" w:sz="4" w:space="0" w:color="auto"/>
            </w:tcBorders>
            <w:tcMar>
              <w:top w:w="150" w:type="dxa"/>
              <w:left w:w="0" w:type="dxa"/>
              <w:bottom w:w="150" w:type="dxa"/>
              <w:right w:w="240" w:type="dxa"/>
            </w:tcMar>
            <w:vAlign w:val="center"/>
            <w:hideMark/>
          </w:tcPr>
          <w:p w14:paraId="40ED603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Test Year</w:t>
            </w:r>
          </w:p>
        </w:tc>
        <w:tc>
          <w:tcPr>
            <w:tcW w:w="1350" w:type="pct"/>
            <w:tcBorders>
              <w:top w:val="single" w:sz="8" w:space="0" w:color="auto"/>
              <w:bottom w:val="single" w:sz="4" w:space="0" w:color="auto"/>
            </w:tcBorders>
            <w:tcMar>
              <w:top w:w="150" w:type="dxa"/>
              <w:left w:w="240" w:type="dxa"/>
              <w:bottom w:w="150" w:type="dxa"/>
              <w:right w:w="240" w:type="dxa"/>
            </w:tcMar>
            <w:vAlign w:val="center"/>
            <w:hideMark/>
          </w:tcPr>
          <w:p w14:paraId="6D91B7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Training Waves</w:t>
            </w:r>
          </w:p>
        </w:tc>
        <w:tc>
          <w:tcPr>
            <w:tcW w:w="604" w:type="pct"/>
            <w:tcBorders>
              <w:top w:val="single" w:sz="8" w:space="0" w:color="auto"/>
              <w:bottom w:val="single" w:sz="4" w:space="0" w:color="auto"/>
            </w:tcBorders>
            <w:tcMar>
              <w:top w:w="150" w:type="dxa"/>
              <w:left w:w="240" w:type="dxa"/>
              <w:bottom w:w="150" w:type="dxa"/>
              <w:right w:w="240" w:type="dxa"/>
            </w:tcMar>
            <w:vAlign w:val="center"/>
            <w:hideMark/>
          </w:tcPr>
          <w:p w14:paraId="0A3BDA0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851" w:type="pct"/>
            <w:tcBorders>
              <w:top w:val="single" w:sz="8" w:space="0" w:color="auto"/>
              <w:bottom w:val="single" w:sz="4" w:space="0" w:color="auto"/>
            </w:tcBorders>
            <w:tcMar>
              <w:top w:w="150" w:type="dxa"/>
              <w:left w:w="240" w:type="dxa"/>
              <w:bottom w:w="150" w:type="dxa"/>
              <w:right w:w="240" w:type="dxa"/>
            </w:tcMar>
            <w:vAlign w:val="center"/>
            <w:hideMark/>
          </w:tcPr>
          <w:p w14:paraId="3527A90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49" w:type="pct"/>
            <w:tcBorders>
              <w:top w:val="single" w:sz="8" w:space="0" w:color="auto"/>
              <w:bottom w:val="single" w:sz="4" w:space="0" w:color="auto"/>
            </w:tcBorders>
            <w:tcMar>
              <w:top w:w="150" w:type="dxa"/>
              <w:left w:w="240" w:type="dxa"/>
              <w:bottom w:w="150" w:type="dxa"/>
              <w:right w:w="240" w:type="dxa"/>
            </w:tcMar>
            <w:vAlign w:val="center"/>
            <w:hideMark/>
          </w:tcPr>
          <w:p w14:paraId="4D8CB97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752" w:type="pct"/>
            <w:tcBorders>
              <w:top w:val="single" w:sz="8" w:space="0" w:color="auto"/>
              <w:bottom w:val="single" w:sz="4" w:space="0" w:color="auto"/>
            </w:tcBorders>
            <w:tcMar>
              <w:top w:w="150" w:type="dxa"/>
              <w:left w:w="240" w:type="dxa"/>
              <w:bottom w:w="150" w:type="dxa"/>
              <w:right w:w="240" w:type="dxa"/>
            </w:tcMar>
            <w:vAlign w:val="center"/>
            <w:hideMark/>
          </w:tcPr>
          <w:p w14:paraId="2AB3624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 xml:space="preserve">Cohen's </w:t>
            </w:r>
            <w:r w:rsidRPr="00D71FF2">
              <w:rPr>
                <w:rFonts w:ascii="Times New Roman" w:hAnsi="Times New Roman" w:cs="Times New Roman"/>
                <w:b/>
                <w:bCs/>
                <w:i/>
                <w:iCs/>
                <w:sz w:val="18"/>
                <w:szCs w:val="18"/>
              </w:rPr>
              <w:t>κ</w:t>
            </w:r>
          </w:p>
        </w:tc>
      </w:tr>
      <w:tr w:rsidR="00434208" w:rsidRPr="00D71FF2" w14:paraId="355BA9E8" w14:textId="77777777" w:rsidTr="00434208">
        <w:tc>
          <w:tcPr>
            <w:tcW w:w="594" w:type="pct"/>
            <w:tcBorders>
              <w:top w:val="single" w:sz="4" w:space="0" w:color="auto"/>
            </w:tcBorders>
            <w:tcMar>
              <w:top w:w="150" w:type="dxa"/>
              <w:left w:w="0" w:type="dxa"/>
              <w:bottom w:w="150" w:type="dxa"/>
              <w:right w:w="240" w:type="dxa"/>
            </w:tcMar>
            <w:vAlign w:val="center"/>
            <w:hideMark/>
          </w:tcPr>
          <w:p w14:paraId="1B7D7E61" w14:textId="77777777" w:rsidR="00265CF1" w:rsidRPr="00D71FF2" w:rsidRDefault="00265CF1" w:rsidP="00265CF1">
            <w:pPr>
              <w:rPr>
                <w:rFonts w:ascii="Times New Roman" w:hAnsi="Times New Roman" w:cs="Times New Roman"/>
                <w:sz w:val="18"/>
                <w:szCs w:val="18"/>
              </w:rPr>
            </w:pPr>
            <w:r>
              <w:t>1991</w:t>
            </w:r>
          </w:p>
        </w:tc>
        <w:tc>
          <w:tcPr>
            <w:tcW w:w="1350" w:type="pct"/>
            <w:tcBorders>
              <w:top w:val="single" w:sz="4" w:space="0" w:color="auto"/>
            </w:tcBorders>
            <w:tcMar>
              <w:top w:w="150" w:type="dxa"/>
              <w:left w:w="240" w:type="dxa"/>
              <w:bottom w:w="150" w:type="dxa"/>
              <w:right w:w="240" w:type="dxa"/>
            </w:tcMar>
            <w:vAlign w:val="center"/>
            <w:hideMark/>
          </w:tcPr>
          <w:p w14:paraId="386620C3" w14:textId="77777777" w:rsidR="00265CF1" w:rsidRPr="00D71FF2" w:rsidRDefault="00265CF1" w:rsidP="00265CF1">
            <w:pPr>
              <w:rPr>
                <w:rFonts w:ascii="Times New Roman" w:hAnsi="Times New Roman" w:cs="Times New Roman"/>
                <w:sz w:val="18"/>
                <w:szCs w:val="18"/>
              </w:rPr>
            </w:pPr>
            <w:r>
              <w:t>1993–2011</w:t>
            </w:r>
          </w:p>
        </w:tc>
        <w:tc>
          <w:tcPr>
            <w:tcW w:w="604" w:type="pct"/>
            <w:tcBorders>
              <w:top w:val="single" w:sz="4" w:space="0" w:color="auto"/>
            </w:tcBorders>
            <w:tcMar>
              <w:top w:w="150" w:type="dxa"/>
              <w:left w:w="240" w:type="dxa"/>
              <w:bottom w:w="150" w:type="dxa"/>
              <w:right w:w="240" w:type="dxa"/>
            </w:tcMar>
            <w:vAlign w:val="center"/>
            <w:hideMark/>
          </w:tcPr>
          <w:p w14:paraId="4103A44B" w14:textId="77777777" w:rsidR="00265CF1" w:rsidRPr="00D71FF2" w:rsidRDefault="00265CF1" w:rsidP="00434208">
            <w:pPr>
              <w:jc w:val="right"/>
              <w:rPr>
                <w:rFonts w:ascii="Times New Roman" w:hAnsi="Times New Roman" w:cs="Times New Roman"/>
                <w:sz w:val="18"/>
                <w:szCs w:val="18"/>
              </w:rPr>
            </w:pPr>
            <w:r>
              <w:t>13,446</w:t>
            </w:r>
          </w:p>
        </w:tc>
        <w:tc>
          <w:tcPr>
            <w:tcW w:w="851" w:type="pct"/>
            <w:tcBorders>
              <w:top w:val="single" w:sz="4" w:space="0" w:color="auto"/>
            </w:tcBorders>
            <w:tcMar>
              <w:top w:w="150" w:type="dxa"/>
              <w:left w:w="240" w:type="dxa"/>
              <w:bottom w:w="150" w:type="dxa"/>
              <w:right w:w="240" w:type="dxa"/>
            </w:tcMar>
            <w:vAlign w:val="center"/>
            <w:hideMark/>
          </w:tcPr>
          <w:p w14:paraId="43C2A7B7" w14:textId="77777777" w:rsidR="00265CF1" w:rsidRPr="00D71FF2" w:rsidRDefault="00265CF1" w:rsidP="00434208">
            <w:pPr>
              <w:jc w:val="right"/>
              <w:rPr>
                <w:rFonts w:ascii="Times New Roman" w:hAnsi="Times New Roman" w:cs="Times New Roman"/>
                <w:sz w:val="18"/>
                <w:szCs w:val="18"/>
              </w:rPr>
            </w:pPr>
            <w:r>
              <w:t>0.782</w:t>
            </w:r>
          </w:p>
        </w:tc>
        <w:tc>
          <w:tcPr>
            <w:tcW w:w="849" w:type="pct"/>
            <w:tcBorders>
              <w:top w:val="single" w:sz="4" w:space="0" w:color="auto"/>
            </w:tcBorders>
            <w:tcMar>
              <w:top w:w="150" w:type="dxa"/>
              <w:left w:w="240" w:type="dxa"/>
              <w:bottom w:w="150" w:type="dxa"/>
              <w:right w:w="240" w:type="dxa"/>
            </w:tcMar>
            <w:vAlign w:val="center"/>
            <w:hideMark/>
          </w:tcPr>
          <w:p w14:paraId="1DA8E27C" w14:textId="77777777" w:rsidR="00265CF1" w:rsidRPr="00D71FF2" w:rsidRDefault="00265CF1" w:rsidP="00434208">
            <w:pPr>
              <w:jc w:val="right"/>
              <w:rPr>
                <w:rFonts w:ascii="Times New Roman" w:hAnsi="Times New Roman" w:cs="Times New Roman"/>
                <w:sz w:val="18"/>
                <w:szCs w:val="18"/>
              </w:rPr>
            </w:pPr>
            <w:r>
              <w:t>0.721</w:t>
            </w:r>
          </w:p>
        </w:tc>
        <w:tc>
          <w:tcPr>
            <w:tcW w:w="752" w:type="pct"/>
            <w:tcBorders>
              <w:top w:val="single" w:sz="4" w:space="0" w:color="auto"/>
            </w:tcBorders>
            <w:tcMar>
              <w:top w:w="150" w:type="dxa"/>
              <w:left w:w="240" w:type="dxa"/>
              <w:bottom w:w="150" w:type="dxa"/>
              <w:right w:w="0" w:type="dxa"/>
            </w:tcMar>
            <w:vAlign w:val="center"/>
            <w:hideMark/>
          </w:tcPr>
          <w:p w14:paraId="73058211" w14:textId="77777777" w:rsidR="00265CF1" w:rsidRPr="00D71FF2" w:rsidRDefault="00265CF1" w:rsidP="00434208">
            <w:pPr>
              <w:jc w:val="right"/>
              <w:rPr>
                <w:rFonts w:ascii="Times New Roman" w:hAnsi="Times New Roman" w:cs="Times New Roman"/>
                <w:sz w:val="18"/>
                <w:szCs w:val="18"/>
              </w:rPr>
            </w:pPr>
            <w:r>
              <w:t>0.595</w:t>
            </w:r>
          </w:p>
        </w:tc>
      </w:tr>
      <w:tr w:rsidR="00434208" w:rsidRPr="00D71FF2" w14:paraId="55FF73BD" w14:textId="77777777" w:rsidTr="00434208">
        <w:tc>
          <w:tcPr>
            <w:tcW w:w="594" w:type="pct"/>
            <w:tcMar>
              <w:top w:w="150" w:type="dxa"/>
              <w:left w:w="0" w:type="dxa"/>
              <w:bottom w:w="150" w:type="dxa"/>
              <w:right w:w="240" w:type="dxa"/>
            </w:tcMar>
            <w:vAlign w:val="center"/>
            <w:hideMark/>
          </w:tcPr>
          <w:p w14:paraId="1891FA22" w14:textId="77777777" w:rsidR="00265CF1" w:rsidRPr="00D71FF2" w:rsidRDefault="00265CF1" w:rsidP="00265CF1">
            <w:pPr>
              <w:rPr>
                <w:rFonts w:ascii="Times New Roman" w:hAnsi="Times New Roman" w:cs="Times New Roman"/>
                <w:sz w:val="18"/>
                <w:szCs w:val="18"/>
              </w:rPr>
            </w:pPr>
            <w:r>
              <w:t>1993</w:t>
            </w:r>
          </w:p>
        </w:tc>
        <w:tc>
          <w:tcPr>
            <w:tcW w:w="1350" w:type="pct"/>
            <w:tcMar>
              <w:top w:w="150" w:type="dxa"/>
              <w:left w:w="240" w:type="dxa"/>
              <w:bottom w:w="150" w:type="dxa"/>
              <w:right w:w="240" w:type="dxa"/>
            </w:tcMar>
            <w:vAlign w:val="center"/>
            <w:hideMark/>
          </w:tcPr>
          <w:p w14:paraId="33359D74" w14:textId="40C5F032" w:rsidR="00265CF1" w:rsidRPr="00D71FF2" w:rsidRDefault="00265CF1" w:rsidP="00265CF1">
            <w:pPr>
              <w:rPr>
                <w:rFonts w:ascii="Times New Roman" w:hAnsi="Times New Roman" w:cs="Times New Roman"/>
                <w:sz w:val="18"/>
                <w:szCs w:val="18"/>
              </w:rPr>
            </w:pPr>
            <w:r>
              <w:t>1991,1997–2011</w:t>
            </w:r>
          </w:p>
        </w:tc>
        <w:tc>
          <w:tcPr>
            <w:tcW w:w="604" w:type="pct"/>
            <w:tcMar>
              <w:top w:w="150" w:type="dxa"/>
              <w:left w:w="240" w:type="dxa"/>
              <w:bottom w:w="150" w:type="dxa"/>
              <w:right w:w="240" w:type="dxa"/>
            </w:tcMar>
            <w:vAlign w:val="center"/>
            <w:hideMark/>
          </w:tcPr>
          <w:p w14:paraId="2AE64056" w14:textId="77777777" w:rsidR="00265CF1" w:rsidRPr="00D71FF2" w:rsidRDefault="00265CF1" w:rsidP="00434208">
            <w:pPr>
              <w:jc w:val="right"/>
              <w:rPr>
                <w:rFonts w:ascii="Times New Roman" w:hAnsi="Times New Roman" w:cs="Times New Roman"/>
                <w:sz w:val="18"/>
                <w:szCs w:val="18"/>
              </w:rPr>
            </w:pPr>
            <w:r>
              <w:t>12,632</w:t>
            </w:r>
          </w:p>
        </w:tc>
        <w:tc>
          <w:tcPr>
            <w:tcW w:w="851" w:type="pct"/>
            <w:tcMar>
              <w:top w:w="150" w:type="dxa"/>
              <w:left w:w="240" w:type="dxa"/>
              <w:bottom w:w="150" w:type="dxa"/>
              <w:right w:w="240" w:type="dxa"/>
            </w:tcMar>
            <w:vAlign w:val="center"/>
            <w:hideMark/>
          </w:tcPr>
          <w:p w14:paraId="5E3EEADF" w14:textId="77777777" w:rsidR="00265CF1" w:rsidRPr="00D71FF2" w:rsidRDefault="00265CF1" w:rsidP="00434208">
            <w:pPr>
              <w:jc w:val="right"/>
              <w:rPr>
                <w:rFonts w:ascii="Times New Roman" w:hAnsi="Times New Roman" w:cs="Times New Roman"/>
                <w:sz w:val="18"/>
                <w:szCs w:val="18"/>
              </w:rPr>
            </w:pPr>
            <w:r>
              <w:t>0.795</w:t>
            </w:r>
          </w:p>
        </w:tc>
        <w:tc>
          <w:tcPr>
            <w:tcW w:w="849" w:type="pct"/>
            <w:tcMar>
              <w:top w:w="150" w:type="dxa"/>
              <w:left w:w="240" w:type="dxa"/>
              <w:bottom w:w="150" w:type="dxa"/>
              <w:right w:w="240" w:type="dxa"/>
            </w:tcMar>
            <w:vAlign w:val="center"/>
            <w:hideMark/>
          </w:tcPr>
          <w:p w14:paraId="2EC55FBA" w14:textId="77777777" w:rsidR="00265CF1" w:rsidRPr="00D71FF2" w:rsidRDefault="00265CF1" w:rsidP="00434208">
            <w:pPr>
              <w:jc w:val="right"/>
              <w:rPr>
                <w:rFonts w:ascii="Times New Roman" w:hAnsi="Times New Roman" w:cs="Times New Roman"/>
                <w:sz w:val="18"/>
                <w:szCs w:val="18"/>
              </w:rPr>
            </w:pPr>
            <w:r>
              <w:t>0.752</w:t>
            </w:r>
          </w:p>
        </w:tc>
        <w:tc>
          <w:tcPr>
            <w:tcW w:w="752" w:type="pct"/>
            <w:tcMar>
              <w:top w:w="150" w:type="dxa"/>
              <w:left w:w="240" w:type="dxa"/>
              <w:bottom w:w="150" w:type="dxa"/>
              <w:right w:w="0" w:type="dxa"/>
            </w:tcMar>
            <w:vAlign w:val="center"/>
            <w:hideMark/>
          </w:tcPr>
          <w:p w14:paraId="64F63FEE" w14:textId="77777777" w:rsidR="00265CF1" w:rsidRPr="00D71FF2" w:rsidRDefault="00265CF1" w:rsidP="00434208">
            <w:pPr>
              <w:jc w:val="right"/>
              <w:rPr>
                <w:rFonts w:ascii="Times New Roman" w:hAnsi="Times New Roman" w:cs="Times New Roman"/>
                <w:sz w:val="18"/>
                <w:szCs w:val="18"/>
              </w:rPr>
            </w:pPr>
            <w:r>
              <w:t>0.631</w:t>
            </w:r>
          </w:p>
        </w:tc>
      </w:tr>
      <w:tr w:rsidR="00434208" w:rsidRPr="00D71FF2" w14:paraId="554D9541" w14:textId="77777777" w:rsidTr="00434208">
        <w:tc>
          <w:tcPr>
            <w:tcW w:w="594" w:type="pct"/>
            <w:tcMar>
              <w:top w:w="150" w:type="dxa"/>
              <w:left w:w="0" w:type="dxa"/>
              <w:bottom w:w="150" w:type="dxa"/>
              <w:right w:w="240" w:type="dxa"/>
            </w:tcMar>
            <w:vAlign w:val="center"/>
            <w:hideMark/>
          </w:tcPr>
          <w:p w14:paraId="4407F12D" w14:textId="77777777" w:rsidR="00265CF1" w:rsidRPr="00D71FF2" w:rsidRDefault="00265CF1" w:rsidP="00265CF1">
            <w:pPr>
              <w:rPr>
                <w:rFonts w:ascii="Times New Roman" w:hAnsi="Times New Roman" w:cs="Times New Roman"/>
                <w:sz w:val="18"/>
                <w:szCs w:val="18"/>
              </w:rPr>
            </w:pPr>
            <w:r>
              <w:t>1997</w:t>
            </w:r>
          </w:p>
        </w:tc>
        <w:tc>
          <w:tcPr>
            <w:tcW w:w="1350" w:type="pct"/>
            <w:tcMar>
              <w:top w:w="150" w:type="dxa"/>
              <w:left w:w="240" w:type="dxa"/>
              <w:bottom w:w="150" w:type="dxa"/>
              <w:right w:w="240" w:type="dxa"/>
            </w:tcMar>
            <w:vAlign w:val="center"/>
            <w:hideMark/>
          </w:tcPr>
          <w:p w14:paraId="7FBC2B2D" w14:textId="77777777" w:rsidR="00265CF1" w:rsidRPr="00D71FF2" w:rsidRDefault="00265CF1" w:rsidP="00265CF1">
            <w:pPr>
              <w:rPr>
                <w:rFonts w:ascii="Times New Roman" w:hAnsi="Times New Roman" w:cs="Times New Roman"/>
                <w:sz w:val="18"/>
                <w:szCs w:val="18"/>
              </w:rPr>
            </w:pPr>
            <w:r>
              <w:t>1991–1993, 2000–2011</w:t>
            </w:r>
          </w:p>
        </w:tc>
        <w:tc>
          <w:tcPr>
            <w:tcW w:w="604" w:type="pct"/>
            <w:tcMar>
              <w:top w:w="150" w:type="dxa"/>
              <w:left w:w="240" w:type="dxa"/>
              <w:bottom w:w="150" w:type="dxa"/>
              <w:right w:w="240" w:type="dxa"/>
            </w:tcMar>
            <w:vAlign w:val="center"/>
            <w:hideMark/>
          </w:tcPr>
          <w:p w14:paraId="70D169C3" w14:textId="77777777" w:rsidR="00265CF1" w:rsidRPr="00D71FF2" w:rsidRDefault="00265CF1" w:rsidP="00434208">
            <w:pPr>
              <w:jc w:val="right"/>
              <w:rPr>
                <w:rFonts w:ascii="Times New Roman" w:hAnsi="Times New Roman" w:cs="Times New Roman"/>
                <w:sz w:val="18"/>
                <w:szCs w:val="18"/>
              </w:rPr>
            </w:pPr>
            <w:r>
              <w:t>12,743</w:t>
            </w:r>
          </w:p>
        </w:tc>
        <w:tc>
          <w:tcPr>
            <w:tcW w:w="851" w:type="pct"/>
            <w:tcMar>
              <w:top w:w="150" w:type="dxa"/>
              <w:left w:w="240" w:type="dxa"/>
              <w:bottom w:w="150" w:type="dxa"/>
              <w:right w:w="240" w:type="dxa"/>
            </w:tcMar>
            <w:vAlign w:val="center"/>
            <w:hideMark/>
          </w:tcPr>
          <w:p w14:paraId="2CD346F7" w14:textId="77777777" w:rsidR="00265CF1" w:rsidRPr="00D71FF2" w:rsidRDefault="00265CF1" w:rsidP="00434208">
            <w:pPr>
              <w:jc w:val="right"/>
              <w:rPr>
                <w:rFonts w:ascii="Times New Roman" w:hAnsi="Times New Roman" w:cs="Times New Roman"/>
                <w:sz w:val="18"/>
                <w:szCs w:val="18"/>
              </w:rPr>
            </w:pPr>
            <w:r>
              <w:t>0.793</w:t>
            </w:r>
          </w:p>
        </w:tc>
        <w:tc>
          <w:tcPr>
            <w:tcW w:w="849" w:type="pct"/>
            <w:tcMar>
              <w:top w:w="150" w:type="dxa"/>
              <w:left w:w="240" w:type="dxa"/>
              <w:bottom w:w="150" w:type="dxa"/>
              <w:right w:w="240" w:type="dxa"/>
            </w:tcMar>
            <w:vAlign w:val="center"/>
            <w:hideMark/>
          </w:tcPr>
          <w:p w14:paraId="40564593" w14:textId="77777777" w:rsidR="00265CF1" w:rsidRPr="00D71FF2" w:rsidRDefault="00265CF1" w:rsidP="00434208">
            <w:pPr>
              <w:jc w:val="right"/>
              <w:rPr>
                <w:rFonts w:ascii="Times New Roman" w:hAnsi="Times New Roman" w:cs="Times New Roman"/>
                <w:sz w:val="18"/>
                <w:szCs w:val="18"/>
              </w:rPr>
            </w:pPr>
            <w:r>
              <w:t>0.776</w:t>
            </w:r>
          </w:p>
        </w:tc>
        <w:tc>
          <w:tcPr>
            <w:tcW w:w="752" w:type="pct"/>
            <w:tcMar>
              <w:top w:w="150" w:type="dxa"/>
              <w:left w:w="240" w:type="dxa"/>
              <w:bottom w:w="150" w:type="dxa"/>
              <w:right w:w="0" w:type="dxa"/>
            </w:tcMar>
            <w:vAlign w:val="center"/>
            <w:hideMark/>
          </w:tcPr>
          <w:p w14:paraId="48B7FC0F" w14:textId="77777777" w:rsidR="00265CF1" w:rsidRPr="00D71FF2" w:rsidRDefault="00265CF1" w:rsidP="00434208">
            <w:pPr>
              <w:jc w:val="right"/>
              <w:rPr>
                <w:rFonts w:ascii="Times New Roman" w:hAnsi="Times New Roman" w:cs="Times New Roman"/>
                <w:sz w:val="18"/>
                <w:szCs w:val="18"/>
              </w:rPr>
            </w:pPr>
            <w:r>
              <w:t>0.649</w:t>
            </w:r>
          </w:p>
        </w:tc>
      </w:tr>
      <w:tr w:rsidR="00434208" w:rsidRPr="00D71FF2" w14:paraId="0F360503" w14:textId="77777777" w:rsidTr="00434208">
        <w:tc>
          <w:tcPr>
            <w:tcW w:w="594" w:type="pct"/>
            <w:tcMar>
              <w:top w:w="150" w:type="dxa"/>
              <w:left w:w="0" w:type="dxa"/>
              <w:bottom w:w="150" w:type="dxa"/>
              <w:right w:w="240" w:type="dxa"/>
            </w:tcMar>
            <w:vAlign w:val="center"/>
            <w:hideMark/>
          </w:tcPr>
          <w:p w14:paraId="1C63B53C" w14:textId="77777777" w:rsidR="00265CF1" w:rsidRPr="00D71FF2" w:rsidRDefault="00265CF1" w:rsidP="00265CF1">
            <w:pPr>
              <w:rPr>
                <w:rFonts w:ascii="Times New Roman" w:hAnsi="Times New Roman" w:cs="Times New Roman"/>
                <w:sz w:val="18"/>
                <w:szCs w:val="18"/>
              </w:rPr>
            </w:pPr>
            <w:r>
              <w:t>2000</w:t>
            </w:r>
          </w:p>
        </w:tc>
        <w:tc>
          <w:tcPr>
            <w:tcW w:w="1350" w:type="pct"/>
            <w:tcMar>
              <w:top w:w="150" w:type="dxa"/>
              <w:left w:w="240" w:type="dxa"/>
              <w:bottom w:w="150" w:type="dxa"/>
              <w:right w:w="240" w:type="dxa"/>
            </w:tcMar>
            <w:vAlign w:val="center"/>
            <w:hideMark/>
          </w:tcPr>
          <w:p w14:paraId="382C7160" w14:textId="77777777" w:rsidR="00265CF1" w:rsidRPr="00D71FF2" w:rsidRDefault="00265CF1" w:rsidP="00265CF1">
            <w:pPr>
              <w:rPr>
                <w:rFonts w:ascii="Times New Roman" w:hAnsi="Times New Roman" w:cs="Times New Roman"/>
                <w:sz w:val="18"/>
                <w:szCs w:val="18"/>
              </w:rPr>
            </w:pPr>
            <w:r>
              <w:t>1991–1997, 2004–2011</w:t>
            </w:r>
          </w:p>
        </w:tc>
        <w:tc>
          <w:tcPr>
            <w:tcW w:w="604" w:type="pct"/>
            <w:tcMar>
              <w:top w:w="150" w:type="dxa"/>
              <w:left w:w="240" w:type="dxa"/>
              <w:bottom w:w="150" w:type="dxa"/>
              <w:right w:w="240" w:type="dxa"/>
            </w:tcMar>
            <w:vAlign w:val="center"/>
            <w:hideMark/>
          </w:tcPr>
          <w:p w14:paraId="1C063AA8" w14:textId="77777777" w:rsidR="00265CF1" w:rsidRPr="00D71FF2" w:rsidRDefault="00265CF1" w:rsidP="00434208">
            <w:pPr>
              <w:jc w:val="right"/>
              <w:rPr>
                <w:rFonts w:ascii="Times New Roman" w:hAnsi="Times New Roman" w:cs="Times New Roman"/>
                <w:sz w:val="18"/>
                <w:szCs w:val="18"/>
              </w:rPr>
            </w:pPr>
            <w:r>
              <w:t>13,530</w:t>
            </w:r>
          </w:p>
        </w:tc>
        <w:tc>
          <w:tcPr>
            <w:tcW w:w="851" w:type="pct"/>
            <w:tcMar>
              <w:top w:w="150" w:type="dxa"/>
              <w:left w:w="240" w:type="dxa"/>
              <w:bottom w:w="150" w:type="dxa"/>
              <w:right w:w="240" w:type="dxa"/>
            </w:tcMar>
            <w:vAlign w:val="center"/>
            <w:hideMark/>
          </w:tcPr>
          <w:p w14:paraId="3604FD26" w14:textId="77777777" w:rsidR="00265CF1" w:rsidRPr="00D71FF2" w:rsidRDefault="00265CF1" w:rsidP="00434208">
            <w:pPr>
              <w:jc w:val="right"/>
              <w:rPr>
                <w:rFonts w:ascii="Times New Roman" w:hAnsi="Times New Roman" w:cs="Times New Roman"/>
                <w:sz w:val="18"/>
                <w:szCs w:val="18"/>
              </w:rPr>
            </w:pPr>
            <w:r>
              <w:t>0.788</w:t>
            </w:r>
          </w:p>
        </w:tc>
        <w:tc>
          <w:tcPr>
            <w:tcW w:w="849" w:type="pct"/>
            <w:tcMar>
              <w:top w:w="150" w:type="dxa"/>
              <w:left w:w="240" w:type="dxa"/>
              <w:bottom w:w="150" w:type="dxa"/>
              <w:right w:w="240" w:type="dxa"/>
            </w:tcMar>
            <w:vAlign w:val="center"/>
            <w:hideMark/>
          </w:tcPr>
          <w:p w14:paraId="78706488" w14:textId="77777777" w:rsidR="00265CF1" w:rsidRPr="00D71FF2" w:rsidRDefault="00265CF1" w:rsidP="00434208">
            <w:pPr>
              <w:jc w:val="right"/>
              <w:rPr>
                <w:rFonts w:ascii="Times New Roman" w:hAnsi="Times New Roman" w:cs="Times New Roman"/>
                <w:sz w:val="18"/>
                <w:szCs w:val="18"/>
              </w:rPr>
            </w:pPr>
            <w:r>
              <w:t>0.780</w:t>
            </w:r>
          </w:p>
        </w:tc>
        <w:tc>
          <w:tcPr>
            <w:tcW w:w="752" w:type="pct"/>
            <w:tcMar>
              <w:top w:w="150" w:type="dxa"/>
              <w:left w:w="240" w:type="dxa"/>
              <w:bottom w:w="150" w:type="dxa"/>
              <w:right w:w="0" w:type="dxa"/>
            </w:tcMar>
            <w:vAlign w:val="center"/>
            <w:hideMark/>
          </w:tcPr>
          <w:p w14:paraId="0ACDAB6C" w14:textId="77777777" w:rsidR="00265CF1" w:rsidRPr="00D71FF2" w:rsidRDefault="00265CF1" w:rsidP="00434208">
            <w:pPr>
              <w:jc w:val="right"/>
              <w:rPr>
                <w:rFonts w:ascii="Times New Roman" w:hAnsi="Times New Roman" w:cs="Times New Roman"/>
                <w:sz w:val="18"/>
                <w:szCs w:val="18"/>
              </w:rPr>
            </w:pPr>
            <w:r>
              <w:t>0.651</w:t>
            </w:r>
          </w:p>
        </w:tc>
      </w:tr>
      <w:tr w:rsidR="00434208" w:rsidRPr="00D71FF2" w14:paraId="2B973407" w14:textId="77777777" w:rsidTr="00434208">
        <w:tc>
          <w:tcPr>
            <w:tcW w:w="594" w:type="pct"/>
            <w:tcMar>
              <w:top w:w="150" w:type="dxa"/>
              <w:left w:w="0" w:type="dxa"/>
              <w:bottom w:w="150" w:type="dxa"/>
              <w:right w:w="240" w:type="dxa"/>
            </w:tcMar>
            <w:vAlign w:val="center"/>
            <w:hideMark/>
          </w:tcPr>
          <w:p w14:paraId="266AEF1A" w14:textId="77777777" w:rsidR="00265CF1" w:rsidRPr="00D71FF2" w:rsidRDefault="00265CF1" w:rsidP="00265CF1">
            <w:pPr>
              <w:rPr>
                <w:rFonts w:ascii="Times New Roman" w:hAnsi="Times New Roman" w:cs="Times New Roman"/>
                <w:sz w:val="18"/>
                <w:szCs w:val="18"/>
              </w:rPr>
            </w:pPr>
            <w:r>
              <w:t>2004</w:t>
            </w:r>
          </w:p>
        </w:tc>
        <w:tc>
          <w:tcPr>
            <w:tcW w:w="1350" w:type="pct"/>
            <w:tcMar>
              <w:top w:w="150" w:type="dxa"/>
              <w:left w:w="240" w:type="dxa"/>
              <w:bottom w:w="150" w:type="dxa"/>
              <w:right w:w="240" w:type="dxa"/>
            </w:tcMar>
            <w:vAlign w:val="center"/>
            <w:hideMark/>
          </w:tcPr>
          <w:p w14:paraId="6F6375F5" w14:textId="77777777" w:rsidR="00265CF1" w:rsidRPr="00D71FF2" w:rsidRDefault="00265CF1" w:rsidP="00265CF1">
            <w:pPr>
              <w:rPr>
                <w:rFonts w:ascii="Times New Roman" w:hAnsi="Times New Roman" w:cs="Times New Roman"/>
                <w:sz w:val="18"/>
                <w:szCs w:val="18"/>
              </w:rPr>
            </w:pPr>
            <w:r>
              <w:t>1991–2000, 2006–2011</w:t>
            </w:r>
          </w:p>
        </w:tc>
        <w:tc>
          <w:tcPr>
            <w:tcW w:w="604" w:type="pct"/>
            <w:tcMar>
              <w:top w:w="150" w:type="dxa"/>
              <w:left w:w="240" w:type="dxa"/>
              <w:bottom w:w="150" w:type="dxa"/>
              <w:right w:w="240" w:type="dxa"/>
            </w:tcMar>
            <w:vAlign w:val="center"/>
            <w:hideMark/>
          </w:tcPr>
          <w:p w14:paraId="55B13D13" w14:textId="77777777" w:rsidR="00265CF1" w:rsidRPr="00D71FF2" w:rsidRDefault="00265CF1" w:rsidP="00434208">
            <w:pPr>
              <w:jc w:val="right"/>
              <w:rPr>
                <w:rFonts w:ascii="Times New Roman" w:hAnsi="Times New Roman" w:cs="Times New Roman"/>
                <w:sz w:val="18"/>
                <w:szCs w:val="18"/>
              </w:rPr>
            </w:pPr>
            <w:r>
              <w:t>11,783</w:t>
            </w:r>
          </w:p>
        </w:tc>
        <w:tc>
          <w:tcPr>
            <w:tcW w:w="851" w:type="pct"/>
            <w:tcMar>
              <w:top w:w="150" w:type="dxa"/>
              <w:left w:w="240" w:type="dxa"/>
              <w:bottom w:w="150" w:type="dxa"/>
              <w:right w:w="240" w:type="dxa"/>
            </w:tcMar>
            <w:vAlign w:val="center"/>
            <w:hideMark/>
          </w:tcPr>
          <w:p w14:paraId="0B80F286" w14:textId="77777777" w:rsidR="00265CF1" w:rsidRPr="00D71FF2" w:rsidRDefault="00265CF1" w:rsidP="00434208">
            <w:pPr>
              <w:jc w:val="right"/>
              <w:rPr>
                <w:rFonts w:ascii="Times New Roman" w:hAnsi="Times New Roman" w:cs="Times New Roman"/>
                <w:sz w:val="18"/>
                <w:szCs w:val="18"/>
              </w:rPr>
            </w:pPr>
            <w:r>
              <w:t>0.767</w:t>
            </w:r>
          </w:p>
        </w:tc>
        <w:tc>
          <w:tcPr>
            <w:tcW w:w="849" w:type="pct"/>
            <w:tcMar>
              <w:top w:w="150" w:type="dxa"/>
              <w:left w:w="240" w:type="dxa"/>
              <w:bottom w:w="150" w:type="dxa"/>
              <w:right w:w="240" w:type="dxa"/>
            </w:tcMar>
            <w:vAlign w:val="center"/>
            <w:hideMark/>
          </w:tcPr>
          <w:p w14:paraId="6CE4B261" w14:textId="77777777" w:rsidR="00265CF1" w:rsidRPr="00D71FF2" w:rsidRDefault="00265CF1" w:rsidP="00434208">
            <w:pPr>
              <w:jc w:val="right"/>
              <w:rPr>
                <w:rFonts w:ascii="Times New Roman" w:hAnsi="Times New Roman" w:cs="Times New Roman"/>
                <w:sz w:val="18"/>
                <w:szCs w:val="18"/>
              </w:rPr>
            </w:pPr>
            <w:r>
              <w:t>0.743</w:t>
            </w:r>
          </w:p>
        </w:tc>
        <w:tc>
          <w:tcPr>
            <w:tcW w:w="752" w:type="pct"/>
            <w:tcMar>
              <w:top w:w="150" w:type="dxa"/>
              <w:left w:w="240" w:type="dxa"/>
              <w:bottom w:w="150" w:type="dxa"/>
              <w:right w:w="0" w:type="dxa"/>
            </w:tcMar>
            <w:vAlign w:val="center"/>
            <w:hideMark/>
          </w:tcPr>
          <w:p w14:paraId="1C9C19D1" w14:textId="77777777" w:rsidR="00265CF1" w:rsidRPr="00D71FF2" w:rsidRDefault="00265CF1" w:rsidP="00434208">
            <w:pPr>
              <w:jc w:val="right"/>
              <w:rPr>
                <w:rFonts w:ascii="Times New Roman" w:hAnsi="Times New Roman" w:cs="Times New Roman"/>
                <w:sz w:val="18"/>
                <w:szCs w:val="18"/>
              </w:rPr>
            </w:pPr>
            <w:r>
              <w:t>0.618</w:t>
            </w:r>
          </w:p>
        </w:tc>
      </w:tr>
      <w:tr w:rsidR="00434208" w:rsidRPr="00D71FF2" w14:paraId="07EC2490" w14:textId="77777777" w:rsidTr="00434208">
        <w:tc>
          <w:tcPr>
            <w:tcW w:w="594" w:type="pct"/>
            <w:tcMar>
              <w:top w:w="150" w:type="dxa"/>
              <w:left w:w="0" w:type="dxa"/>
              <w:bottom w:w="150" w:type="dxa"/>
              <w:right w:w="240" w:type="dxa"/>
            </w:tcMar>
            <w:vAlign w:val="center"/>
            <w:hideMark/>
          </w:tcPr>
          <w:p w14:paraId="62B3C6DC" w14:textId="77777777" w:rsidR="00265CF1" w:rsidRPr="00D71FF2" w:rsidRDefault="00265CF1" w:rsidP="00265CF1">
            <w:pPr>
              <w:rPr>
                <w:rFonts w:ascii="Times New Roman" w:hAnsi="Times New Roman" w:cs="Times New Roman"/>
                <w:sz w:val="18"/>
                <w:szCs w:val="18"/>
              </w:rPr>
            </w:pPr>
            <w:r>
              <w:t>2006</w:t>
            </w:r>
          </w:p>
        </w:tc>
        <w:tc>
          <w:tcPr>
            <w:tcW w:w="1350" w:type="pct"/>
            <w:tcMar>
              <w:top w:w="150" w:type="dxa"/>
              <w:left w:w="240" w:type="dxa"/>
              <w:bottom w:w="150" w:type="dxa"/>
              <w:right w:w="240" w:type="dxa"/>
            </w:tcMar>
            <w:vAlign w:val="center"/>
            <w:hideMark/>
          </w:tcPr>
          <w:p w14:paraId="25E0C95B" w14:textId="77777777" w:rsidR="00265CF1" w:rsidRPr="00D71FF2" w:rsidRDefault="00265CF1" w:rsidP="00265CF1">
            <w:pPr>
              <w:rPr>
                <w:rFonts w:ascii="Times New Roman" w:hAnsi="Times New Roman" w:cs="Times New Roman"/>
                <w:sz w:val="18"/>
                <w:szCs w:val="18"/>
              </w:rPr>
            </w:pPr>
            <w:r>
              <w:t>1991–2004, 2009–2011</w:t>
            </w:r>
          </w:p>
        </w:tc>
        <w:tc>
          <w:tcPr>
            <w:tcW w:w="604" w:type="pct"/>
            <w:tcMar>
              <w:top w:w="150" w:type="dxa"/>
              <w:left w:w="240" w:type="dxa"/>
              <w:bottom w:w="150" w:type="dxa"/>
              <w:right w:w="240" w:type="dxa"/>
            </w:tcMar>
            <w:vAlign w:val="center"/>
            <w:hideMark/>
          </w:tcPr>
          <w:p w14:paraId="3B995CF5" w14:textId="77777777" w:rsidR="00265CF1" w:rsidRPr="00D71FF2" w:rsidRDefault="00265CF1" w:rsidP="00434208">
            <w:pPr>
              <w:jc w:val="right"/>
              <w:rPr>
                <w:rFonts w:ascii="Times New Roman" w:hAnsi="Times New Roman" w:cs="Times New Roman"/>
                <w:sz w:val="18"/>
                <w:szCs w:val="18"/>
              </w:rPr>
            </w:pPr>
            <w:r>
              <w:t>11,328</w:t>
            </w:r>
          </w:p>
        </w:tc>
        <w:tc>
          <w:tcPr>
            <w:tcW w:w="851" w:type="pct"/>
            <w:tcMar>
              <w:top w:w="150" w:type="dxa"/>
              <w:left w:w="240" w:type="dxa"/>
              <w:bottom w:w="150" w:type="dxa"/>
              <w:right w:w="240" w:type="dxa"/>
            </w:tcMar>
            <w:vAlign w:val="center"/>
            <w:hideMark/>
          </w:tcPr>
          <w:p w14:paraId="059005FD" w14:textId="77777777" w:rsidR="00265CF1" w:rsidRPr="00D71FF2" w:rsidRDefault="00265CF1" w:rsidP="00434208">
            <w:pPr>
              <w:jc w:val="right"/>
              <w:rPr>
                <w:rFonts w:ascii="Times New Roman" w:hAnsi="Times New Roman" w:cs="Times New Roman"/>
                <w:sz w:val="18"/>
                <w:szCs w:val="18"/>
              </w:rPr>
            </w:pPr>
            <w:r>
              <w:t>0.762</w:t>
            </w:r>
          </w:p>
        </w:tc>
        <w:tc>
          <w:tcPr>
            <w:tcW w:w="849" w:type="pct"/>
            <w:tcMar>
              <w:top w:w="150" w:type="dxa"/>
              <w:left w:w="240" w:type="dxa"/>
              <w:bottom w:w="150" w:type="dxa"/>
              <w:right w:w="240" w:type="dxa"/>
            </w:tcMar>
            <w:vAlign w:val="center"/>
            <w:hideMark/>
          </w:tcPr>
          <w:p w14:paraId="01426C5E" w14:textId="77777777" w:rsidR="00265CF1" w:rsidRPr="00D71FF2" w:rsidRDefault="00265CF1" w:rsidP="00434208">
            <w:pPr>
              <w:jc w:val="right"/>
              <w:rPr>
                <w:rFonts w:ascii="Times New Roman" w:hAnsi="Times New Roman" w:cs="Times New Roman"/>
                <w:sz w:val="18"/>
                <w:szCs w:val="18"/>
              </w:rPr>
            </w:pPr>
            <w:r>
              <w:t>0.759</w:t>
            </w:r>
          </w:p>
        </w:tc>
        <w:tc>
          <w:tcPr>
            <w:tcW w:w="752" w:type="pct"/>
            <w:tcMar>
              <w:top w:w="150" w:type="dxa"/>
              <w:left w:w="240" w:type="dxa"/>
              <w:bottom w:w="150" w:type="dxa"/>
              <w:right w:w="0" w:type="dxa"/>
            </w:tcMar>
            <w:vAlign w:val="center"/>
            <w:hideMark/>
          </w:tcPr>
          <w:p w14:paraId="6C440120" w14:textId="77777777" w:rsidR="00265CF1" w:rsidRPr="00D71FF2" w:rsidRDefault="00265CF1" w:rsidP="00434208">
            <w:pPr>
              <w:jc w:val="right"/>
              <w:rPr>
                <w:rFonts w:ascii="Times New Roman" w:hAnsi="Times New Roman" w:cs="Times New Roman"/>
                <w:sz w:val="18"/>
                <w:szCs w:val="18"/>
              </w:rPr>
            </w:pPr>
            <w:r>
              <w:t>0.601</w:t>
            </w:r>
          </w:p>
        </w:tc>
      </w:tr>
      <w:tr w:rsidR="00434208" w:rsidRPr="00D71FF2" w14:paraId="1633712D" w14:textId="77777777" w:rsidTr="00434208">
        <w:tc>
          <w:tcPr>
            <w:tcW w:w="594" w:type="pct"/>
            <w:tcMar>
              <w:top w:w="150" w:type="dxa"/>
              <w:left w:w="0" w:type="dxa"/>
              <w:bottom w:w="150" w:type="dxa"/>
              <w:right w:w="240" w:type="dxa"/>
            </w:tcMar>
            <w:vAlign w:val="center"/>
            <w:hideMark/>
          </w:tcPr>
          <w:p w14:paraId="0943519A" w14:textId="77777777" w:rsidR="00265CF1" w:rsidRPr="00D71FF2" w:rsidRDefault="00265CF1" w:rsidP="00265CF1">
            <w:pPr>
              <w:rPr>
                <w:rFonts w:ascii="Times New Roman" w:hAnsi="Times New Roman" w:cs="Times New Roman"/>
                <w:sz w:val="18"/>
                <w:szCs w:val="18"/>
              </w:rPr>
            </w:pPr>
            <w:r>
              <w:t>2009</w:t>
            </w:r>
          </w:p>
        </w:tc>
        <w:tc>
          <w:tcPr>
            <w:tcW w:w="1350" w:type="pct"/>
            <w:tcMar>
              <w:top w:w="150" w:type="dxa"/>
              <w:left w:w="240" w:type="dxa"/>
              <w:bottom w:w="150" w:type="dxa"/>
              <w:right w:w="240" w:type="dxa"/>
            </w:tcMar>
            <w:vAlign w:val="center"/>
            <w:hideMark/>
          </w:tcPr>
          <w:p w14:paraId="769E37A4" w14:textId="049C8D1A" w:rsidR="00265CF1" w:rsidRPr="00D71FF2" w:rsidRDefault="00265CF1" w:rsidP="00265CF1">
            <w:pPr>
              <w:rPr>
                <w:rFonts w:ascii="Times New Roman" w:hAnsi="Times New Roman" w:cs="Times New Roman"/>
                <w:sz w:val="18"/>
                <w:szCs w:val="18"/>
              </w:rPr>
            </w:pPr>
            <w:r>
              <w:t>1991–2006,2011</w:t>
            </w:r>
          </w:p>
        </w:tc>
        <w:tc>
          <w:tcPr>
            <w:tcW w:w="604" w:type="pct"/>
            <w:tcMar>
              <w:top w:w="150" w:type="dxa"/>
              <w:left w:w="240" w:type="dxa"/>
              <w:bottom w:w="150" w:type="dxa"/>
              <w:right w:w="240" w:type="dxa"/>
            </w:tcMar>
            <w:vAlign w:val="center"/>
            <w:hideMark/>
          </w:tcPr>
          <w:p w14:paraId="2EC97F59" w14:textId="77777777" w:rsidR="00265CF1" w:rsidRPr="00D71FF2" w:rsidRDefault="00265CF1" w:rsidP="00434208">
            <w:pPr>
              <w:jc w:val="right"/>
              <w:rPr>
                <w:rFonts w:ascii="Times New Roman" w:hAnsi="Times New Roman" w:cs="Times New Roman"/>
                <w:sz w:val="18"/>
                <w:szCs w:val="18"/>
              </w:rPr>
            </w:pPr>
            <w:r>
              <w:t>11,566</w:t>
            </w:r>
          </w:p>
        </w:tc>
        <w:tc>
          <w:tcPr>
            <w:tcW w:w="851" w:type="pct"/>
            <w:tcMar>
              <w:top w:w="150" w:type="dxa"/>
              <w:left w:w="240" w:type="dxa"/>
              <w:bottom w:w="150" w:type="dxa"/>
              <w:right w:w="240" w:type="dxa"/>
            </w:tcMar>
            <w:vAlign w:val="center"/>
            <w:hideMark/>
          </w:tcPr>
          <w:p w14:paraId="03273B0C" w14:textId="77777777" w:rsidR="00265CF1" w:rsidRPr="00D71FF2" w:rsidRDefault="00265CF1" w:rsidP="00434208">
            <w:pPr>
              <w:jc w:val="right"/>
              <w:rPr>
                <w:rFonts w:ascii="Times New Roman" w:hAnsi="Times New Roman" w:cs="Times New Roman"/>
                <w:sz w:val="18"/>
                <w:szCs w:val="18"/>
              </w:rPr>
            </w:pPr>
            <w:r>
              <w:t>0.780</w:t>
            </w:r>
          </w:p>
        </w:tc>
        <w:tc>
          <w:tcPr>
            <w:tcW w:w="849" w:type="pct"/>
            <w:tcMar>
              <w:top w:w="150" w:type="dxa"/>
              <w:left w:w="240" w:type="dxa"/>
              <w:bottom w:w="150" w:type="dxa"/>
              <w:right w:w="240" w:type="dxa"/>
            </w:tcMar>
            <w:vAlign w:val="center"/>
            <w:hideMark/>
          </w:tcPr>
          <w:p w14:paraId="1310FA4D"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0D5F25A2" w14:textId="77777777" w:rsidR="00265CF1" w:rsidRPr="00D71FF2" w:rsidRDefault="00265CF1" w:rsidP="00434208">
            <w:pPr>
              <w:jc w:val="right"/>
              <w:rPr>
                <w:rFonts w:ascii="Times New Roman" w:hAnsi="Times New Roman" w:cs="Times New Roman"/>
                <w:sz w:val="18"/>
                <w:szCs w:val="18"/>
              </w:rPr>
            </w:pPr>
            <w:r>
              <w:t>0.636</w:t>
            </w:r>
          </w:p>
        </w:tc>
      </w:tr>
      <w:tr w:rsidR="00434208" w:rsidRPr="00D71FF2" w14:paraId="070D974D" w14:textId="77777777" w:rsidTr="00434208">
        <w:tc>
          <w:tcPr>
            <w:tcW w:w="594" w:type="pct"/>
            <w:tcMar>
              <w:top w:w="150" w:type="dxa"/>
              <w:left w:w="0" w:type="dxa"/>
              <w:bottom w:w="150" w:type="dxa"/>
              <w:right w:w="240" w:type="dxa"/>
            </w:tcMar>
            <w:vAlign w:val="center"/>
            <w:hideMark/>
          </w:tcPr>
          <w:p w14:paraId="4E897D19" w14:textId="77777777" w:rsidR="00265CF1" w:rsidRPr="00D71FF2" w:rsidRDefault="00265CF1" w:rsidP="00265CF1">
            <w:pPr>
              <w:rPr>
                <w:rFonts w:ascii="Times New Roman" w:hAnsi="Times New Roman" w:cs="Times New Roman"/>
                <w:sz w:val="18"/>
                <w:szCs w:val="18"/>
              </w:rPr>
            </w:pPr>
            <w:r>
              <w:t>2011</w:t>
            </w:r>
          </w:p>
        </w:tc>
        <w:tc>
          <w:tcPr>
            <w:tcW w:w="1350" w:type="pct"/>
            <w:tcMar>
              <w:top w:w="150" w:type="dxa"/>
              <w:left w:w="240" w:type="dxa"/>
              <w:bottom w:w="150" w:type="dxa"/>
              <w:right w:w="240" w:type="dxa"/>
            </w:tcMar>
            <w:vAlign w:val="center"/>
            <w:hideMark/>
          </w:tcPr>
          <w:p w14:paraId="0B91194D" w14:textId="77777777" w:rsidR="00265CF1" w:rsidRPr="00D71FF2" w:rsidRDefault="00265CF1" w:rsidP="00265CF1">
            <w:pPr>
              <w:rPr>
                <w:rFonts w:ascii="Times New Roman" w:hAnsi="Times New Roman" w:cs="Times New Roman"/>
                <w:sz w:val="18"/>
                <w:szCs w:val="18"/>
              </w:rPr>
            </w:pPr>
            <w:r>
              <w:t>1991–2009</w:t>
            </w:r>
          </w:p>
        </w:tc>
        <w:tc>
          <w:tcPr>
            <w:tcW w:w="604" w:type="pct"/>
            <w:tcMar>
              <w:top w:w="150" w:type="dxa"/>
              <w:left w:w="240" w:type="dxa"/>
              <w:bottom w:w="150" w:type="dxa"/>
              <w:right w:w="240" w:type="dxa"/>
            </w:tcMar>
            <w:vAlign w:val="center"/>
            <w:hideMark/>
          </w:tcPr>
          <w:p w14:paraId="5884640E" w14:textId="77777777" w:rsidR="00265CF1" w:rsidRPr="00D71FF2" w:rsidRDefault="00265CF1" w:rsidP="00434208">
            <w:pPr>
              <w:jc w:val="right"/>
              <w:rPr>
                <w:rFonts w:ascii="Times New Roman" w:hAnsi="Times New Roman" w:cs="Times New Roman"/>
                <w:sz w:val="18"/>
                <w:szCs w:val="18"/>
              </w:rPr>
            </w:pPr>
            <w:r>
              <w:t>14,898</w:t>
            </w:r>
          </w:p>
        </w:tc>
        <w:tc>
          <w:tcPr>
            <w:tcW w:w="851" w:type="pct"/>
            <w:tcMar>
              <w:top w:w="150" w:type="dxa"/>
              <w:left w:w="240" w:type="dxa"/>
              <w:bottom w:w="150" w:type="dxa"/>
              <w:right w:w="240" w:type="dxa"/>
            </w:tcMar>
            <w:vAlign w:val="center"/>
            <w:hideMark/>
          </w:tcPr>
          <w:p w14:paraId="69FF590E" w14:textId="77777777" w:rsidR="00265CF1" w:rsidRPr="00D71FF2" w:rsidRDefault="00265CF1" w:rsidP="00434208">
            <w:pPr>
              <w:jc w:val="right"/>
              <w:rPr>
                <w:rFonts w:ascii="Times New Roman" w:hAnsi="Times New Roman" w:cs="Times New Roman"/>
                <w:sz w:val="18"/>
                <w:szCs w:val="18"/>
              </w:rPr>
            </w:pPr>
            <w:r>
              <w:t>0.740</w:t>
            </w:r>
          </w:p>
        </w:tc>
        <w:tc>
          <w:tcPr>
            <w:tcW w:w="849" w:type="pct"/>
            <w:tcMar>
              <w:top w:w="150" w:type="dxa"/>
              <w:left w:w="240" w:type="dxa"/>
              <w:bottom w:w="150" w:type="dxa"/>
              <w:right w:w="240" w:type="dxa"/>
            </w:tcMar>
            <w:vAlign w:val="center"/>
            <w:hideMark/>
          </w:tcPr>
          <w:p w14:paraId="0408647A"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51034F7F" w14:textId="77777777" w:rsidR="00265CF1" w:rsidRPr="00D71FF2" w:rsidRDefault="00265CF1" w:rsidP="00434208">
            <w:pPr>
              <w:jc w:val="right"/>
              <w:rPr>
                <w:rFonts w:ascii="Times New Roman" w:hAnsi="Times New Roman" w:cs="Times New Roman"/>
                <w:sz w:val="18"/>
                <w:szCs w:val="18"/>
              </w:rPr>
            </w:pPr>
            <w:r>
              <w:t>0.589</w:t>
            </w:r>
          </w:p>
        </w:tc>
      </w:tr>
      <w:tr w:rsidR="00434208" w:rsidRPr="00D71FF2" w14:paraId="19795050" w14:textId="77777777" w:rsidTr="00434208">
        <w:tc>
          <w:tcPr>
            <w:tcW w:w="2547" w:type="pct"/>
            <w:gridSpan w:val="3"/>
            <w:tcBorders>
              <w:bottom w:val="single" w:sz="8" w:space="0" w:color="auto"/>
            </w:tcBorders>
            <w:tcMar>
              <w:top w:w="150" w:type="dxa"/>
              <w:left w:w="0" w:type="dxa"/>
              <w:bottom w:w="150" w:type="dxa"/>
              <w:right w:w="240" w:type="dxa"/>
            </w:tcMar>
            <w:vAlign w:val="center"/>
            <w:hideMark/>
          </w:tcPr>
          <w:p w14:paraId="7E202AC4" w14:textId="2D6700AA" w:rsidR="00434208" w:rsidRPr="00D71FF2" w:rsidRDefault="00434208" w:rsidP="00434208">
            <w:pPr>
              <w:jc w:val="left"/>
              <w:rPr>
                <w:rFonts w:ascii="Times New Roman" w:hAnsi="Times New Roman" w:cs="Times New Roman"/>
                <w:sz w:val="18"/>
                <w:szCs w:val="18"/>
              </w:rPr>
            </w:pPr>
            <w:proofErr w:type="spellStart"/>
            <w:r w:rsidRPr="00D71FF2">
              <w:rPr>
                <w:rFonts w:ascii="Times New Roman" w:hAnsi="Times New Roman" w:cs="Times New Roman"/>
                <w:b/>
                <w:bCs/>
                <w:sz w:val="18"/>
                <w:szCs w:val="18"/>
              </w:rPr>
              <w:t>Mean±SD</w:t>
            </w:r>
            <w:proofErr w:type="spellEnd"/>
          </w:p>
        </w:tc>
        <w:tc>
          <w:tcPr>
            <w:tcW w:w="851" w:type="pct"/>
            <w:tcBorders>
              <w:bottom w:val="single" w:sz="8" w:space="0" w:color="auto"/>
            </w:tcBorders>
            <w:tcMar>
              <w:top w:w="150" w:type="dxa"/>
              <w:left w:w="240" w:type="dxa"/>
              <w:bottom w:w="150" w:type="dxa"/>
              <w:right w:w="240" w:type="dxa"/>
            </w:tcMar>
            <w:vAlign w:val="center"/>
            <w:hideMark/>
          </w:tcPr>
          <w:p w14:paraId="3315993D" w14:textId="070E9B71" w:rsidR="00434208" w:rsidRPr="00D71FF2" w:rsidRDefault="00434208" w:rsidP="00434208">
            <w:pPr>
              <w:jc w:val="right"/>
              <w:rPr>
                <w:rFonts w:ascii="Times New Roman" w:hAnsi="Times New Roman" w:cs="Times New Roman"/>
                <w:sz w:val="18"/>
                <w:szCs w:val="18"/>
              </w:rPr>
            </w:pPr>
            <w:r>
              <w:t>0.776±0.019</w:t>
            </w:r>
          </w:p>
        </w:tc>
        <w:tc>
          <w:tcPr>
            <w:tcW w:w="849" w:type="pct"/>
            <w:tcBorders>
              <w:bottom w:val="single" w:sz="8" w:space="0" w:color="auto"/>
            </w:tcBorders>
            <w:tcMar>
              <w:top w:w="150" w:type="dxa"/>
              <w:left w:w="240" w:type="dxa"/>
              <w:bottom w:w="150" w:type="dxa"/>
              <w:right w:w="240" w:type="dxa"/>
            </w:tcMar>
            <w:vAlign w:val="center"/>
            <w:hideMark/>
          </w:tcPr>
          <w:p w14:paraId="5EA492B3" w14:textId="38BAB249" w:rsidR="00434208" w:rsidRPr="00D71FF2" w:rsidRDefault="00434208" w:rsidP="00434208">
            <w:pPr>
              <w:jc w:val="right"/>
              <w:rPr>
                <w:rFonts w:ascii="Times New Roman" w:hAnsi="Times New Roman" w:cs="Times New Roman"/>
                <w:sz w:val="18"/>
                <w:szCs w:val="18"/>
              </w:rPr>
            </w:pPr>
            <w:r>
              <w:t>0.759±0.020</w:t>
            </w:r>
          </w:p>
        </w:tc>
        <w:tc>
          <w:tcPr>
            <w:tcW w:w="752" w:type="pct"/>
            <w:tcBorders>
              <w:bottom w:val="single" w:sz="8" w:space="0" w:color="auto"/>
            </w:tcBorders>
            <w:tcMar>
              <w:top w:w="150" w:type="dxa"/>
              <w:left w:w="240" w:type="dxa"/>
              <w:bottom w:w="150" w:type="dxa"/>
              <w:right w:w="0" w:type="dxa"/>
            </w:tcMar>
            <w:vAlign w:val="center"/>
            <w:hideMark/>
          </w:tcPr>
          <w:p w14:paraId="6A9CB930" w14:textId="4594EC5D" w:rsidR="00434208" w:rsidRPr="00D71FF2" w:rsidRDefault="00434208" w:rsidP="00434208">
            <w:pPr>
              <w:jc w:val="right"/>
              <w:rPr>
                <w:rFonts w:ascii="Times New Roman" w:hAnsi="Times New Roman" w:cs="Times New Roman"/>
                <w:sz w:val="18"/>
                <w:szCs w:val="18"/>
              </w:rPr>
            </w:pPr>
            <w:r>
              <w:t>0.621±0.024</w:t>
            </w:r>
          </w:p>
        </w:tc>
      </w:tr>
    </w:tbl>
    <w:p w14:paraId="5E0AD9CA" w14:textId="03AB1462" w:rsidR="00265CF1" w:rsidRPr="00D71FF2" w:rsidRDefault="00265CF1" w:rsidP="0080027F">
      <w:pPr>
        <w:pStyle w:val="3"/>
      </w:pPr>
      <w:r w:rsidRPr="00D71FF2">
        <w:t>Calibration</w:t>
      </w:r>
    </w:p>
    <w:p w14:paraId="1C415F3D" w14:textId="12273E60" w:rsidR="003B794F" w:rsidRPr="00D71FF2" w:rsidRDefault="003A7C12" w:rsidP="00265CF1">
      <w:pPr>
        <w:rPr>
          <w:rFonts w:ascii="Times New Roman" w:hAnsi="Times New Roman" w:cs="Times New Roman"/>
        </w:rPr>
      </w:pPr>
      <w:r>
        <w:t>Predicted probabilities were reasonably calibrated across categories (Figure 4). Expected calibration error was below 0.01 for all categories, and Brier scores indicated good agreement between predicted and observed outcomes (Table 7).</w:t>
      </w:r>
    </w:p>
    <w:p w14:paraId="42CA5C2C" w14:textId="7AEB66A6" w:rsidR="003B794F" w:rsidRPr="00D71FF2" w:rsidRDefault="003B794F" w:rsidP="00265CF1">
      <w:pPr>
        <w:rPr>
          <w:rFonts w:ascii="Times New Roman" w:hAnsi="Times New Roman" w:cs="Times New Roman"/>
        </w:rPr>
      </w:pPr>
      <w:r w:rsidRPr="00D71FF2">
        <w:rPr>
          <w:rFonts w:ascii="Times New Roman" w:hAnsi="Times New Roman" w:cs="Times New Roman"/>
          <w:b/>
          <w:bCs/>
        </w:rPr>
        <w:t xml:space="preserve">Figure </w:t>
      </w:r>
      <w:r w:rsidR="00A61EDF" w:rsidRPr="00D71FF2">
        <w:rPr>
          <w:rFonts w:ascii="Times New Roman" w:hAnsi="Times New Roman" w:cs="Times New Roman"/>
          <w:b/>
          <w:bCs/>
        </w:rPr>
        <w:t>4</w:t>
      </w:r>
      <w:r w:rsidRPr="00D71FF2">
        <w:rPr>
          <w:rFonts w:ascii="Times New Roman" w:hAnsi="Times New Roman" w:cs="Times New Roman"/>
          <w:b/>
          <w:bCs/>
        </w:rPr>
        <w:t>.</w:t>
      </w:r>
      <w:r w:rsidRPr="00D71FF2">
        <w:rPr>
          <w:rFonts w:ascii="Times New Roman" w:hAnsi="Times New Roman" w:cs="Times New Roman"/>
        </w:rPr>
        <w:t> Calibration curves for the three outcome categories: (a) Rural, (b) Transitional, and (c) Urban. The diagonal dashed line represents perfect calibration. Histograms show the distribution of predicted probabilities. Shaded regions represent 95% confidence intervals from bootstrap resampling (n = 2,000).</w:t>
      </w:r>
    </w:p>
    <w:p w14:paraId="6151F438" w14:textId="1D224E33" w:rsidR="00265CF1" w:rsidRPr="00D71FF2" w:rsidRDefault="003A7C12" w:rsidP="00265CF1">
      <w:pPr>
        <w:rPr>
          <w:rFonts w:ascii="Times New Roman" w:hAnsi="Times New Roman" w:cs="Times New Roman"/>
        </w:rPr>
      </w:pPr>
      <w:r w:rsidRPr="00D71FF2">
        <w:rPr>
          <w:rFonts w:ascii="Times New Roman" w:hAnsi="Times New Roman" w:cs="Times New Roman"/>
        </w:rPr>
        <w:t>This supports the use of probabilistic outputs for sensitivity analyses and uncertainty-aware applications.</w:t>
      </w:r>
    </w:p>
    <w:p w14:paraId="2013006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7. </w:t>
      </w:r>
      <w:r w:rsidRPr="00D71FF2">
        <w:rPr>
          <w:rFonts w:ascii="Times New Roman" w:hAnsi="Times New Roman" w:cs="Times New Roman"/>
        </w:rPr>
        <w:t>Calibration Metrics by Category</w:t>
      </w:r>
    </w:p>
    <w:tbl>
      <w:tblPr>
        <w:tblW w:w="5000" w:type="pct"/>
        <w:tblCellMar>
          <w:top w:w="15" w:type="dxa"/>
          <w:left w:w="15" w:type="dxa"/>
          <w:bottom w:w="15" w:type="dxa"/>
          <w:right w:w="15" w:type="dxa"/>
        </w:tblCellMar>
        <w:tblLook w:val="04A0" w:firstRow="1" w:lastRow="0" w:firstColumn="1" w:lastColumn="0" w:noHBand="0" w:noVBand="1"/>
      </w:tblPr>
      <w:tblGrid>
        <w:gridCol w:w="1234"/>
        <w:gridCol w:w="1457"/>
        <w:gridCol w:w="1088"/>
        <w:gridCol w:w="1802"/>
        <w:gridCol w:w="1841"/>
        <w:gridCol w:w="884"/>
      </w:tblGrid>
      <w:tr w:rsidR="00265CF1" w:rsidRPr="00D71FF2" w14:paraId="17767446" w14:textId="77777777" w:rsidTr="0054052A">
        <w:trPr>
          <w:tblHeader/>
        </w:trPr>
        <w:tc>
          <w:tcPr>
            <w:tcW w:w="742" w:type="pct"/>
            <w:tcBorders>
              <w:top w:val="single" w:sz="8" w:space="0" w:color="auto"/>
              <w:bottom w:val="single" w:sz="4" w:space="0" w:color="auto"/>
            </w:tcBorders>
            <w:tcMar>
              <w:top w:w="150" w:type="dxa"/>
              <w:left w:w="0" w:type="dxa"/>
              <w:bottom w:w="150" w:type="dxa"/>
              <w:right w:w="240" w:type="dxa"/>
            </w:tcMar>
            <w:vAlign w:val="center"/>
            <w:hideMark/>
          </w:tcPr>
          <w:p w14:paraId="140262A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Category</w:t>
            </w:r>
          </w:p>
        </w:tc>
        <w:tc>
          <w:tcPr>
            <w:tcW w:w="877" w:type="pct"/>
            <w:tcBorders>
              <w:top w:val="single" w:sz="8" w:space="0" w:color="auto"/>
              <w:bottom w:val="single" w:sz="4" w:space="0" w:color="auto"/>
            </w:tcBorders>
            <w:tcMar>
              <w:top w:w="150" w:type="dxa"/>
              <w:left w:w="240" w:type="dxa"/>
              <w:bottom w:w="150" w:type="dxa"/>
              <w:right w:w="240" w:type="dxa"/>
            </w:tcMar>
            <w:vAlign w:val="center"/>
            <w:hideMark/>
          </w:tcPr>
          <w:p w14:paraId="3A8E88B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Brier Score</w:t>
            </w:r>
          </w:p>
        </w:tc>
        <w:tc>
          <w:tcPr>
            <w:tcW w:w="655" w:type="pct"/>
            <w:tcBorders>
              <w:top w:val="single" w:sz="8" w:space="0" w:color="auto"/>
              <w:bottom w:val="single" w:sz="4" w:space="0" w:color="auto"/>
            </w:tcBorders>
            <w:tcMar>
              <w:top w:w="150" w:type="dxa"/>
              <w:left w:w="240" w:type="dxa"/>
              <w:bottom w:w="150" w:type="dxa"/>
              <w:right w:w="240" w:type="dxa"/>
            </w:tcMar>
            <w:vAlign w:val="center"/>
            <w:hideMark/>
          </w:tcPr>
          <w:p w14:paraId="091FA03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ECE</w:t>
            </w:r>
          </w:p>
        </w:tc>
        <w:tc>
          <w:tcPr>
            <w:tcW w:w="1085" w:type="pct"/>
            <w:tcBorders>
              <w:top w:val="single" w:sz="8" w:space="0" w:color="auto"/>
              <w:bottom w:val="single" w:sz="4" w:space="0" w:color="auto"/>
            </w:tcBorders>
            <w:tcMar>
              <w:top w:w="150" w:type="dxa"/>
              <w:left w:w="240" w:type="dxa"/>
              <w:bottom w:w="150" w:type="dxa"/>
              <w:right w:w="240" w:type="dxa"/>
            </w:tcMar>
            <w:vAlign w:val="center"/>
            <w:hideMark/>
          </w:tcPr>
          <w:p w14:paraId="1D52E9C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Mean Predicted</w:t>
            </w:r>
          </w:p>
        </w:tc>
        <w:tc>
          <w:tcPr>
            <w:tcW w:w="1108" w:type="pct"/>
            <w:tcBorders>
              <w:top w:val="single" w:sz="8" w:space="0" w:color="auto"/>
              <w:bottom w:val="single" w:sz="4" w:space="0" w:color="auto"/>
            </w:tcBorders>
            <w:tcMar>
              <w:top w:w="150" w:type="dxa"/>
              <w:left w:w="240" w:type="dxa"/>
              <w:bottom w:w="150" w:type="dxa"/>
              <w:right w:w="240" w:type="dxa"/>
            </w:tcMar>
            <w:vAlign w:val="center"/>
            <w:hideMark/>
          </w:tcPr>
          <w:p w14:paraId="10DF31D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Prevalence</w:t>
            </w:r>
          </w:p>
        </w:tc>
        <w:tc>
          <w:tcPr>
            <w:tcW w:w="532" w:type="pct"/>
            <w:tcBorders>
              <w:top w:val="single" w:sz="8" w:space="0" w:color="auto"/>
              <w:bottom w:val="single" w:sz="4" w:space="0" w:color="auto"/>
            </w:tcBorders>
            <w:tcMar>
              <w:top w:w="150" w:type="dxa"/>
              <w:left w:w="240" w:type="dxa"/>
              <w:bottom w:w="150" w:type="dxa"/>
              <w:right w:w="240" w:type="dxa"/>
            </w:tcMar>
            <w:vAlign w:val="center"/>
            <w:hideMark/>
          </w:tcPr>
          <w:p w14:paraId="5D86CD15"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Δ</w:t>
            </w:r>
          </w:p>
        </w:tc>
      </w:tr>
      <w:tr w:rsidR="00265CF1" w:rsidRPr="00D71FF2" w14:paraId="5E67438E" w14:textId="77777777" w:rsidTr="0054052A">
        <w:tc>
          <w:tcPr>
            <w:tcW w:w="742" w:type="pct"/>
            <w:tcBorders>
              <w:top w:val="single" w:sz="4" w:space="0" w:color="auto"/>
            </w:tcBorders>
            <w:tcMar>
              <w:top w:w="150" w:type="dxa"/>
              <w:left w:w="0" w:type="dxa"/>
              <w:bottom w:w="150" w:type="dxa"/>
              <w:right w:w="240" w:type="dxa"/>
            </w:tcMar>
            <w:vAlign w:val="center"/>
            <w:hideMark/>
          </w:tcPr>
          <w:p w14:paraId="36576C82"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Rural</w:t>
            </w:r>
          </w:p>
        </w:tc>
        <w:tc>
          <w:tcPr>
            <w:tcW w:w="877" w:type="pct"/>
            <w:tcBorders>
              <w:top w:val="single" w:sz="4" w:space="0" w:color="auto"/>
            </w:tcBorders>
            <w:tcMar>
              <w:top w:w="150" w:type="dxa"/>
              <w:left w:w="240" w:type="dxa"/>
              <w:bottom w:w="150" w:type="dxa"/>
              <w:right w:w="240" w:type="dxa"/>
            </w:tcMar>
            <w:vAlign w:val="center"/>
            <w:hideMark/>
          </w:tcPr>
          <w:p w14:paraId="52EA9137"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top w:val="single" w:sz="4" w:space="0" w:color="auto"/>
            </w:tcBorders>
            <w:tcMar>
              <w:top w:w="150" w:type="dxa"/>
              <w:left w:w="240" w:type="dxa"/>
              <w:bottom w:w="150" w:type="dxa"/>
              <w:right w:w="240" w:type="dxa"/>
            </w:tcMar>
            <w:vAlign w:val="center"/>
            <w:hideMark/>
          </w:tcPr>
          <w:p w14:paraId="0BD1CA98" w14:textId="77777777" w:rsidR="00265CF1" w:rsidRPr="00D71FF2" w:rsidRDefault="00265CF1" w:rsidP="00434208">
            <w:pPr>
              <w:jc w:val="right"/>
              <w:rPr>
                <w:rFonts w:ascii="Times New Roman" w:hAnsi="Times New Roman" w:cs="Times New Roman"/>
                <w:sz w:val="18"/>
                <w:szCs w:val="20"/>
              </w:rPr>
            </w:pPr>
            <w:r>
              <w:t>0.0075</w:t>
            </w:r>
          </w:p>
        </w:tc>
        <w:tc>
          <w:tcPr>
            <w:tcW w:w="1085" w:type="pct"/>
            <w:tcBorders>
              <w:top w:val="single" w:sz="4" w:space="0" w:color="auto"/>
            </w:tcBorders>
            <w:tcMar>
              <w:top w:w="150" w:type="dxa"/>
              <w:left w:w="240" w:type="dxa"/>
              <w:bottom w:w="150" w:type="dxa"/>
              <w:right w:w="240" w:type="dxa"/>
            </w:tcMar>
            <w:vAlign w:val="center"/>
            <w:hideMark/>
          </w:tcPr>
          <w:p w14:paraId="0A55D402" w14:textId="77777777" w:rsidR="00265CF1" w:rsidRPr="00D71FF2" w:rsidRDefault="00265CF1" w:rsidP="00434208">
            <w:pPr>
              <w:jc w:val="right"/>
              <w:rPr>
                <w:rFonts w:ascii="Times New Roman" w:hAnsi="Times New Roman" w:cs="Times New Roman"/>
                <w:sz w:val="18"/>
                <w:szCs w:val="20"/>
              </w:rPr>
            </w:pPr>
            <w:r>
              <w:t>0.512</w:t>
            </w:r>
          </w:p>
        </w:tc>
        <w:tc>
          <w:tcPr>
            <w:tcW w:w="1108" w:type="pct"/>
            <w:tcBorders>
              <w:top w:val="single" w:sz="4" w:space="0" w:color="auto"/>
            </w:tcBorders>
            <w:tcMar>
              <w:top w:w="150" w:type="dxa"/>
              <w:left w:w="240" w:type="dxa"/>
              <w:bottom w:w="150" w:type="dxa"/>
              <w:right w:w="240" w:type="dxa"/>
            </w:tcMar>
            <w:vAlign w:val="center"/>
            <w:hideMark/>
          </w:tcPr>
          <w:p w14:paraId="19B2F957" w14:textId="77777777" w:rsidR="00265CF1" w:rsidRPr="00D71FF2" w:rsidRDefault="00265CF1" w:rsidP="00434208">
            <w:pPr>
              <w:jc w:val="right"/>
              <w:rPr>
                <w:rFonts w:ascii="Times New Roman" w:hAnsi="Times New Roman" w:cs="Times New Roman"/>
                <w:sz w:val="18"/>
                <w:szCs w:val="20"/>
              </w:rPr>
            </w:pPr>
            <w:r>
              <w:t>0.513</w:t>
            </w:r>
          </w:p>
        </w:tc>
        <w:tc>
          <w:tcPr>
            <w:tcW w:w="532" w:type="pct"/>
            <w:tcBorders>
              <w:top w:val="single" w:sz="4" w:space="0" w:color="auto"/>
            </w:tcBorders>
            <w:tcMar>
              <w:top w:w="150" w:type="dxa"/>
              <w:left w:w="240" w:type="dxa"/>
              <w:bottom w:w="150" w:type="dxa"/>
              <w:right w:w="0" w:type="dxa"/>
            </w:tcMar>
            <w:vAlign w:val="center"/>
            <w:hideMark/>
          </w:tcPr>
          <w:p w14:paraId="02144352" w14:textId="77777777" w:rsidR="00265CF1" w:rsidRPr="00D71FF2" w:rsidRDefault="00265CF1" w:rsidP="00434208">
            <w:pPr>
              <w:jc w:val="right"/>
              <w:rPr>
                <w:rFonts w:ascii="Times New Roman" w:hAnsi="Times New Roman" w:cs="Times New Roman"/>
                <w:sz w:val="18"/>
                <w:szCs w:val="20"/>
              </w:rPr>
            </w:pPr>
            <w:r>
              <w:t>-0.001</w:t>
            </w:r>
          </w:p>
        </w:tc>
      </w:tr>
      <w:tr w:rsidR="00265CF1" w:rsidRPr="00D71FF2" w14:paraId="7165AD68" w14:textId="77777777" w:rsidTr="00434208">
        <w:tc>
          <w:tcPr>
            <w:tcW w:w="742" w:type="pct"/>
            <w:tcMar>
              <w:top w:w="150" w:type="dxa"/>
              <w:left w:w="0" w:type="dxa"/>
              <w:bottom w:w="150" w:type="dxa"/>
              <w:right w:w="240" w:type="dxa"/>
            </w:tcMar>
            <w:vAlign w:val="center"/>
            <w:hideMark/>
          </w:tcPr>
          <w:p w14:paraId="3A97833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Transitional</w:t>
            </w:r>
          </w:p>
        </w:tc>
        <w:tc>
          <w:tcPr>
            <w:tcW w:w="877" w:type="pct"/>
            <w:tcMar>
              <w:top w:w="150" w:type="dxa"/>
              <w:left w:w="240" w:type="dxa"/>
              <w:bottom w:w="150" w:type="dxa"/>
              <w:right w:w="240" w:type="dxa"/>
            </w:tcMar>
            <w:vAlign w:val="center"/>
            <w:hideMark/>
          </w:tcPr>
          <w:p w14:paraId="6191C3A6" w14:textId="77777777" w:rsidR="00265CF1" w:rsidRPr="00D71FF2" w:rsidRDefault="00265CF1" w:rsidP="00434208">
            <w:pPr>
              <w:jc w:val="right"/>
              <w:rPr>
                <w:rFonts w:ascii="Times New Roman" w:hAnsi="Times New Roman" w:cs="Times New Roman"/>
                <w:sz w:val="18"/>
                <w:szCs w:val="20"/>
              </w:rPr>
            </w:pPr>
            <w:r>
              <w:t>0.002</w:t>
            </w:r>
          </w:p>
        </w:tc>
        <w:tc>
          <w:tcPr>
            <w:tcW w:w="655" w:type="pct"/>
            <w:tcMar>
              <w:top w:w="150" w:type="dxa"/>
              <w:left w:w="240" w:type="dxa"/>
              <w:bottom w:w="150" w:type="dxa"/>
              <w:right w:w="240" w:type="dxa"/>
            </w:tcMar>
            <w:vAlign w:val="center"/>
            <w:hideMark/>
          </w:tcPr>
          <w:p w14:paraId="300B9C02" w14:textId="77777777" w:rsidR="00265CF1" w:rsidRPr="00D71FF2" w:rsidRDefault="00265CF1" w:rsidP="00434208">
            <w:pPr>
              <w:jc w:val="right"/>
              <w:rPr>
                <w:rFonts w:ascii="Times New Roman" w:hAnsi="Times New Roman" w:cs="Times New Roman"/>
                <w:sz w:val="18"/>
                <w:szCs w:val="20"/>
              </w:rPr>
            </w:pPr>
            <w:r>
              <w:t>0.0011</w:t>
            </w:r>
          </w:p>
        </w:tc>
        <w:tc>
          <w:tcPr>
            <w:tcW w:w="1085" w:type="pct"/>
            <w:tcMar>
              <w:top w:w="150" w:type="dxa"/>
              <w:left w:w="240" w:type="dxa"/>
              <w:bottom w:w="150" w:type="dxa"/>
              <w:right w:w="240" w:type="dxa"/>
            </w:tcMar>
            <w:vAlign w:val="center"/>
            <w:hideMark/>
          </w:tcPr>
          <w:p w14:paraId="486CD75C" w14:textId="77777777" w:rsidR="00265CF1" w:rsidRPr="00D71FF2" w:rsidRDefault="00265CF1" w:rsidP="00434208">
            <w:pPr>
              <w:jc w:val="right"/>
              <w:rPr>
                <w:rFonts w:ascii="Times New Roman" w:hAnsi="Times New Roman" w:cs="Times New Roman"/>
                <w:sz w:val="18"/>
                <w:szCs w:val="20"/>
              </w:rPr>
            </w:pPr>
            <w:r>
              <w:t>0.225</w:t>
            </w:r>
          </w:p>
        </w:tc>
        <w:tc>
          <w:tcPr>
            <w:tcW w:w="1108" w:type="pct"/>
            <w:tcMar>
              <w:top w:w="150" w:type="dxa"/>
              <w:left w:w="240" w:type="dxa"/>
              <w:bottom w:w="150" w:type="dxa"/>
              <w:right w:w="240" w:type="dxa"/>
            </w:tcMar>
            <w:vAlign w:val="center"/>
            <w:hideMark/>
          </w:tcPr>
          <w:p w14:paraId="128ECE13" w14:textId="77777777" w:rsidR="00265CF1" w:rsidRPr="00D71FF2" w:rsidRDefault="00265CF1" w:rsidP="00434208">
            <w:pPr>
              <w:jc w:val="right"/>
              <w:rPr>
                <w:rFonts w:ascii="Times New Roman" w:hAnsi="Times New Roman" w:cs="Times New Roman"/>
                <w:sz w:val="18"/>
                <w:szCs w:val="20"/>
              </w:rPr>
            </w:pPr>
            <w:r>
              <w:t>0.225</w:t>
            </w:r>
          </w:p>
        </w:tc>
        <w:tc>
          <w:tcPr>
            <w:tcW w:w="532" w:type="pct"/>
            <w:tcMar>
              <w:top w:w="150" w:type="dxa"/>
              <w:left w:w="240" w:type="dxa"/>
              <w:bottom w:w="150" w:type="dxa"/>
              <w:right w:w="0" w:type="dxa"/>
            </w:tcMar>
            <w:vAlign w:val="center"/>
            <w:hideMark/>
          </w:tcPr>
          <w:p w14:paraId="0B8466BA" w14:textId="77777777" w:rsidR="00265CF1" w:rsidRPr="00D71FF2" w:rsidRDefault="00265CF1" w:rsidP="00434208">
            <w:pPr>
              <w:jc w:val="right"/>
              <w:rPr>
                <w:rFonts w:ascii="Times New Roman" w:hAnsi="Times New Roman" w:cs="Times New Roman"/>
                <w:sz w:val="18"/>
                <w:szCs w:val="20"/>
              </w:rPr>
            </w:pPr>
            <w:r>
              <w:t>-0.000</w:t>
            </w:r>
          </w:p>
        </w:tc>
      </w:tr>
      <w:tr w:rsidR="00265CF1" w:rsidRPr="00D71FF2" w14:paraId="1F79CE9C" w14:textId="77777777" w:rsidTr="0054052A">
        <w:tc>
          <w:tcPr>
            <w:tcW w:w="742" w:type="pct"/>
            <w:tcBorders>
              <w:bottom w:val="single" w:sz="8" w:space="0" w:color="auto"/>
            </w:tcBorders>
            <w:tcMar>
              <w:top w:w="150" w:type="dxa"/>
              <w:left w:w="0" w:type="dxa"/>
              <w:bottom w:w="150" w:type="dxa"/>
              <w:right w:w="240" w:type="dxa"/>
            </w:tcMar>
            <w:vAlign w:val="center"/>
            <w:hideMark/>
          </w:tcPr>
          <w:p w14:paraId="64BA65B1"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Urban</w:t>
            </w:r>
          </w:p>
        </w:tc>
        <w:tc>
          <w:tcPr>
            <w:tcW w:w="877" w:type="pct"/>
            <w:tcBorders>
              <w:bottom w:val="single" w:sz="8" w:space="0" w:color="auto"/>
            </w:tcBorders>
            <w:tcMar>
              <w:top w:w="150" w:type="dxa"/>
              <w:left w:w="240" w:type="dxa"/>
              <w:bottom w:w="150" w:type="dxa"/>
              <w:right w:w="240" w:type="dxa"/>
            </w:tcMar>
            <w:vAlign w:val="center"/>
            <w:hideMark/>
          </w:tcPr>
          <w:p w14:paraId="5DDC1B54"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bottom w:val="single" w:sz="8" w:space="0" w:color="auto"/>
            </w:tcBorders>
            <w:tcMar>
              <w:top w:w="150" w:type="dxa"/>
              <w:left w:w="240" w:type="dxa"/>
              <w:bottom w:w="150" w:type="dxa"/>
              <w:right w:w="240" w:type="dxa"/>
            </w:tcMar>
            <w:vAlign w:val="center"/>
            <w:hideMark/>
          </w:tcPr>
          <w:p w14:paraId="60115229" w14:textId="77777777" w:rsidR="00265CF1" w:rsidRPr="00D71FF2" w:rsidRDefault="00265CF1" w:rsidP="00434208">
            <w:pPr>
              <w:jc w:val="right"/>
              <w:rPr>
                <w:rFonts w:ascii="Times New Roman" w:hAnsi="Times New Roman" w:cs="Times New Roman"/>
                <w:sz w:val="18"/>
                <w:szCs w:val="20"/>
              </w:rPr>
            </w:pPr>
            <w:r>
              <w:t>0.0077</w:t>
            </w:r>
          </w:p>
        </w:tc>
        <w:tc>
          <w:tcPr>
            <w:tcW w:w="1085" w:type="pct"/>
            <w:tcBorders>
              <w:bottom w:val="single" w:sz="8" w:space="0" w:color="auto"/>
            </w:tcBorders>
            <w:tcMar>
              <w:top w:w="150" w:type="dxa"/>
              <w:left w:w="240" w:type="dxa"/>
              <w:bottom w:w="150" w:type="dxa"/>
              <w:right w:w="240" w:type="dxa"/>
            </w:tcMar>
            <w:vAlign w:val="center"/>
            <w:hideMark/>
          </w:tcPr>
          <w:p w14:paraId="1389D746" w14:textId="77777777" w:rsidR="00265CF1" w:rsidRPr="00D71FF2" w:rsidRDefault="00265CF1" w:rsidP="00434208">
            <w:pPr>
              <w:jc w:val="right"/>
              <w:rPr>
                <w:rFonts w:ascii="Times New Roman" w:hAnsi="Times New Roman" w:cs="Times New Roman"/>
                <w:sz w:val="18"/>
                <w:szCs w:val="20"/>
              </w:rPr>
            </w:pPr>
            <w:r>
              <w:t>0.263</w:t>
            </w:r>
          </w:p>
        </w:tc>
        <w:tc>
          <w:tcPr>
            <w:tcW w:w="1108" w:type="pct"/>
            <w:tcBorders>
              <w:bottom w:val="single" w:sz="8" w:space="0" w:color="auto"/>
            </w:tcBorders>
            <w:tcMar>
              <w:top w:w="150" w:type="dxa"/>
              <w:left w:w="240" w:type="dxa"/>
              <w:bottom w:w="150" w:type="dxa"/>
              <w:right w:w="240" w:type="dxa"/>
            </w:tcMar>
            <w:vAlign w:val="center"/>
            <w:hideMark/>
          </w:tcPr>
          <w:p w14:paraId="2A144CE2" w14:textId="77777777" w:rsidR="00265CF1" w:rsidRPr="00D71FF2" w:rsidRDefault="00265CF1" w:rsidP="00434208">
            <w:pPr>
              <w:jc w:val="right"/>
              <w:rPr>
                <w:rFonts w:ascii="Times New Roman" w:hAnsi="Times New Roman" w:cs="Times New Roman"/>
                <w:sz w:val="18"/>
                <w:szCs w:val="20"/>
              </w:rPr>
            </w:pPr>
            <w:r>
              <w:t>0.262</w:t>
            </w:r>
          </w:p>
        </w:tc>
        <w:tc>
          <w:tcPr>
            <w:tcW w:w="532" w:type="pct"/>
            <w:tcBorders>
              <w:bottom w:val="single" w:sz="8" w:space="0" w:color="auto"/>
            </w:tcBorders>
            <w:tcMar>
              <w:top w:w="150" w:type="dxa"/>
              <w:left w:w="240" w:type="dxa"/>
              <w:bottom w:w="150" w:type="dxa"/>
              <w:right w:w="0" w:type="dxa"/>
            </w:tcMar>
            <w:vAlign w:val="center"/>
            <w:hideMark/>
          </w:tcPr>
          <w:p w14:paraId="67D63345" w14:textId="77777777" w:rsidR="00265CF1" w:rsidRPr="00D71FF2" w:rsidRDefault="00265CF1" w:rsidP="00434208">
            <w:pPr>
              <w:jc w:val="right"/>
              <w:rPr>
                <w:rFonts w:ascii="Times New Roman" w:hAnsi="Times New Roman" w:cs="Times New Roman"/>
                <w:sz w:val="18"/>
                <w:szCs w:val="20"/>
              </w:rPr>
            </w:pPr>
            <w:r>
              <w:t>+0.002</w:t>
            </w:r>
          </w:p>
        </w:tc>
      </w:tr>
    </w:tbl>
    <w:p w14:paraId="1EF809C5"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ECE: Expected Calibration Error (lower values indicate better calibration). Δ: difference between mean predicted probability and true prevalence.</w:t>
      </w:r>
    </w:p>
    <w:p w14:paraId="2C9B8EE7" w14:textId="3BD13BC6" w:rsidR="00265CF1" w:rsidRPr="00D71FF2" w:rsidRDefault="00140DA9" w:rsidP="0080027F">
      <w:pPr>
        <w:pStyle w:val="3"/>
      </w:pPr>
      <w:r w:rsidRPr="00D71FF2">
        <w:t>Preservation of Downstream Epidemiological Associations</w:t>
      </w:r>
    </w:p>
    <w:p w14:paraId="66C60091" w14:textId="4BBC6724" w:rsidR="00265CF1" w:rsidRPr="00D71FF2" w:rsidRDefault="008C6813" w:rsidP="00265CF1">
      <w:pPr>
        <w:rPr>
          <w:rFonts w:ascii="Times New Roman" w:hAnsi="Times New Roman" w:cs="Times New Roman"/>
        </w:rPr>
      </w:pPr>
      <w:r>
        <w:t>Analyses using inferred labels preserved the direction and statistical significance of urban–rural differences across all dietary indicators (Table 8; Figure 5). Cohen's d was moderately inflated (25% relative increase on average) when using inferred labels, because Transitional observations were assigned to Rural or Urban groups, sharpening group contrasts. Statistical significance was preserved in all cases; inferred labels are better suited to descriptive comparisons or covariate adjustment than standalone effect estimation.</w:t>
      </w:r>
    </w:p>
    <w:p w14:paraId="5510B3E9"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lastRenderedPageBreak/>
        <w:t xml:space="preserve">Table 8. </w:t>
      </w:r>
      <w:r w:rsidRPr="00D71FF2">
        <w:rPr>
          <w:rFonts w:ascii="Times New Roman" w:hAnsi="Times New Roman" w:cs="Times New Roman"/>
        </w:rPr>
        <w:t>Downstream Epidemiological Bias Assessment (30% Missing Rate)</w:t>
      </w:r>
    </w:p>
    <w:tbl>
      <w:tblPr>
        <w:tblW w:w="5063"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220"/>
        <w:gridCol w:w="1277"/>
        <w:gridCol w:w="1277"/>
        <w:gridCol w:w="811"/>
        <w:gridCol w:w="1236"/>
        <w:gridCol w:w="1247"/>
        <w:gridCol w:w="1410"/>
      </w:tblGrid>
      <w:tr w:rsidR="00C91C8F" w:rsidRPr="00D71FF2" w14:paraId="6F504922" w14:textId="77777777" w:rsidTr="00C91C8F">
        <w:trPr>
          <w:tblHeader/>
        </w:trPr>
        <w:tc>
          <w:tcPr>
            <w:tcW w:w="570" w:type="pct"/>
            <w:tcBorders>
              <w:top w:val="single" w:sz="8" w:space="0" w:color="auto"/>
              <w:bottom w:val="single" w:sz="4" w:space="0" w:color="auto"/>
            </w:tcBorders>
            <w:tcMar>
              <w:top w:w="150" w:type="dxa"/>
              <w:left w:w="0" w:type="dxa"/>
              <w:bottom w:w="150" w:type="dxa"/>
              <w:right w:w="240" w:type="dxa"/>
            </w:tcMar>
            <w:vAlign w:val="center"/>
            <w:hideMark/>
          </w:tcPr>
          <w:p w14:paraId="7CD2C76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Feature</w:t>
            </w:r>
          </w:p>
        </w:tc>
        <w:tc>
          <w:tcPr>
            <w:tcW w:w="695" w:type="pct"/>
            <w:tcBorders>
              <w:top w:val="single" w:sz="8" w:space="0" w:color="auto"/>
              <w:bottom w:val="single" w:sz="4" w:space="0" w:color="auto"/>
            </w:tcBorders>
            <w:tcMar>
              <w:top w:w="150" w:type="dxa"/>
              <w:left w:w="240" w:type="dxa"/>
              <w:bottom w:w="150" w:type="dxa"/>
              <w:right w:w="240" w:type="dxa"/>
            </w:tcMar>
            <w:vAlign w:val="center"/>
            <w:hideMark/>
          </w:tcPr>
          <w:p w14:paraId="3D39ECB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Difference</w:t>
            </w:r>
          </w:p>
        </w:tc>
        <w:tc>
          <w:tcPr>
            <w:tcW w:w="633" w:type="pct"/>
            <w:tcBorders>
              <w:top w:val="single" w:sz="8" w:space="0" w:color="auto"/>
              <w:bottom w:val="single" w:sz="4" w:space="0" w:color="auto"/>
            </w:tcBorders>
            <w:tcMar>
              <w:top w:w="150" w:type="dxa"/>
              <w:left w:w="240" w:type="dxa"/>
              <w:bottom w:w="150" w:type="dxa"/>
              <w:right w:w="240" w:type="dxa"/>
            </w:tcMar>
            <w:vAlign w:val="center"/>
            <w:hideMark/>
          </w:tcPr>
          <w:p w14:paraId="723A8722"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 Difference</w:t>
            </w:r>
          </w:p>
        </w:tc>
        <w:tc>
          <w:tcPr>
            <w:tcW w:w="430" w:type="pct"/>
            <w:tcBorders>
              <w:top w:val="single" w:sz="8" w:space="0" w:color="auto"/>
              <w:bottom w:val="single" w:sz="4" w:space="0" w:color="auto"/>
            </w:tcBorders>
            <w:tcMar>
              <w:top w:w="150" w:type="dxa"/>
              <w:left w:w="240" w:type="dxa"/>
              <w:bottom w:w="150" w:type="dxa"/>
              <w:right w:w="240" w:type="dxa"/>
            </w:tcMar>
            <w:vAlign w:val="center"/>
            <w:hideMark/>
          </w:tcPr>
          <w:p w14:paraId="4A5F2A13" w14:textId="77777777" w:rsidR="00265CF1" w:rsidRPr="00D71FF2" w:rsidRDefault="00265CF1" w:rsidP="00265CF1">
            <w:pPr>
              <w:rPr>
                <w:rFonts w:ascii="Times New Roman" w:hAnsi="Times New Roman" w:cs="Times New Roman"/>
                <w:b/>
                <w:bCs/>
                <w:sz w:val="18"/>
                <w:szCs w:val="20"/>
              </w:rPr>
            </w:pPr>
            <w:r>
              <w:t>Relative Change in Cohen's d (%)</w:t>
            </w:r>
          </w:p>
        </w:tc>
        <w:tc>
          <w:tcPr>
            <w:tcW w:w="930" w:type="pct"/>
            <w:tcBorders>
              <w:top w:val="single" w:sz="8" w:space="0" w:color="auto"/>
              <w:bottom w:val="single" w:sz="4" w:space="0" w:color="auto"/>
            </w:tcBorders>
            <w:tcMar>
              <w:top w:w="150" w:type="dxa"/>
              <w:left w:w="240" w:type="dxa"/>
              <w:bottom w:w="150" w:type="dxa"/>
              <w:right w:w="240" w:type="dxa"/>
            </w:tcMar>
            <w:vAlign w:val="center"/>
            <w:hideMark/>
          </w:tcPr>
          <w:p w14:paraId="4469F35E" w14:textId="77777777"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Pr="00D71FF2">
              <w:rPr>
                <w:rFonts w:ascii="Times New Roman" w:hAnsi="Times New Roman" w:cs="Times New Roman"/>
                <w:b/>
                <w:bCs/>
                <w:i/>
                <w:iCs/>
                <w:sz w:val="18"/>
                <w:szCs w:val="20"/>
              </w:rPr>
              <w:t>d</w:t>
            </w:r>
          </w:p>
          <w:p w14:paraId="3FDDE528" w14:textId="6A83268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 (True)</w:t>
            </w:r>
          </w:p>
        </w:tc>
        <w:tc>
          <w:tcPr>
            <w:tcW w:w="1052" w:type="pct"/>
            <w:tcBorders>
              <w:top w:val="single" w:sz="8" w:space="0" w:color="auto"/>
              <w:bottom w:val="single" w:sz="4" w:space="0" w:color="auto"/>
            </w:tcBorders>
            <w:tcMar>
              <w:top w:w="150" w:type="dxa"/>
              <w:left w:w="240" w:type="dxa"/>
              <w:bottom w:w="150" w:type="dxa"/>
              <w:right w:w="240" w:type="dxa"/>
            </w:tcMar>
            <w:vAlign w:val="center"/>
            <w:hideMark/>
          </w:tcPr>
          <w:p w14:paraId="44888C62" w14:textId="1A2118F0"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000F1E49" w:rsidRPr="00D71FF2">
              <w:rPr>
                <w:rFonts w:ascii="Times New Roman" w:hAnsi="Times New Roman" w:cs="Times New Roman"/>
                <w:b/>
                <w:bCs/>
                <w:i/>
                <w:iCs/>
                <w:sz w:val="18"/>
                <w:szCs w:val="20"/>
              </w:rPr>
              <w:t>d</w:t>
            </w:r>
          </w:p>
          <w:p w14:paraId="3EAD0998" w14:textId="1905FA63"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w:t>
            </w:r>
          </w:p>
        </w:tc>
        <w:tc>
          <w:tcPr>
            <w:tcW w:w="691" w:type="pct"/>
            <w:tcBorders>
              <w:top w:val="single" w:sz="8" w:space="0" w:color="auto"/>
              <w:bottom w:val="single" w:sz="4" w:space="0" w:color="auto"/>
            </w:tcBorders>
            <w:tcMar>
              <w:top w:w="150" w:type="dxa"/>
              <w:left w:w="240" w:type="dxa"/>
              <w:bottom w:w="150" w:type="dxa"/>
              <w:right w:w="240" w:type="dxa"/>
            </w:tcMar>
            <w:vAlign w:val="center"/>
            <w:hideMark/>
          </w:tcPr>
          <w:p w14:paraId="0F55F2C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Significance Consistent</w:t>
            </w:r>
          </w:p>
        </w:tc>
      </w:tr>
      <w:tr w:rsidR="00C91C8F" w:rsidRPr="00D71FF2" w14:paraId="03FE5DF6" w14:textId="77777777" w:rsidTr="00C91C8F">
        <w:tc>
          <w:tcPr>
            <w:tcW w:w="570" w:type="pct"/>
            <w:tcBorders>
              <w:top w:val="single" w:sz="4" w:space="0" w:color="auto"/>
            </w:tcBorders>
            <w:tcMar>
              <w:top w:w="150" w:type="dxa"/>
              <w:left w:w="0" w:type="dxa"/>
              <w:bottom w:w="150" w:type="dxa"/>
              <w:right w:w="240" w:type="dxa"/>
            </w:tcMar>
            <w:vAlign w:val="center"/>
            <w:hideMark/>
          </w:tcPr>
          <w:p w14:paraId="76129310"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 energy ratio</w:t>
            </w:r>
          </w:p>
        </w:tc>
        <w:tc>
          <w:tcPr>
            <w:tcW w:w="695" w:type="pct"/>
            <w:tcBorders>
              <w:top w:val="single" w:sz="4" w:space="0" w:color="auto"/>
            </w:tcBorders>
            <w:tcMar>
              <w:top w:w="150" w:type="dxa"/>
              <w:left w:w="240" w:type="dxa"/>
              <w:bottom w:w="150" w:type="dxa"/>
              <w:right w:w="240" w:type="dxa"/>
            </w:tcMar>
            <w:vAlign w:val="center"/>
            <w:hideMark/>
          </w:tcPr>
          <w:p w14:paraId="41A0B470" w14:textId="77777777" w:rsidR="00265CF1" w:rsidRPr="00D71FF2" w:rsidRDefault="00265CF1" w:rsidP="00265CF1">
            <w:pPr>
              <w:rPr>
                <w:rFonts w:ascii="Times New Roman" w:hAnsi="Times New Roman" w:cs="Times New Roman"/>
                <w:sz w:val="18"/>
                <w:szCs w:val="20"/>
              </w:rPr>
            </w:pPr>
            <w:r>
              <w:t>0.0817</w:t>
            </w:r>
          </w:p>
        </w:tc>
        <w:tc>
          <w:tcPr>
            <w:tcW w:w="633" w:type="pct"/>
            <w:tcBorders>
              <w:top w:val="single" w:sz="4" w:space="0" w:color="auto"/>
            </w:tcBorders>
            <w:tcMar>
              <w:top w:w="150" w:type="dxa"/>
              <w:left w:w="240" w:type="dxa"/>
              <w:bottom w:w="150" w:type="dxa"/>
              <w:right w:w="240" w:type="dxa"/>
            </w:tcMar>
            <w:vAlign w:val="center"/>
            <w:hideMark/>
          </w:tcPr>
          <w:p w14:paraId="4D370E9E" w14:textId="77777777" w:rsidR="00265CF1" w:rsidRPr="00D71FF2" w:rsidRDefault="00265CF1" w:rsidP="00265CF1">
            <w:pPr>
              <w:rPr>
                <w:rFonts w:ascii="Times New Roman" w:hAnsi="Times New Roman" w:cs="Times New Roman"/>
                <w:sz w:val="18"/>
                <w:szCs w:val="20"/>
              </w:rPr>
            </w:pPr>
            <w:r>
              <w:t>0.0991</w:t>
            </w:r>
          </w:p>
        </w:tc>
        <w:tc>
          <w:tcPr>
            <w:tcW w:w="430" w:type="pct"/>
            <w:tcBorders>
              <w:top w:val="single" w:sz="4" w:space="0" w:color="auto"/>
            </w:tcBorders>
            <w:tcMar>
              <w:top w:w="150" w:type="dxa"/>
              <w:left w:w="240" w:type="dxa"/>
              <w:bottom w:w="150" w:type="dxa"/>
              <w:right w:w="240" w:type="dxa"/>
            </w:tcMar>
            <w:vAlign w:val="center"/>
            <w:hideMark/>
          </w:tcPr>
          <w:p w14:paraId="5438ACBF" w14:textId="77777777" w:rsidR="00265CF1" w:rsidRPr="00D71FF2" w:rsidRDefault="00265CF1" w:rsidP="00265CF1">
            <w:pPr>
              <w:rPr>
                <w:rFonts w:ascii="Times New Roman" w:hAnsi="Times New Roman" w:cs="Times New Roman"/>
                <w:sz w:val="18"/>
                <w:szCs w:val="20"/>
              </w:rPr>
            </w:pPr>
            <w:r>
              <w:t>21.3</w:t>
            </w:r>
          </w:p>
        </w:tc>
        <w:tc>
          <w:tcPr>
            <w:tcW w:w="930" w:type="pct"/>
            <w:tcBorders>
              <w:top w:val="single" w:sz="4" w:space="0" w:color="auto"/>
            </w:tcBorders>
            <w:tcMar>
              <w:top w:w="150" w:type="dxa"/>
              <w:left w:w="240" w:type="dxa"/>
              <w:bottom w:w="150" w:type="dxa"/>
              <w:right w:w="240" w:type="dxa"/>
            </w:tcMar>
            <w:vAlign w:val="center"/>
            <w:hideMark/>
          </w:tcPr>
          <w:p w14:paraId="1D480410" w14:textId="77777777" w:rsidR="00265CF1" w:rsidRPr="00D71FF2" w:rsidRDefault="00265CF1" w:rsidP="00265CF1">
            <w:pPr>
              <w:rPr>
                <w:rFonts w:ascii="Times New Roman" w:hAnsi="Times New Roman" w:cs="Times New Roman"/>
                <w:sz w:val="18"/>
                <w:szCs w:val="20"/>
              </w:rPr>
            </w:pPr>
            <w:r>
              <w:t>0.631</w:t>
            </w:r>
          </w:p>
        </w:tc>
        <w:tc>
          <w:tcPr>
            <w:tcW w:w="1052" w:type="pct"/>
            <w:tcBorders>
              <w:top w:val="single" w:sz="4" w:space="0" w:color="auto"/>
            </w:tcBorders>
            <w:tcMar>
              <w:top w:w="150" w:type="dxa"/>
              <w:left w:w="240" w:type="dxa"/>
              <w:bottom w:w="150" w:type="dxa"/>
              <w:right w:w="240" w:type="dxa"/>
            </w:tcMar>
            <w:vAlign w:val="center"/>
            <w:hideMark/>
          </w:tcPr>
          <w:p w14:paraId="6ED0AA22" w14:textId="77777777" w:rsidR="00265CF1" w:rsidRPr="00D71FF2" w:rsidRDefault="00265CF1" w:rsidP="00265CF1">
            <w:pPr>
              <w:rPr>
                <w:rFonts w:ascii="Times New Roman" w:hAnsi="Times New Roman" w:cs="Times New Roman"/>
                <w:sz w:val="18"/>
                <w:szCs w:val="20"/>
              </w:rPr>
            </w:pPr>
            <w:r>
              <w:t>0.782</w:t>
            </w:r>
          </w:p>
        </w:tc>
        <w:tc>
          <w:tcPr>
            <w:tcW w:w="691" w:type="pct"/>
            <w:tcBorders>
              <w:top w:val="single" w:sz="4" w:space="0" w:color="auto"/>
            </w:tcBorders>
            <w:tcMar>
              <w:top w:w="150" w:type="dxa"/>
              <w:left w:w="240" w:type="dxa"/>
              <w:bottom w:w="150" w:type="dxa"/>
              <w:right w:w="0" w:type="dxa"/>
            </w:tcMar>
            <w:vAlign w:val="center"/>
            <w:hideMark/>
          </w:tcPr>
          <w:p w14:paraId="561BCFC3" w14:textId="77777777" w:rsidR="00265CF1" w:rsidRPr="00D71FF2" w:rsidRDefault="00265CF1" w:rsidP="00265CF1">
            <w:pPr>
              <w:rPr>
                <w:rFonts w:ascii="Times New Roman" w:hAnsi="Times New Roman" w:cs="Times New Roman"/>
                <w:sz w:val="18"/>
                <w:szCs w:val="20"/>
              </w:rPr>
            </w:pPr>
            <w:r>
              <w:t>Yes</w:t>
            </w:r>
          </w:p>
        </w:tc>
      </w:tr>
      <w:tr w:rsidR="00C91C8F" w:rsidRPr="00D71FF2" w14:paraId="795FF100" w14:textId="77777777" w:rsidTr="00C91C8F">
        <w:tc>
          <w:tcPr>
            <w:tcW w:w="570" w:type="pct"/>
            <w:tcMar>
              <w:top w:w="150" w:type="dxa"/>
              <w:left w:w="0" w:type="dxa"/>
              <w:bottom w:w="150" w:type="dxa"/>
              <w:right w:w="240" w:type="dxa"/>
            </w:tcMar>
            <w:vAlign w:val="center"/>
            <w:hideMark/>
          </w:tcPr>
          <w:p w14:paraId="50674BFB"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Carbohydrate energy ratio</w:t>
            </w:r>
          </w:p>
        </w:tc>
        <w:tc>
          <w:tcPr>
            <w:tcW w:w="695" w:type="pct"/>
            <w:tcMar>
              <w:top w:w="150" w:type="dxa"/>
              <w:left w:w="240" w:type="dxa"/>
              <w:bottom w:w="150" w:type="dxa"/>
              <w:right w:w="240" w:type="dxa"/>
            </w:tcMar>
            <w:vAlign w:val="center"/>
            <w:hideMark/>
          </w:tcPr>
          <w:p w14:paraId="25DABD11" w14:textId="77777777" w:rsidR="00265CF1" w:rsidRPr="00D71FF2" w:rsidRDefault="00265CF1" w:rsidP="00265CF1">
            <w:pPr>
              <w:rPr>
                <w:rFonts w:ascii="Times New Roman" w:hAnsi="Times New Roman" w:cs="Times New Roman"/>
                <w:sz w:val="18"/>
                <w:szCs w:val="20"/>
              </w:rPr>
            </w:pPr>
            <w:r>
              <w:t>-0.0944</w:t>
            </w:r>
          </w:p>
        </w:tc>
        <w:tc>
          <w:tcPr>
            <w:tcW w:w="633" w:type="pct"/>
            <w:tcMar>
              <w:top w:w="150" w:type="dxa"/>
              <w:left w:w="240" w:type="dxa"/>
              <w:bottom w:w="150" w:type="dxa"/>
              <w:right w:w="240" w:type="dxa"/>
            </w:tcMar>
            <w:vAlign w:val="center"/>
            <w:hideMark/>
          </w:tcPr>
          <w:p w14:paraId="539409B2" w14:textId="77777777" w:rsidR="00265CF1" w:rsidRPr="00D71FF2" w:rsidRDefault="00265CF1" w:rsidP="00265CF1">
            <w:pPr>
              <w:rPr>
                <w:rFonts w:ascii="Times New Roman" w:hAnsi="Times New Roman" w:cs="Times New Roman"/>
                <w:sz w:val="18"/>
                <w:szCs w:val="20"/>
              </w:rPr>
            </w:pPr>
            <w:r>
              <w:t>-0.1150</w:t>
            </w:r>
          </w:p>
        </w:tc>
        <w:tc>
          <w:tcPr>
            <w:tcW w:w="430" w:type="pct"/>
            <w:tcMar>
              <w:top w:w="150" w:type="dxa"/>
              <w:left w:w="240" w:type="dxa"/>
              <w:bottom w:w="150" w:type="dxa"/>
              <w:right w:w="240" w:type="dxa"/>
            </w:tcMar>
            <w:vAlign w:val="center"/>
            <w:hideMark/>
          </w:tcPr>
          <w:p w14:paraId="7144C74E" w14:textId="77777777" w:rsidR="00265CF1" w:rsidRPr="00D71FF2" w:rsidRDefault="00265CF1" w:rsidP="00265CF1">
            <w:pPr>
              <w:rPr>
                <w:rFonts w:ascii="Times New Roman" w:hAnsi="Times New Roman" w:cs="Times New Roman"/>
                <w:sz w:val="18"/>
                <w:szCs w:val="20"/>
              </w:rPr>
            </w:pPr>
            <w:r>
              <w:t>21.8</w:t>
            </w:r>
          </w:p>
        </w:tc>
        <w:tc>
          <w:tcPr>
            <w:tcW w:w="930" w:type="pct"/>
            <w:tcMar>
              <w:top w:w="150" w:type="dxa"/>
              <w:left w:w="240" w:type="dxa"/>
              <w:bottom w:w="150" w:type="dxa"/>
              <w:right w:w="240" w:type="dxa"/>
            </w:tcMar>
            <w:vAlign w:val="center"/>
            <w:hideMark/>
          </w:tcPr>
          <w:p w14:paraId="769EECC6" w14:textId="77777777" w:rsidR="00265CF1" w:rsidRPr="00D71FF2" w:rsidRDefault="00265CF1" w:rsidP="00265CF1">
            <w:pPr>
              <w:rPr>
                <w:rFonts w:ascii="Times New Roman" w:hAnsi="Times New Roman" w:cs="Times New Roman"/>
                <w:sz w:val="18"/>
                <w:szCs w:val="20"/>
              </w:rPr>
            </w:pPr>
            <w:r>
              <w:t>-0.710</w:t>
            </w:r>
          </w:p>
        </w:tc>
        <w:tc>
          <w:tcPr>
            <w:tcW w:w="1052" w:type="pct"/>
            <w:tcMar>
              <w:top w:w="150" w:type="dxa"/>
              <w:left w:w="240" w:type="dxa"/>
              <w:bottom w:w="150" w:type="dxa"/>
              <w:right w:w="240" w:type="dxa"/>
            </w:tcMar>
            <w:vAlign w:val="center"/>
            <w:hideMark/>
          </w:tcPr>
          <w:p w14:paraId="49EE686E" w14:textId="77777777" w:rsidR="00265CF1" w:rsidRPr="00D71FF2" w:rsidRDefault="00265CF1" w:rsidP="00265CF1">
            <w:pPr>
              <w:rPr>
                <w:rFonts w:ascii="Times New Roman" w:hAnsi="Times New Roman" w:cs="Times New Roman"/>
                <w:sz w:val="18"/>
                <w:szCs w:val="20"/>
              </w:rPr>
            </w:pPr>
            <w:r>
              <w:t>-0.887</w:t>
            </w:r>
          </w:p>
        </w:tc>
        <w:tc>
          <w:tcPr>
            <w:tcW w:w="691" w:type="pct"/>
            <w:tcMar>
              <w:top w:w="150" w:type="dxa"/>
              <w:left w:w="240" w:type="dxa"/>
              <w:bottom w:w="150" w:type="dxa"/>
              <w:right w:w="0" w:type="dxa"/>
            </w:tcMar>
            <w:vAlign w:val="center"/>
            <w:hideMark/>
          </w:tcPr>
          <w:p w14:paraId="5A293194" w14:textId="77777777" w:rsidR="00265CF1" w:rsidRPr="00D71FF2" w:rsidRDefault="00265CF1" w:rsidP="00265CF1">
            <w:pPr>
              <w:rPr>
                <w:rFonts w:ascii="Times New Roman" w:hAnsi="Times New Roman" w:cs="Times New Roman"/>
                <w:sz w:val="18"/>
                <w:szCs w:val="20"/>
              </w:rPr>
            </w:pPr>
            <w:r>
              <w:t>Yes</w:t>
            </w:r>
          </w:p>
        </w:tc>
      </w:tr>
      <w:tr w:rsidR="00C91C8F" w:rsidRPr="00D71FF2" w14:paraId="10DEE43D" w14:textId="77777777" w:rsidTr="00C91C8F">
        <w:tc>
          <w:tcPr>
            <w:tcW w:w="570" w:type="pct"/>
            <w:tcMar>
              <w:top w:w="150" w:type="dxa"/>
              <w:left w:w="0" w:type="dxa"/>
              <w:bottom w:w="150" w:type="dxa"/>
              <w:right w:w="240" w:type="dxa"/>
            </w:tcMar>
            <w:vAlign w:val="center"/>
            <w:hideMark/>
          </w:tcPr>
          <w:p w14:paraId="70AD7EF7"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Protein energy ratio</w:t>
            </w:r>
          </w:p>
        </w:tc>
        <w:tc>
          <w:tcPr>
            <w:tcW w:w="695" w:type="pct"/>
            <w:tcMar>
              <w:top w:w="150" w:type="dxa"/>
              <w:left w:w="240" w:type="dxa"/>
              <w:bottom w:w="150" w:type="dxa"/>
              <w:right w:w="240" w:type="dxa"/>
            </w:tcMar>
            <w:vAlign w:val="center"/>
            <w:hideMark/>
          </w:tcPr>
          <w:p w14:paraId="4AECAE35" w14:textId="77777777" w:rsidR="00265CF1" w:rsidRPr="00D71FF2" w:rsidRDefault="00265CF1" w:rsidP="00265CF1">
            <w:pPr>
              <w:rPr>
                <w:rFonts w:ascii="Times New Roman" w:hAnsi="Times New Roman" w:cs="Times New Roman"/>
                <w:sz w:val="18"/>
                <w:szCs w:val="20"/>
              </w:rPr>
            </w:pPr>
            <w:r>
              <w:t>0.0120</w:t>
            </w:r>
          </w:p>
        </w:tc>
        <w:tc>
          <w:tcPr>
            <w:tcW w:w="633" w:type="pct"/>
            <w:tcMar>
              <w:top w:w="150" w:type="dxa"/>
              <w:left w:w="240" w:type="dxa"/>
              <w:bottom w:w="150" w:type="dxa"/>
              <w:right w:w="240" w:type="dxa"/>
            </w:tcMar>
            <w:vAlign w:val="center"/>
            <w:hideMark/>
          </w:tcPr>
          <w:p w14:paraId="74E4176B" w14:textId="77777777" w:rsidR="00265CF1" w:rsidRPr="00D71FF2" w:rsidRDefault="00265CF1" w:rsidP="00265CF1">
            <w:pPr>
              <w:rPr>
                <w:rFonts w:ascii="Times New Roman" w:hAnsi="Times New Roman" w:cs="Times New Roman"/>
                <w:sz w:val="18"/>
                <w:szCs w:val="20"/>
              </w:rPr>
            </w:pPr>
            <w:r>
              <w:t>0.0158</w:t>
            </w:r>
          </w:p>
        </w:tc>
        <w:tc>
          <w:tcPr>
            <w:tcW w:w="430" w:type="pct"/>
            <w:tcMar>
              <w:top w:w="150" w:type="dxa"/>
              <w:left w:w="240" w:type="dxa"/>
              <w:bottom w:w="150" w:type="dxa"/>
              <w:right w:w="240" w:type="dxa"/>
            </w:tcMar>
            <w:vAlign w:val="center"/>
            <w:hideMark/>
          </w:tcPr>
          <w:p w14:paraId="6D6360D9" w14:textId="77777777" w:rsidR="00265CF1" w:rsidRPr="00D71FF2" w:rsidRDefault="00265CF1" w:rsidP="00265CF1">
            <w:pPr>
              <w:rPr>
                <w:rFonts w:ascii="Times New Roman" w:hAnsi="Times New Roman" w:cs="Times New Roman"/>
                <w:sz w:val="18"/>
                <w:szCs w:val="20"/>
              </w:rPr>
            </w:pPr>
            <w:r>
              <w:t>31.9</w:t>
            </w:r>
          </w:p>
        </w:tc>
        <w:tc>
          <w:tcPr>
            <w:tcW w:w="930" w:type="pct"/>
            <w:tcMar>
              <w:top w:w="150" w:type="dxa"/>
              <w:left w:w="240" w:type="dxa"/>
              <w:bottom w:w="150" w:type="dxa"/>
              <w:right w:w="240" w:type="dxa"/>
            </w:tcMar>
            <w:vAlign w:val="center"/>
            <w:hideMark/>
          </w:tcPr>
          <w:p w14:paraId="18876423" w14:textId="77777777" w:rsidR="00265CF1" w:rsidRPr="00D71FF2" w:rsidRDefault="00265CF1" w:rsidP="00265CF1">
            <w:pPr>
              <w:rPr>
                <w:rFonts w:ascii="Times New Roman" w:hAnsi="Times New Roman" w:cs="Times New Roman"/>
                <w:sz w:val="18"/>
                <w:szCs w:val="20"/>
              </w:rPr>
            </w:pPr>
            <w:r>
              <w:t>0.430</w:t>
            </w:r>
          </w:p>
        </w:tc>
        <w:tc>
          <w:tcPr>
            <w:tcW w:w="1052" w:type="pct"/>
            <w:tcMar>
              <w:top w:w="150" w:type="dxa"/>
              <w:left w:w="240" w:type="dxa"/>
              <w:bottom w:w="150" w:type="dxa"/>
              <w:right w:w="240" w:type="dxa"/>
            </w:tcMar>
            <w:vAlign w:val="center"/>
            <w:hideMark/>
          </w:tcPr>
          <w:p w14:paraId="1D195D92" w14:textId="77777777" w:rsidR="00265CF1" w:rsidRPr="00D71FF2" w:rsidRDefault="00265CF1" w:rsidP="00265CF1">
            <w:pPr>
              <w:rPr>
                <w:rFonts w:ascii="Times New Roman" w:hAnsi="Times New Roman" w:cs="Times New Roman"/>
                <w:sz w:val="18"/>
                <w:szCs w:val="20"/>
              </w:rPr>
            </w:pPr>
            <w:r>
              <w:t>0.566</w:t>
            </w:r>
          </w:p>
        </w:tc>
        <w:tc>
          <w:tcPr>
            <w:tcW w:w="691" w:type="pct"/>
            <w:tcMar>
              <w:top w:w="150" w:type="dxa"/>
              <w:left w:w="240" w:type="dxa"/>
              <w:bottom w:w="150" w:type="dxa"/>
              <w:right w:w="0" w:type="dxa"/>
            </w:tcMar>
            <w:vAlign w:val="center"/>
            <w:hideMark/>
          </w:tcPr>
          <w:p w14:paraId="71276F1F" w14:textId="77777777" w:rsidR="00265CF1" w:rsidRPr="00D71FF2" w:rsidRDefault="00265CF1" w:rsidP="00265CF1">
            <w:pPr>
              <w:rPr>
                <w:rFonts w:ascii="Times New Roman" w:hAnsi="Times New Roman" w:cs="Times New Roman"/>
                <w:sz w:val="18"/>
                <w:szCs w:val="20"/>
              </w:rPr>
            </w:pPr>
            <w:r>
              <w:t>Yes</w:t>
            </w:r>
          </w:p>
        </w:tc>
      </w:tr>
      <w:tr w:rsidR="00C91C8F" w:rsidRPr="00D71FF2" w14:paraId="0F5DBEC7" w14:textId="77777777" w:rsidTr="00C91C8F">
        <w:tc>
          <w:tcPr>
            <w:tcW w:w="570" w:type="pct"/>
            <w:tcMar>
              <w:top w:w="150" w:type="dxa"/>
              <w:left w:w="0" w:type="dxa"/>
              <w:bottom w:w="150" w:type="dxa"/>
              <w:right w:w="240" w:type="dxa"/>
            </w:tcMar>
            <w:vAlign w:val="center"/>
            <w:hideMark/>
          </w:tcPr>
          <w:p w14:paraId="51E6A1E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Fat-to-carbohydrate ratio</w:t>
            </w:r>
          </w:p>
        </w:tc>
        <w:tc>
          <w:tcPr>
            <w:tcW w:w="695" w:type="pct"/>
            <w:tcMar>
              <w:top w:w="150" w:type="dxa"/>
              <w:left w:w="240" w:type="dxa"/>
              <w:bottom w:w="150" w:type="dxa"/>
              <w:right w:w="240" w:type="dxa"/>
            </w:tcMar>
            <w:vAlign w:val="center"/>
            <w:hideMark/>
          </w:tcPr>
          <w:p w14:paraId="17DDAEB4" w14:textId="77777777" w:rsidR="00265CF1" w:rsidRPr="00D71FF2" w:rsidRDefault="00265CF1" w:rsidP="00265CF1">
            <w:pPr>
              <w:rPr>
                <w:rFonts w:ascii="Times New Roman" w:hAnsi="Times New Roman" w:cs="Times New Roman"/>
                <w:sz w:val="18"/>
                <w:szCs w:val="20"/>
              </w:rPr>
            </w:pPr>
            <w:r>
              <w:t>0.1141</w:t>
            </w:r>
          </w:p>
        </w:tc>
        <w:tc>
          <w:tcPr>
            <w:tcW w:w="633" w:type="pct"/>
            <w:tcMar>
              <w:top w:w="150" w:type="dxa"/>
              <w:left w:w="240" w:type="dxa"/>
              <w:bottom w:w="150" w:type="dxa"/>
              <w:right w:w="240" w:type="dxa"/>
            </w:tcMar>
            <w:vAlign w:val="center"/>
            <w:hideMark/>
          </w:tcPr>
          <w:p w14:paraId="2E83E112" w14:textId="77777777" w:rsidR="00265CF1" w:rsidRPr="00D71FF2" w:rsidRDefault="00265CF1" w:rsidP="00265CF1">
            <w:pPr>
              <w:rPr>
                <w:rFonts w:ascii="Times New Roman" w:hAnsi="Times New Roman" w:cs="Times New Roman"/>
                <w:sz w:val="18"/>
                <w:szCs w:val="20"/>
              </w:rPr>
            </w:pPr>
            <w:r>
              <w:t>0.1414</w:t>
            </w:r>
          </w:p>
        </w:tc>
        <w:tc>
          <w:tcPr>
            <w:tcW w:w="430" w:type="pct"/>
            <w:tcMar>
              <w:top w:w="150" w:type="dxa"/>
              <w:left w:w="240" w:type="dxa"/>
              <w:bottom w:w="150" w:type="dxa"/>
              <w:right w:w="240" w:type="dxa"/>
            </w:tcMar>
            <w:vAlign w:val="center"/>
            <w:hideMark/>
          </w:tcPr>
          <w:p w14:paraId="145E336D" w14:textId="77777777" w:rsidR="00265CF1" w:rsidRPr="00D71FF2" w:rsidRDefault="00265CF1" w:rsidP="00265CF1">
            <w:pPr>
              <w:rPr>
                <w:rFonts w:ascii="Times New Roman" w:hAnsi="Times New Roman" w:cs="Times New Roman"/>
                <w:sz w:val="18"/>
                <w:szCs w:val="20"/>
              </w:rPr>
            </w:pPr>
            <w:r>
              <w:t>24.0</w:t>
            </w:r>
          </w:p>
        </w:tc>
        <w:tc>
          <w:tcPr>
            <w:tcW w:w="930" w:type="pct"/>
            <w:tcMar>
              <w:top w:w="150" w:type="dxa"/>
              <w:left w:w="240" w:type="dxa"/>
              <w:bottom w:w="150" w:type="dxa"/>
              <w:right w:w="240" w:type="dxa"/>
            </w:tcMar>
            <w:vAlign w:val="center"/>
            <w:hideMark/>
          </w:tcPr>
          <w:p w14:paraId="7CE7A5CD" w14:textId="77777777" w:rsidR="00265CF1" w:rsidRPr="00D71FF2" w:rsidRDefault="00265CF1" w:rsidP="00265CF1">
            <w:pPr>
              <w:rPr>
                <w:rFonts w:ascii="Times New Roman" w:hAnsi="Times New Roman" w:cs="Times New Roman"/>
                <w:sz w:val="18"/>
                <w:szCs w:val="20"/>
              </w:rPr>
            </w:pPr>
            <w:r>
              <w:t>0.586</w:t>
            </w:r>
          </w:p>
        </w:tc>
        <w:tc>
          <w:tcPr>
            <w:tcW w:w="1052" w:type="pct"/>
            <w:tcMar>
              <w:top w:w="150" w:type="dxa"/>
              <w:left w:w="240" w:type="dxa"/>
              <w:bottom w:w="150" w:type="dxa"/>
              <w:right w:w="240" w:type="dxa"/>
            </w:tcMar>
            <w:vAlign w:val="center"/>
            <w:hideMark/>
          </w:tcPr>
          <w:p w14:paraId="5DD09511" w14:textId="77777777" w:rsidR="00265CF1" w:rsidRPr="00D71FF2" w:rsidRDefault="00265CF1" w:rsidP="00265CF1">
            <w:pPr>
              <w:rPr>
                <w:rFonts w:ascii="Times New Roman" w:hAnsi="Times New Roman" w:cs="Times New Roman"/>
                <w:sz w:val="18"/>
                <w:szCs w:val="20"/>
              </w:rPr>
            </w:pPr>
            <w:r>
              <w:t>0.731</w:t>
            </w:r>
          </w:p>
        </w:tc>
        <w:tc>
          <w:tcPr>
            <w:tcW w:w="691" w:type="pct"/>
            <w:tcMar>
              <w:top w:w="150" w:type="dxa"/>
              <w:left w:w="240" w:type="dxa"/>
              <w:bottom w:w="150" w:type="dxa"/>
              <w:right w:w="0" w:type="dxa"/>
            </w:tcMar>
            <w:vAlign w:val="center"/>
            <w:hideMark/>
          </w:tcPr>
          <w:p w14:paraId="25F3A716" w14:textId="77777777" w:rsidR="00265CF1" w:rsidRPr="00D71FF2" w:rsidRDefault="00265CF1" w:rsidP="00265CF1">
            <w:pPr>
              <w:rPr>
                <w:rFonts w:ascii="Times New Roman" w:hAnsi="Times New Roman" w:cs="Times New Roman"/>
                <w:sz w:val="18"/>
                <w:szCs w:val="20"/>
              </w:rPr>
            </w:pPr>
            <w:r>
              <w:t>Yes</w:t>
            </w:r>
          </w:p>
        </w:tc>
      </w:tr>
    </w:tbl>
    <w:p w14:paraId="1A6C8C39" w14:textId="4DFDB445" w:rsidR="00265CF1" w:rsidRPr="00D71FF2" w:rsidRDefault="00265CF1" w:rsidP="00265CF1">
      <w:pPr>
        <w:rPr>
          <w:rFonts w:ascii="Times New Roman" w:hAnsi="Times New Roman" w:cs="Times New Roman"/>
          <w:i/>
          <w:iCs/>
        </w:rPr>
      </w:pPr>
      <w:r>
        <w:t>All differences significant at P &lt; 0.001 in both true and inferred analyses. Relative Change (%) = (|inferred d| − |true d|) / |true d| × 100.</w:t>
      </w:r>
    </w:p>
    <w:p w14:paraId="707C9BB7" w14:textId="198A2204" w:rsidR="000F1E49" w:rsidRPr="00D71FF2" w:rsidRDefault="000F1E49" w:rsidP="000F1E49">
      <w:pPr>
        <w:rPr>
          <w:rFonts w:ascii="Times New Roman" w:hAnsi="Times New Roman" w:cs="Times New Roman"/>
        </w:rPr>
      </w:pPr>
      <w:r w:rsidRPr="00D71FF2">
        <w:rPr>
          <w:rFonts w:ascii="Times New Roman" w:hAnsi="Times New Roman" w:cs="Times New Roman"/>
          <w:b/>
          <w:bCs/>
        </w:rPr>
        <w:t>Figure 5.</w:t>
      </w:r>
      <w:r w:rsidRPr="00D71FF2">
        <w:rPr>
          <w:rFonts w:ascii="Times New Roman" w:hAnsi="Times New Roman" w:cs="Times New Roman"/>
        </w:rPr>
        <w:t> Downstream epidemiological bias assessment under 30% simulated missingness. Comparison of urban–rural effect sizes (Cohen's </w:t>
      </w:r>
      <w:r w:rsidRPr="00D71FF2">
        <w:rPr>
          <w:rFonts w:ascii="Times New Roman" w:hAnsi="Times New Roman" w:cs="Times New Roman"/>
          <w:i/>
          <w:iCs/>
        </w:rPr>
        <w:t>d</w:t>
      </w:r>
      <w:r w:rsidRPr="00D71FF2">
        <w:rPr>
          <w:rFonts w:ascii="Times New Roman" w:hAnsi="Times New Roman" w:cs="Times New Roman"/>
        </w:rPr>
        <w:t>) computed using true labels versus inferred labels for four macronutrient features. Error bars represent 95% confidence intervals from bootstrap resampling (n = 2,000).</w:t>
      </w:r>
    </w:p>
    <w:p w14:paraId="6EE036E4" w14:textId="77777777" w:rsidR="00265CF1" w:rsidRPr="00D71FF2" w:rsidRDefault="00265CF1" w:rsidP="0080027F">
      <w:pPr>
        <w:pStyle w:val="3"/>
      </w:pPr>
      <w:r w:rsidRPr="00D71FF2">
        <w:t>Supplementary Analyses</w:t>
      </w:r>
    </w:p>
    <w:p w14:paraId="72547A5E" w14:textId="77777777" w:rsidR="00E76D46" w:rsidRPr="00E76D46" w:rsidRDefault="00E76D46" w:rsidP="00E76D46">
      <w:pPr>
        <w:rPr>
          <w:rFonts w:ascii="Times New Roman" w:hAnsi="Times New Roman" w:cs="Times New Roman"/>
        </w:rPr>
      </w:pPr>
      <w:r>
        <w:t>Feature-set ablation showed that macronutrients and spatiotemporal covariates contributed jointly to performance (full model accuracy 0.782; macronutrients only 0.769; year and province only 0.518; Supplementary Table S4).</w:t>
      </w:r>
    </w:p>
    <w:p w14:paraId="22502E5F" w14:textId="77777777" w:rsidR="00E76D46" w:rsidRPr="00E76D46" w:rsidRDefault="00E76D46" w:rsidP="00E76D46">
      <w:pPr>
        <w:rPr>
          <w:rFonts w:ascii="Times New Roman" w:hAnsi="Times New Roman" w:cs="Times New Roman"/>
        </w:rPr>
      </w:pPr>
      <w:r w:rsidRPr="00E76D46">
        <w:rPr>
          <w:rFonts w:ascii="Times New Roman" w:hAnsi="Times New Roman" w:cs="Times New Roman"/>
        </w:rPr>
        <w:lastRenderedPageBreak/>
        <w:t>Feature importance analysis showed that multiple macronutrient indicators contributed to classification (</w:t>
      </w:r>
      <w:r w:rsidRPr="00E76D46">
        <w:rPr>
          <w:rFonts w:ascii="Times New Roman" w:hAnsi="Times New Roman" w:cs="Times New Roman"/>
          <w:b/>
          <w:bCs/>
        </w:rPr>
        <w:t>Supplementary Table S1</w:t>
      </w:r>
      <w:r w:rsidRPr="00E76D46">
        <w:rPr>
          <w:rFonts w:ascii="Times New Roman" w:hAnsi="Times New Roman" w:cs="Times New Roman"/>
        </w:rPr>
        <w:t>), with fat energy ratio being the most influential (mean |SHAP| = 0.554), followed by carbohydrate energy ratio (0.148) and protein energy ratio (0.144). The SHAP summary plot illustrates the directional effects of each feature on Urban classification (</w:t>
      </w:r>
      <w:r w:rsidRPr="00E76D46">
        <w:rPr>
          <w:rFonts w:ascii="Times New Roman" w:hAnsi="Times New Roman" w:cs="Times New Roman"/>
          <w:b/>
          <w:bCs/>
        </w:rPr>
        <w:t>Supplementary Figure S1</w:t>
      </w:r>
      <w:r w:rsidRPr="00E76D46">
        <w:rPr>
          <w:rFonts w:ascii="Times New Roman" w:hAnsi="Times New Roman" w:cs="Times New Roman"/>
        </w:rPr>
        <w:t xml:space="preserve">). Interaction analysis revealed that 19.8% of the framework's predictive power derived from pairwise feature interactions, with the strongest interaction between fat and carbohydrate energy ratios (interaction strength = 0.051; </w:t>
      </w:r>
      <w:r w:rsidRPr="00E76D46">
        <w:rPr>
          <w:rFonts w:ascii="Times New Roman" w:hAnsi="Times New Roman" w:cs="Times New Roman"/>
          <w:b/>
          <w:bCs/>
        </w:rPr>
        <w:t>Supplementary Table S2</w:t>
      </w:r>
      <w:r w:rsidRPr="00E76D46">
        <w:rPr>
          <w:rFonts w:ascii="Times New Roman" w:hAnsi="Times New Roman" w:cs="Times New Roman"/>
        </w:rPr>
        <w:t>).</w:t>
      </w:r>
    </w:p>
    <w:p w14:paraId="14ACAD7D" w14:textId="0535A7A9" w:rsidR="009F3126" w:rsidRPr="009F3126" w:rsidRDefault="00E76D46" w:rsidP="009F3126">
      <w:pPr>
        <w:rPr>
          <w:rFonts w:ascii="Times New Roman" w:hAnsi="Times New Roman" w:cs="Times New Roman"/>
        </w:rPr>
      </w:pPr>
      <w:r>
        <w:t>Leave-one-province-out validation demonstrated spatial generalisability, with mean accuracy 0.737 (SD 0.052) across provinces (Supplementary Table S3). Category-specific accuracy remained stable across missing rates (Supplementary Table S5).</w:t>
      </w:r>
    </w:p>
    <w:p w14:paraId="25C773F8" w14:textId="77777777" w:rsidR="00C5043E" w:rsidRPr="00D71FF2" w:rsidRDefault="00C5043E" w:rsidP="00C5043E">
      <w:pPr>
        <w:pStyle w:val="2"/>
      </w:pPr>
      <w:r w:rsidRPr="00D71FF2">
        <w:t>Discussion</w:t>
      </w:r>
    </w:p>
    <w:p w14:paraId="6FB8AA69" w14:textId="77777777" w:rsidR="00C5043E" w:rsidRPr="00D71FF2" w:rsidRDefault="00C5043E" w:rsidP="00C5043E">
      <w:pPr>
        <w:pStyle w:val="3"/>
      </w:pPr>
      <w:r w:rsidRPr="00D71FF2">
        <w:t>Principal Findings</w:t>
      </w:r>
    </w:p>
    <w:p w14:paraId="11B8965C" w14:textId="65B2DCA5" w:rsidR="009511FE" w:rsidRPr="009511FE" w:rsidRDefault="00F4488C" w:rsidP="009511FE">
      <w:pPr>
        <w:rPr>
          <w:rFonts w:ascii="Times New Roman" w:hAnsi="Times New Roman" w:cs="Times New Roman"/>
        </w:rPr>
      </w:pPr>
      <w:r>
        <w:t>In this study, we developed and evaluated a statistical framework for inferring missing administrative urban–rural labels from dietary survey data. Using CHNS as an illustrative cohort with complete T2 labels, we showed that inference accuracy under masked labels was moderate and stable across missingness levels and survey years (accuracy approximately 0.78–0.79 under the three-class descriptive framework; binary primary task accuracy: 0.716). Downstream analyses preserved direction and statistical significance of urban–rural contrasts, although effect sizes were moderately inflated.</w:t>
      </w:r>
    </w:p>
    <w:p w14:paraId="716D121F" w14:textId="77777777" w:rsidR="009511FE" w:rsidRPr="009511FE" w:rsidRDefault="009511FE" w:rsidP="009511FE">
      <w:pPr>
        <w:rPr>
          <w:rFonts w:ascii="Times New Roman" w:hAnsi="Times New Roman" w:cs="Times New Roman"/>
        </w:rPr>
      </w:pPr>
      <w:r>
        <w:t>Three findings are particularly relevant for methodological applications in survey statistics.</w:t>
      </w:r>
    </w:p>
    <w:p w14:paraId="005D3324" w14:textId="0FD44B5D" w:rsidR="009511FE" w:rsidRPr="009511FE" w:rsidRDefault="009511FE" w:rsidP="009511FE">
      <w:pPr>
        <w:rPr>
          <w:rFonts w:ascii="Times New Roman" w:hAnsi="Times New Roman" w:cs="Times New Roman"/>
        </w:rPr>
      </w:pPr>
      <w:r>
        <w:t>First, the framework demonstrated stable performance under realistic data constraints. Inference accuracy varied minimally across missing rates from 10% to 70%, and temporal validation indicated mean leave-one-year-out accuracy of 0.776. These results support application in incomplete longitudinal dietary datasets.</w:t>
      </w:r>
    </w:p>
    <w:p w14:paraId="127F9392" w14:textId="77777777" w:rsidR="009511FE" w:rsidRPr="009511FE" w:rsidRDefault="009511FE" w:rsidP="009511FE">
      <w:pPr>
        <w:rPr>
          <w:rFonts w:ascii="Times New Roman" w:hAnsi="Times New Roman" w:cs="Times New Roman"/>
        </w:rPr>
      </w:pPr>
      <w:r>
        <w:t>Second, the Transitional stratum captures intermediate macronutrient profiles within both administrative Rural and Urban groups. Because this stratum is defined by a FatER band, high Transitional inference accuracy should be interpreted alongside the more challenging Urban administrative classification (accuracy 0.421 under 30% simulated missingness).</w:t>
      </w:r>
    </w:p>
    <w:p w14:paraId="434CF0F4" w14:textId="77777777" w:rsidR="009511FE" w:rsidRPr="009511FE" w:rsidRDefault="009511FE" w:rsidP="009511FE">
      <w:pPr>
        <w:rPr>
          <w:rFonts w:ascii="Times New Roman" w:hAnsi="Times New Roman" w:cs="Times New Roman"/>
        </w:rPr>
      </w:pPr>
      <w:r>
        <w:t>Third, downstream analyses preserved the direction and statistical significance of dietary differences, with moderate inflation of Cohen's d (22–32%). Substantive conclusions were unchanged under the evaluation protocol used here.</w:t>
      </w:r>
    </w:p>
    <w:p w14:paraId="4BC16CCA" w14:textId="77777777" w:rsidR="00C5043E" w:rsidRPr="00D71FF2" w:rsidRDefault="00C5043E" w:rsidP="00C5043E">
      <w:pPr>
        <w:pStyle w:val="3"/>
      </w:pPr>
      <w:r w:rsidRPr="00D71FF2">
        <w:t>Comparison with Existing Approaches</w:t>
      </w:r>
    </w:p>
    <w:p w14:paraId="09BF1918" w14:textId="77777777" w:rsidR="00721AEC" w:rsidRPr="00721AEC" w:rsidRDefault="00721AEC" w:rsidP="00721AEC">
      <w:pPr>
        <w:rPr>
          <w:rFonts w:ascii="Times New Roman" w:hAnsi="Times New Roman" w:cs="Times New Roman"/>
        </w:rPr>
      </w:pPr>
      <w:r>
        <w:t>In this study, the proposed framework showed incremental improvements over conventional imputation methods under simulated label missingness (accuracy 0.786 vs. KNN 0.721, MICE 0.673, and random forest imputation 0.777; Table 3). Most prior approaches to missing data in nutritional epidemiology have focused on imputing nutrient values rather than contextual variables; the present protocol evaluates categorical label recovery under a unified missingness simulation design.</w:t>
      </w:r>
    </w:p>
    <w:p w14:paraId="413A30A5" w14:textId="77777777" w:rsidR="00721AEC" w:rsidRPr="00721AEC" w:rsidRDefault="00721AEC" w:rsidP="00721AEC">
      <w:pPr>
        <w:rPr>
          <w:rFonts w:ascii="Times New Roman" w:hAnsi="Times New Roman" w:cs="Times New Roman"/>
        </w:rPr>
      </w:pPr>
      <w:r>
        <w:t>The performance of MICE relative to tree-based methods suggests that the relationship between macronutrient composition and administrative residence is inherently non-linear and interaction-dominated, where linear or locally linear imputation assumptions may be suboptimal.</w:t>
      </w:r>
    </w:p>
    <w:p>
      <w:r>
        <w:t>Given high Rural recall and rural positive predictive value in the binary task, the framework is best positioned as a high-specificity screening tool for identifying non-urban dietary patterns, or for assigning probabilistic weights in sensitivity analyses rather than producing deterministic universal classifications. Methodologically, it is intended for datasets where administrative contextual labels are missing but macronutrient and spatiotemporal fields are available.</w:t>
      </w:r>
    </w:p>
    <w:p w14:paraId="43A4F29E" w14:textId="77777777" w:rsidR="00C5043E" w:rsidRPr="00D71FF2" w:rsidRDefault="00C5043E" w:rsidP="00C5043E">
      <w:pPr>
        <w:pStyle w:val="3"/>
      </w:pPr>
      <w:r>
        <w:t>### Strengths</w:t>
      </w:r>
    </w:p>
    <w:p w14:paraId="374C4C84" w14:textId="77777777" w:rsidR="00721AEC" w:rsidRPr="00721AEC" w:rsidRDefault="00721AEC" w:rsidP="00721AEC">
      <w:pPr>
        <w:rPr>
          <w:rFonts w:ascii="Times New Roman" w:hAnsi="Times New Roman" w:cs="Times New Roman"/>
        </w:rPr>
      </w:pPr>
      <w:r>
        <w:t>This study has several strengths. First, the large sample size and longitudinal design enabled robust evaluation across time. Second, the multi-tiered evaluation framework assesses performance beyond accuracy, including distributional agreement, temporal generalisability, calibration, and preservation of epidemiological associations. Third, comparison against multiple baseline imputation methods supports interpretability relative to existing approaches.</w:t>
      </w:r>
    </w:p>
    <w:p>
      <w:r>
        <w:t>### Limitations</w:t>
      </w:r>
    </w:p>
    <w:p w14:paraId="05204836" w14:textId="77777777" w:rsidR="00721AEC" w:rsidRPr="00721AEC" w:rsidRDefault="00721AEC" w:rsidP="00721AEC">
      <w:pPr>
        <w:rPr>
          <w:rFonts w:ascii="Times New Roman" w:hAnsi="Times New Roman" w:cs="Times New Roman"/>
        </w:rPr>
      </w:pPr>
      <w:r>
        <w:t>Several limitations should be considered. First, the three-category outcome combines administrative T2 labels with a FatER-defined transitional stratum. This creates partial definitional overlap between the Transitional category and macronutrient predictors. Therefore, all primary conclusions regarding inference accuracy are based on the binary Rural/Urban discrimination task; three-class results are presented for descriptive completeness only.</w:t>
      </w:r>
    </w:p>
    <w:p w14:paraId="427EF471" w14:textId="77777777" w:rsidR="00721AEC" w:rsidRPr="00721AEC" w:rsidRDefault="00721AEC" w:rsidP="00721AEC">
      <w:pPr>
        <w:rPr>
          <w:rFonts w:ascii="Times New Roman" w:hAnsi="Times New Roman" w:cs="Times New Roman"/>
        </w:rPr>
      </w:pPr>
      <w:r>
        <w:t>Second, the framework was developed using data from a single country. Although internal validation suggests robustness across time and regions within China, external validation in other populations is needed.</w:t>
      </w:r>
    </w:p>
    <w:p w14:paraId="1B746F11"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Third, the approach focuses on urban–rural classification and does not address other contextual variables that may be missing or inconsistently recorded. Extending this framework to additional dimensions of context represents an important area for future research.</w:t>
      </w:r>
    </w:p>
    <w:p w14:paraId="21D45446" w14:textId="60F704F3" w:rsidR="00C5043E" w:rsidRPr="00D71FF2" w:rsidRDefault="00721AEC" w:rsidP="00C5043E">
      <w:pPr>
        <w:rPr>
          <w:rFonts w:ascii="Times New Roman" w:hAnsi="Times New Roman" w:cs="Times New Roman"/>
        </w:rPr>
      </w:pPr>
      <w:r w:rsidRPr="00721AEC">
        <w:rPr>
          <w:rFonts w:ascii="Times New Roman" w:hAnsi="Times New Roman" w:cs="Times New Roman"/>
        </w:rPr>
        <w:t>Fourth, dietary intake was assessed using short-term recall data, which may not fully reflect habitual intake. However, the use of multiple recall days aligns with standard practice in large-scale surveys.</w:t>
      </w:r>
    </w:p>
    <w:p w14:paraId="43D0B22F" w14:textId="26410FFD" w:rsidR="00F4488C" w:rsidRPr="00D71FF2" w:rsidRDefault="00F4488C" w:rsidP="00C5043E">
      <w:pPr>
        <w:rPr>
          <w:rFonts w:ascii="Times New Roman" w:hAnsi="Times New Roman" w:cs="Times New Roman"/>
        </w:rPr>
      </w:pPr>
      <w:r>
        <w:t>Inferred labels are probabilistic proxies for administrative residence when labels are missing; they should not be treated as replacements for T2 in settings where administrative classification is available.</w:t>
      </w:r>
    </w:p>
    <w:p w14:paraId="69B1BE45" w14:textId="77777777" w:rsidR="00C5043E" w:rsidRPr="00D71FF2" w:rsidRDefault="00C5043E" w:rsidP="00C5043E">
      <w:pPr>
        <w:pStyle w:val="3"/>
      </w:pPr>
      <w:r w:rsidRPr="00D71FF2">
        <w:t>Future Directions</w:t>
      </w:r>
    </w:p>
    <w:p w14:paraId="1D4DF32A"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Future work should </w:t>
      </w:r>
      <w:proofErr w:type="spellStart"/>
      <w:r w:rsidRPr="00721AEC">
        <w:rPr>
          <w:rFonts w:ascii="Times New Roman" w:hAnsi="Times New Roman" w:cs="Times New Roman"/>
        </w:rPr>
        <w:t>prioritise</w:t>
      </w:r>
      <w:proofErr w:type="spellEnd"/>
      <w:r w:rsidRPr="00721AEC">
        <w:rPr>
          <w:rFonts w:ascii="Times New Roman" w:hAnsi="Times New Roman" w:cs="Times New Roman"/>
        </w:rPr>
        <w:t xml:space="preserve"> </w:t>
      </w:r>
      <w:r w:rsidRPr="00721AEC">
        <w:rPr>
          <w:rFonts w:ascii="Times New Roman" w:hAnsi="Times New Roman" w:cs="Times New Roman"/>
          <w:b/>
          <w:bCs/>
        </w:rPr>
        <w:t>external validation</w:t>
      </w:r>
      <w:r w:rsidRPr="00721AEC">
        <w:rPr>
          <w:rFonts w:ascii="Times New Roman" w:hAnsi="Times New Roman" w:cs="Times New Roman"/>
        </w:rPr>
        <w:t xml:space="preserve"> in diverse datasets, including those from different stages of nutrition transition. This would clarify the </w:t>
      </w:r>
      <w:proofErr w:type="spellStart"/>
      <w:r w:rsidRPr="00721AEC">
        <w:rPr>
          <w:rFonts w:ascii="Times New Roman" w:hAnsi="Times New Roman" w:cs="Times New Roman"/>
        </w:rPr>
        <w:t>generalisability</w:t>
      </w:r>
      <w:proofErr w:type="spellEnd"/>
      <w:r w:rsidRPr="00721AEC">
        <w:rPr>
          <w:rFonts w:ascii="Times New Roman" w:hAnsi="Times New Roman" w:cs="Times New Roman"/>
        </w:rPr>
        <w:t xml:space="preserve"> of both the inference framework and the three-category classification.</w:t>
      </w:r>
    </w:p>
    <w:p w14:paraId="52764DAD" w14:textId="193282A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Further methodological development could explore the inclusion of additional dietary indicators, such as food group intake or dietary quality scores, which may enhance performance. Extending the framework to </w:t>
      </w:r>
      <w:r w:rsidR="009621B0" w:rsidRPr="00D71FF2">
        <w:rPr>
          <w:rFonts w:ascii="Times New Roman" w:hAnsi="Times New Roman" w:cs="Times New Roman"/>
        </w:rPr>
        <w:t>infer</w:t>
      </w:r>
      <w:r w:rsidRPr="00721AEC">
        <w:rPr>
          <w:rFonts w:ascii="Times New Roman" w:hAnsi="Times New Roman" w:cs="Times New Roman"/>
        </w:rPr>
        <w:t xml:space="preserve"> other contextual variables—such as socioeconomic status or food environment characteristics—may also broaden its applicability.</w:t>
      </w:r>
    </w:p>
    <w:p w14:paraId="41AD7B59" w14:textId="77777777" w:rsidR="009621B0" w:rsidRPr="00D71FF2" w:rsidRDefault="00721AEC" w:rsidP="00721AEC">
      <w:pPr>
        <w:rPr>
          <w:rFonts w:ascii="Times New Roman" w:hAnsi="Times New Roman" w:cs="Times New Roman"/>
        </w:rPr>
      </w:pPr>
      <w:r w:rsidRPr="00721AEC">
        <w:rPr>
          <w:rFonts w:ascii="Times New Roman" w:hAnsi="Times New Roman" w:cs="Times New Roman"/>
        </w:rPr>
        <w:t>Finally, evaluating the impact of this approach in applied epidemiological studies will be important. Comparative analyses examining how different methods of handling missing contextual data affect study conclusions would provide practical guidance for researchers.</w:t>
      </w:r>
      <w:r w:rsidR="009621B0" w:rsidRPr="00D71FF2">
        <w:rPr>
          <w:rFonts w:ascii="Times New Roman" w:hAnsi="Times New Roman" w:cs="Times New Roman"/>
        </w:rPr>
        <w:t xml:space="preserve"> </w:t>
      </w:r>
    </w:p>
    <w:p w14:paraId="6F597B17" w14:textId="77777777" w:rsidR="00C5043E" w:rsidRPr="00D71FF2" w:rsidRDefault="00C5043E" w:rsidP="00C5043E">
      <w:pPr>
        <w:pStyle w:val="2"/>
      </w:pPr>
      <w:r w:rsidRPr="00D71FF2">
        <w:t>Conclusions</w:t>
      </w:r>
    </w:p>
    <w:p w14:paraId="7DC545A4" w14:textId="6F4F7D3B" w:rsidR="00CD67D4" w:rsidRPr="00D71FF2" w:rsidRDefault="00721AEC" w:rsidP="004A0444">
      <w:pPr>
        <w:rPr>
          <w:rFonts w:ascii="Times New Roman" w:hAnsi="Times New Roman" w:cs="Times New Roman"/>
        </w:rPr>
      </w:pPr>
      <w:r>
        <w:t>Administrative urban–rural context can be inferred from dietary and spatiotemporal information with moderate, non-trivial accuracy under a transparent evaluation protocol. The proposed framework provides a reproducible template for assessing label-imputation methods in nutritional surveys when contextual variables are incomplete.</w:t>
      </w:r>
    </w:p>
    <w:p w14:paraId="617DC991" w14:textId="77777777" w:rsidR="00B16B35" w:rsidRPr="00D71FF2" w:rsidRDefault="00B16B35" w:rsidP="00B16B35">
      <w:pPr>
        <w:pStyle w:val="2"/>
      </w:pPr>
      <w:r w:rsidRPr="00D71FF2">
        <w:t>Data Availability</w:t>
      </w:r>
    </w:p>
    <w:p w14:paraId="2BD076B9" w14:textId="29FA262A" w:rsidR="00B16B35" w:rsidRPr="00D71FF2" w:rsidRDefault="00B16B35" w:rsidP="00B16B35">
      <w:pPr>
        <w:rPr>
          <w:rFonts w:ascii="Times New Roman" w:hAnsi="Times New Roman" w:cs="Times New Roman"/>
        </w:rPr>
      </w:pPr>
      <w:r w:rsidRPr="00D71FF2">
        <w:rPr>
          <w:rFonts w:ascii="Times New Roman" w:hAnsi="Times New Roman" w:cs="Times New Roman"/>
        </w:rPr>
        <w:t>Analysis scripts and the pre-trained model are available at https://github.com/tyrone1979/nutri2-urban.</w:t>
      </w:r>
    </w:p>
    <w:p w14:paraId="6BDBCE5D" w14:textId="224D1180" w:rsidR="00CD67D4" w:rsidRPr="00D71FF2" w:rsidRDefault="00CD67D4" w:rsidP="00CD67D4">
      <w:pPr>
        <w:pStyle w:val="2"/>
      </w:pPr>
      <w:r w:rsidRPr="00D71FF2">
        <w:lastRenderedPageBreak/>
        <w:t>References</w:t>
      </w:r>
    </w:p>
    <w:p w14:paraId="17C7A321" w14:textId="77777777" w:rsidR="001A2DC4" w:rsidRPr="00D71FF2" w:rsidRDefault="00916050" w:rsidP="001A2DC4">
      <w:pPr>
        <w:pStyle w:val="ae"/>
        <w:rPr>
          <w:rFonts w:ascii="Times New Roman" w:hAnsi="Times New Roman" w:cs="Times New Roman"/>
        </w:rPr>
      </w:pPr>
      <w:r w:rsidRPr="00D71FF2">
        <w:rPr>
          <w:rFonts w:ascii="Times New Roman" w:hAnsi="Times New Roman" w:cs="Times New Roman"/>
        </w:rPr>
        <w:fldChar w:fldCharType="begin"/>
      </w:r>
      <w:r w:rsidR="001D5D8F" w:rsidRPr="00D71FF2">
        <w:rPr>
          <w:rFonts w:ascii="Times New Roman" w:hAnsi="Times New Roman" w:cs="Times New Roman"/>
        </w:rPr>
        <w:instrText xml:space="preserve"> ADDIN ZOTERO_BIBL {"uncited":[],"omitted":[],"custom":[]} CSL_BIBLIOGRAPHY </w:instrText>
      </w:r>
      <w:r w:rsidRPr="00D71FF2">
        <w:rPr>
          <w:rFonts w:ascii="Times New Roman" w:hAnsi="Times New Roman" w:cs="Times New Roman"/>
        </w:rPr>
        <w:fldChar w:fldCharType="separate"/>
      </w:r>
      <w:r w:rsidR="001A2DC4" w:rsidRPr="00D71FF2">
        <w:rPr>
          <w:rFonts w:ascii="Times New Roman" w:hAnsi="Times New Roman" w:cs="Times New Roman"/>
        </w:rPr>
        <w:t xml:space="preserve">1. </w:t>
      </w:r>
      <w:r w:rsidR="001A2DC4" w:rsidRPr="00D71FF2">
        <w:rPr>
          <w:rFonts w:ascii="Times New Roman" w:hAnsi="Times New Roman" w:cs="Times New Roman"/>
        </w:rPr>
        <w:tab/>
        <w:t xml:space="preserve">Popkin BM &amp; Ng SW (2022) The nutrition transition to a stage of high obesity and noncommunicable disease prevalence dominated by ultra-processed foods is not inevitable. </w:t>
      </w:r>
      <w:r w:rsidR="001A2DC4" w:rsidRPr="00D71FF2">
        <w:rPr>
          <w:rFonts w:ascii="Times New Roman" w:hAnsi="Times New Roman" w:cs="Times New Roman"/>
          <w:i/>
          <w:iCs/>
        </w:rPr>
        <w:t>Obesity Reviews</w:t>
      </w:r>
      <w:r w:rsidR="001A2DC4" w:rsidRPr="00D71FF2">
        <w:rPr>
          <w:rFonts w:ascii="Times New Roman" w:hAnsi="Times New Roman" w:cs="Times New Roman"/>
        </w:rPr>
        <w:t xml:space="preserve"> </w:t>
      </w:r>
      <w:r w:rsidR="001A2DC4" w:rsidRPr="00D71FF2">
        <w:rPr>
          <w:rFonts w:ascii="Times New Roman" w:hAnsi="Times New Roman" w:cs="Times New Roman"/>
          <w:b/>
          <w:bCs/>
        </w:rPr>
        <w:t>23</w:t>
      </w:r>
      <w:r w:rsidR="001A2DC4" w:rsidRPr="00D71FF2">
        <w:rPr>
          <w:rFonts w:ascii="Times New Roman" w:hAnsi="Times New Roman" w:cs="Times New Roman"/>
        </w:rPr>
        <w:t>, e13366.</w:t>
      </w:r>
    </w:p>
    <w:p w14:paraId="60C9F47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 </w:t>
      </w:r>
      <w:r w:rsidRPr="00D71FF2">
        <w:rPr>
          <w:rFonts w:ascii="Times New Roman" w:hAnsi="Times New Roman" w:cs="Times New Roman"/>
        </w:rPr>
        <w:tab/>
        <w:t xml:space="preserve">von Braun J, Afsana K, Fresco LO, et al. (2021) Food system concepts and definitions for science and political action. </w:t>
      </w:r>
      <w:r w:rsidRPr="00D71FF2">
        <w:rPr>
          <w:rFonts w:ascii="Times New Roman" w:hAnsi="Times New Roman" w:cs="Times New Roman"/>
          <w:i/>
          <w:iCs/>
        </w:rPr>
        <w:t>Nature Food</w:t>
      </w:r>
      <w:r w:rsidRPr="00D71FF2">
        <w:rPr>
          <w:rFonts w:ascii="Times New Roman" w:hAnsi="Times New Roman" w:cs="Times New Roman"/>
        </w:rPr>
        <w:t xml:space="preserve"> </w:t>
      </w:r>
      <w:r w:rsidRPr="00D71FF2">
        <w:rPr>
          <w:rFonts w:ascii="Times New Roman" w:hAnsi="Times New Roman" w:cs="Times New Roman"/>
          <w:b/>
          <w:bCs/>
        </w:rPr>
        <w:t>2</w:t>
      </w:r>
      <w:r w:rsidRPr="00D71FF2">
        <w:rPr>
          <w:rFonts w:ascii="Times New Roman" w:hAnsi="Times New Roman" w:cs="Times New Roman"/>
        </w:rPr>
        <w:t>, 748–750.</w:t>
      </w:r>
    </w:p>
    <w:p w14:paraId="3EB3698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3. </w:t>
      </w:r>
      <w:r w:rsidRPr="00D71FF2">
        <w:rPr>
          <w:rFonts w:ascii="Times New Roman" w:hAnsi="Times New Roman" w:cs="Times New Roman"/>
        </w:rPr>
        <w:tab/>
        <w:t xml:space="preserve">Turner C, Kalamatianou S, Drewnowski A, et al. (2020) Food Environment Research in Low- and Middle-Income Countries: A Systematic Scoping Review.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11</w:t>
      </w:r>
      <w:r w:rsidRPr="00D71FF2">
        <w:rPr>
          <w:rFonts w:ascii="Times New Roman" w:hAnsi="Times New Roman" w:cs="Times New Roman"/>
        </w:rPr>
        <w:t>, 387–397.</w:t>
      </w:r>
    </w:p>
    <w:p w14:paraId="03E3DE53"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4. </w:t>
      </w:r>
      <w:r w:rsidRPr="00D71FF2">
        <w:rPr>
          <w:rFonts w:ascii="Times New Roman" w:hAnsi="Times New Roman" w:cs="Times New Roman"/>
        </w:rPr>
        <w:tab/>
        <w:t xml:space="preserve">Vandevijvere S, Jaacks LM, Monteiro CA, et al. (2019) Global trends in ultraprocessed food and drink product sales and their association with adult body mass index trajectories.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20</w:t>
      </w:r>
      <w:r w:rsidRPr="00D71FF2">
        <w:rPr>
          <w:rFonts w:ascii="Times New Roman" w:hAnsi="Times New Roman" w:cs="Times New Roman"/>
        </w:rPr>
        <w:t>, 10–19.</w:t>
      </w:r>
    </w:p>
    <w:p w14:paraId="57D4C2C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5. </w:t>
      </w:r>
      <w:r w:rsidRPr="00D71FF2">
        <w:rPr>
          <w:rFonts w:ascii="Times New Roman" w:hAnsi="Times New Roman" w:cs="Times New Roman"/>
        </w:rPr>
        <w:tab/>
        <w:t xml:space="preserve">Murray CJL, Aravkin AY, Zheng P, et al. (2020) Global burden of 87 risk factors in 204 countries and territories, 1990–2019: a systematic analysis for the Global Burden of Disease Study 2019.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396</w:t>
      </w:r>
      <w:r w:rsidRPr="00D71FF2">
        <w:rPr>
          <w:rFonts w:ascii="Times New Roman" w:hAnsi="Times New Roman" w:cs="Times New Roman"/>
        </w:rPr>
        <w:t>, 1223–1249. Elsevier.</w:t>
      </w:r>
    </w:p>
    <w:p w14:paraId="184262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6. </w:t>
      </w:r>
      <w:r w:rsidRPr="00D71FF2">
        <w:rPr>
          <w:rFonts w:ascii="Times New Roman" w:hAnsi="Times New Roman" w:cs="Times New Roman"/>
        </w:rPr>
        <w:tab/>
        <w:t xml:space="preserve">Afshin A, Sur PJ, Fay KA, et al. (2019) Health effects of dietary risks in 195 countries, 1990–2017: a systematic analysis for the Global Burden of Disease Study 2017.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393</w:t>
      </w:r>
      <w:r w:rsidRPr="00D71FF2">
        <w:rPr>
          <w:rFonts w:ascii="Times New Roman" w:hAnsi="Times New Roman" w:cs="Times New Roman"/>
        </w:rPr>
        <w:t>, 1958–1972. Elsevier.</w:t>
      </w:r>
    </w:p>
    <w:p w14:paraId="45DA153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7. </w:t>
      </w:r>
      <w:r w:rsidRPr="00D71FF2">
        <w:rPr>
          <w:rFonts w:ascii="Times New Roman" w:hAnsi="Times New Roman" w:cs="Times New Roman"/>
        </w:rPr>
        <w:tab/>
        <w:t xml:space="preserve">Turner C, Aggarwal A, Walls H, et al. (2018) Concepts and critical perspectives for food environment research: A global framework with implications for action in low- and middle-income countries. </w:t>
      </w:r>
      <w:r w:rsidRPr="00D71FF2">
        <w:rPr>
          <w:rFonts w:ascii="Times New Roman" w:hAnsi="Times New Roman" w:cs="Times New Roman"/>
          <w:i/>
          <w:iCs/>
        </w:rPr>
        <w:t>Global Food Security</w:t>
      </w:r>
      <w:r w:rsidRPr="00D71FF2">
        <w:rPr>
          <w:rFonts w:ascii="Times New Roman" w:hAnsi="Times New Roman" w:cs="Times New Roman"/>
        </w:rPr>
        <w:t xml:space="preserve"> </w:t>
      </w:r>
      <w:r w:rsidRPr="00D71FF2">
        <w:rPr>
          <w:rFonts w:ascii="Times New Roman" w:hAnsi="Times New Roman" w:cs="Times New Roman"/>
          <w:b/>
          <w:bCs/>
        </w:rPr>
        <w:t>18</w:t>
      </w:r>
      <w:r w:rsidRPr="00D71FF2">
        <w:rPr>
          <w:rFonts w:ascii="Times New Roman" w:hAnsi="Times New Roman" w:cs="Times New Roman"/>
        </w:rPr>
        <w:t>, 93–101.</w:t>
      </w:r>
    </w:p>
    <w:p w14:paraId="5A6D714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8. </w:t>
      </w:r>
      <w:r w:rsidRPr="00D71FF2">
        <w:rPr>
          <w:rFonts w:ascii="Times New Roman" w:hAnsi="Times New Roman" w:cs="Times New Roman"/>
        </w:rPr>
        <w:tab/>
        <w:t xml:space="preserve">Zhai FY, Du SF, Wang ZH, et al. (2014) Dynamics of the Chinese diet and the role of urbanicity, 1991–2011.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16–26.</w:t>
      </w:r>
    </w:p>
    <w:p w14:paraId="33A0239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9. </w:t>
      </w:r>
      <w:r w:rsidRPr="00D71FF2">
        <w:rPr>
          <w:rFonts w:ascii="Times New Roman" w:hAnsi="Times New Roman" w:cs="Times New Roman"/>
        </w:rPr>
        <w:tab/>
        <w:t xml:space="preserve">Zhao J, Zuo L, Sun J, et al. (2023) Geographic and urban–rural disparities in dietary energy and macronutrient composition among women of childbearing age: findings from the China health and nutrition survey,1991–2015. </w:t>
      </w:r>
      <w:r w:rsidRPr="00D71FF2">
        <w:rPr>
          <w:rFonts w:ascii="Times New Roman" w:hAnsi="Times New Roman" w:cs="Times New Roman"/>
          <w:i/>
          <w:iCs/>
        </w:rPr>
        <w:t>Nutrition Journal</w:t>
      </w:r>
      <w:r w:rsidRPr="00D71FF2">
        <w:rPr>
          <w:rFonts w:ascii="Times New Roman" w:hAnsi="Times New Roman" w:cs="Times New Roman"/>
        </w:rPr>
        <w:t xml:space="preserve"> </w:t>
      </w:r>
      <w:r w:rsidRPr="00D71FF2">
        <w:rPr>
          <w:rFonts w:ascii="Times New Roman" w:hAnsi="Times New Roman" w:cs="Times New Roman"/>
          <w:b/>
          <w:bCs/>
        </w:rPr>
        <w:t>22</w:t>
      </w:r>
      <w:r w:rsidRPr="00D71FF2">
        <w:rPr>
          <w:rFonts w:ascii="Times New Roman" w:hAnsi="Times New Roman" w:cs="Times New Roman"/>
        </w:rPr>
        <w:t>, 23.</w:t>
      </w:r>
    </w:p>
    <w:p w14:paraId="21811292"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10. </w:t>
      </w:r>
      <w:r w:rsidRPr="00D71FF2">
        <w:rPr>
          <w:rFonts w:ascii="Times New Roman" w:hAnsi="Times New Roman" w:cs="Times New Roman"/>
        </w:rPr>
        <w:tab/>
        <w:t xml:space="preserve">Huang L, Wang L, Jiang H, et al. (2023) Trends in dietary carbohydrates, protein and fat intake and diet quality among Chinese adults, 1991–2015: results from the China Health and Nutrition Survey.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26</w:t>
      </w:r>
      <w:r w:rsidRPr="00D71FF2">
        <w:rPr>
          <w:rFonts w:ascii="Times New Roman" w:hAnsi="Times New Roman" w:cs="Times New Roman"/>
        </w:rPr>
        <w:t>, 2022/10/05 edn, 834–843. Cambridge University Press.</w:t>
      </w:r>
    </w:p>
    <w:p w14:paraId="6FB23AE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11. </w:t>
      </w:r>
      <w:r w:rsidRPr="00D71FF2">
        <w:rPr>
          <w:rFonts w:ascii="Times New Roman" w:hAnsi="Times New Roman" w:cs="Times New Roman"/>
        </w:rPr>
        <w:tab/>
        <w:t xml:space="preserve">Zhang B, Zhai F, Du S, et al. (2014) The China Health and Nutrition Survey, 1989-2011.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2–7. Wiley Online Library.</w:t>
      </w:r>
    </w:p>
    <w:p w14:paraId="238AEE9D"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12. </w:t>
      </w:r>
      <w:r w:rsidRPr="00D71FF2">
        <w:rPr>
          <w:rFonts w:ascii="Times New Roman" w:hAnsi="Times New Roman" w:cs="Times New Roman"/>
        </w:rPr>
        <w:tab/>
        <w:t>National Center for Health Statistics (2024) NCHS Geographic Variables: Urban-Rural Classification. Centers for Disease Control and Prevention.</w:t>
      </w:r>
    </w:p>
    <w:p w14:paraId="23F0BB27"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13. </w:t>
      </w:r>
      <w:r w:rsidRPr="00D71FF2">
        <w:rPr>
          <w:rFonts w:ascii="Times New Roman" w:hAnsi="Times New Roman" w:cs="Times New Roman"/>
        </w:rPr>
        <w:tab/>
        <w:t xml:space="preserve">Brooks MM, Mueller JT &amp; Thiede BC (2020) County Reclassifications and Rural–Urban </w:t>
      </w:r>
      <w:r w:rsidRPr="00D71FF2">
        <w:rPr>
          <w:rFonts w:ascii="Times New Roman" w:hAnsi="Times New Roman" w:cs="Times New Roman"/>
        </w:rPr>
        <w:lastRenderedPageBreak/>
        <w:t xml:space="preserve">Mortality Disparities in the United States (1970–2018). </w:t>
      </w:r>
      <w:r w:rsidRPr="00D71FF2">
        <w:rPr>
          <w:rFonts w:ascii="Times New Roman" w:hAnsi="Times New Roman" w:cs="Times New Roman"/>
          <w:i/>
          <w:iCs/>
        </w:rPr>
        <w:t>Am J Public Health</w:t>
      </w:r>
      <w:r w:rsidRPr="00D71FF2">
        <w:rPr>
          <w:rFonts w:ascii="Times New Roman" w:hAnsi="Times New Roman" w:cs="Times New Roman"/>
        </w:rPr>
        <w:t xml:space="preserve"> </w:t>
      </w:r>
      <w:r w:rsidRPr="00D71FF2">
        <w:rPr>
          <w:rFonts w:ascii="Times New Roman" w:hAnsi="Times New Roman" w:cs="Times New Roman"/>
          <w:b/>
          <w:bCs/>
        </w:rPr>
        <w:t>110</w:t>
      </w:r>
      <w:r w:rsidRPr="00D71FF2">
        <w:rPr>
          <w:rFonts w:ascii="Times New Roman" w:hAnsi="Times New Roman" w:cs="Times New Roman"/>
        </w:rPr>
        <w:t>, 1814–1816. American Public Health Association.</w:t>
      </w:r>
    </w:p>
    <w:p w14:paraId="654890E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14. </w:t>
      </w:r>
      <w:r w:rsidRPr="00D71FF2">
        <w:rPr>
          <w:rFonts w:ascii="Times New Roman" w:hAnsi="Times New Roman" w:cs="Times New Roman"/>
        </w:rPr>
        <w:tab/>
        <w:t xml:space="preserve">Song Y, Deziel NC &amp; Bell ML (2024) Delineating Urbanicity and Rurality: Impact on Environmental Exposure Assessment. </w:t>
      </w:r>
      <w:r w:rsidRPr="00D71FF2">
        <w:rPr>
          <w:rFonts w:ascii="Times New Roman" w:hAnsi="Times New Roman" w:cs="Times New Roman"/>
          <w:i/>
          <w:iCs/>
        </w:rPr>
        <w:t>Environ. Sci. Technol.</w:t>
      </w:r>
      <w:r w:rsidRPr="00D71FF2">
        <w:rPr>
          <w:rFonts w:ascii="Times New Roman" w:hAnsi="Times New Roman" w:cs="Times New Roman"/>
        </w:rPr>
        <w:t xml:space="preserve"> </w:t>
      </w:r>
      <w:r w:rsidRPr="00D71FF2">
        <w:rPr>
          <w:rFonts w:ascii="Times New Roman" w:hAnsi="Times New Roman" w:cs="Times New Roman"/>
          <w:b/>
          <w:bCs/>
        </w:rPr>
        <w:t>58</w:t>
      </w:r>
      <w:r w:rsidRPr="00D71FF2">
        <w:rPr>
          <w:rFonts w:ascii="Times New Roman" w:hAnsi="Times New Roman" w:cs="Times New Roman"/>
        </w:rPr>
        <w:t>, 19178–19188. American Chemical Society.</w:t>
      </w:r>
    </w:p>
    <w:p w14:paraId="2BEB9734"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15. </w:t>
      </w:r>
      <w:r w:rsidRPr="00D71FF2">
        <w:rPr>
          <w:rFonts w:ascii="Times New Roman" w:hAnsi="Times New Roman" w:cs="Times New Roman"/>
        </w:rPr>
        <w:tab/>
        <w:t xml:space="preserve">Wright C, Riva S, Crichton M, et al. (2026) Measuring cancer equity globally: harmonising international rural-urban classifications for exploring cancer outcomes. </w:t>
      </w:r>
      <w:r w:rsidRPr="00D71FF2">
        <w:rPr>
          <w:rFonts w:ascii="Times New Roman" w:hAnsi="Times New Roman" w:cs="Times New Roman"/>
          <w:i/>
          <w:iCs/>
        </w:rPr>
        <w:t>The Lancet Regional Health – Western Pacific</w:t>
      </w:r>
      <w:r w:rsidRPr="00D71FF2">
        <w:rPr>
          <w:rFonts w:ascii="Times New Roman" w:hAnsi="Times New Roman" w:cs="Times New Roman"/>
        </w:rPr>
        <w:t xml:space="preserve"> </w:t>
      </w:r>
      <w:r w:rsidRPr="00D71FF2">
        <w:rPr>
          <w:rFonts w:ascii="Times New Roman" w:hAnsi="Times New Roman" w:cs="Times New Roman"/>
          <w:b/>
          <w:bCs/>
        </w:rPr>
        <w:t>66</w:t>
      </w:r>
      <w:r w:rsidRPr="00D71FF2">
        <w:rPr>
          <w:rFonts w:ascii="Times New Roman" w:hAnsi="Times New Roman" w:cs="Times New Roman"/>
        </w:rPr>
        <w:t>. Elsevier.</w:t>
      </w:r>
    </w:p>
    <w:p w14:paraId="081482F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16. </w:t>
      </w:r>
      <w:r w:rsidRPr="00D71FF2">
        <w:rPr>
          <w:rFonts w:ascii="Times New Roman" w:hAnsi="Times New Roman" w:cs="Times New Roman"/>
        </w:rPr>
        <w:tab/>
        <w:t xml:space="preserve">Meadows RJ, Paskett ED, Bower JK, et al. (2024) Socio-demographic differences in the dietary inflammatory index from National Health and Nutrition Examination Survey 2005–2018: a comparison of multiple imputation versus complete case analysis.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27</w:t>
      </w:r>
      <w:r w:rsidRPr="00D71FF2">
        <w:rPr>
          <w:rFonts w:ascii="Times New Roman" w:hAnsi="Times New Roman" w:cs="Times New Roman"/>
        </w:rPr>
        <w:t>, 2024/09/27 edn, e184. Cambridge University Press.</w:t>
      </w:r>
    </w:p>
    <w:p w14:paraId="15F0950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17. </w:t>
      </w:r>
      <w:r w:rsidRPr="00D71FF2">
        <w:rPr>
          <w:rFonts w:ascii="Times New Roman" w:hAnsi="Times New Roman" w:cs="Times New Roman"/>
        </w:rPr>
        <w:tab/>
        <w:t xml:space="preserve">Beretta L &amp; Santaniello A (2016) Nearest neighbor imputation algorithms: a critical evaluation. </w:t>
      </w:r>
      <w:r w:rsidRPr="00D71FF2">
        <w:rPr>
          <w:rFonts w:ascii="Times New Roman" w:hAnsi="Times New Roman" w:cs="Times New Roman"/>
          <w:i/>
          <w:iCs/>
        </w:rPr>
        <w:t>BMC Medical Informatics and Decision Making</w:t>
      </w:r>
      <w:r w:rsidRPr="00D71FF2">
        <w:rPr>
          <w:rFonts w:ascii="Times New Roman" w:hAnsi="Times New Roman" w:cs="Times New Roman"/>
        </w:rPr>
        <w:t xml:space="preserve"> </w:t>
      </w:r>
      <w:r w:rsidRPr="00D71FF2">
        <w:rPr>
          <w:rFonts w:ascii="Times New Roman" w:hAnsi="Times New Roman" w:cs="Times New Roman"/>
          <w:b/>
          <w:bCs/>
        </w:rPr>
        <w:t>16</w:t>
      </w:r>
      <w:r w:rsidRPr="00D71FF2">
        <w:rPr>
          <w:rFonts w:ascii="Times New Roman" w:hAnsi="Times New Roman" w:cs="Times New Roman"/>
        </w:rPr>
        <w:t>, 74.</w:t>
      </w:r>
    </w:p>
    <w:p w14:paraId="4992AEF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18. </w:t>
      </w:r>
      <w:r w:rsidRPr="00D71FF2">
        <w:rPr>
          <w:rFonts w:ascii="Times New Roman" w:hAnsi="Times New Roman" w:cs="Times New Roman"/>
        </w:rPr>
        <w:tab/>
        <w:t xml:space="preserve">Sterne JAC, White IR, Carlin JB, et al. (2009) Multiple imputation for missing data in epidemiological and clinical research: potential and pitfalls. </w:t>
      </w:r>
      <w:r w:rsidRPr="00D71FF2">
        <w:rPr>
          <w:rFonts w:ascii="Times New Roman" w:hAnsi="Times New Roman" w:cs="Times New Roman"/>
          <w:i/>
          <w:iCs/>
        </w:rPr>
        <w:t>BMJ</w:t>
      </w:r>
      <w:r w:rsidRPr="00D71FF2">
        <w:rPr>
          <w:rFonts w:ascii="Times New Roman" w:hAnsi="Times New Roman" w:cs="Times New Roman"/>
        </w:rPr>
        <w:t xml:space="preserve"> </w:t>
      </w:r>
      <w:r w:rsidRPr="00D71FF2">
        <w:rPr>
          <w:rFonts w:ascii="Times New Roman" w:hAnsi="Times New Roman" w:cs="Times New Roman"/>
          <w:b/>
          <w:bCs/>
        </w:rPr>
        <w:t>338</w:t>
      </w:r>
      <w:r w:rsidRPr="00D71FF2">
        <w:rPr>
          <w:rFonts w:ascii="Times New Roman" w:hAnsi="Times New Roman" w:cs="Times New Roman"/>
        </w:rPr>
        <w:t>, b2393.</w:t>
      </w:r>
    </w:p>
    <w:p w14:paraId="1B504AF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19. </w:t>
      </w:r>
      <w:r w:rsidRPr="00D71FF2">
        <w:rPr>
          <w:rFonts w:ascii="Times New Roman" w:hAnsi="Times New Roman" w:cs="Times New Roman"/>
        </w:rPr>
        <w:tab/>
        <w:t xml:space="preserve">White IR, Royston P &amp; Wood AM (2011) Multiple imputation using chained equations: Issues and guidance for practice. </w:t>
      </w:r>
      <w:r w:rsidRPr="00D71FF2">
        <w:rPr>
          <w:rFonts w:ascii="Times New Roman" w:hAnsi="Times New Roman" w:cs="Times New Roman"/>
          <w:i/>
          <w:iCs/>
        </w:rPr>
        <w:t>Statistics in Medicine</w:t>
      </w:r>
      <w:r w:rsidRPr="00D71FF2">
        <w:rPr>
          <w:rFonts w:ascii="Times New Roman" w:hAnsi="Times New Roman" w:cs="Times New Roman"/>
        </w:rPr>
        <w:t xml:space="preserve"> </w:t>
      </w:r>
      <w:r w:rsidRPr="00D71FF2">
        <w:rPr>
          <w:rFonts w:ascii="Times New Roman" w:hAnsi="Times New Roman" w:cs="Times New Roman"/>
          <w:b/>
          <w:bCs/>
        </w:rPr>
        <w:t>30</w:t>
      </w:r>
      <w:r w:rsidRPr="00D71FF2">
        <w:rPr>
          <w:rFonts w:ascii="Times New Roman" w:hAnsi="Times New Roman" w:cs="Times New Roman"/>
        </w:rPr>
        <w:t>, 377–399.</w:t>
      </w:r>
    </w:p>
    <w:p w14:paraId="7259003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20. </w:t>
      </w:r>
      <w:r w:rsidRPr="00D71FF2">
        <w:rPr>
          <w:rFonts w:ascii="Times New Roman" w:hAnsi="Times New Roman" w:cs="Times New Roman"/>
        </w:rPr>
        <w:tab/>
        <w:t xml:space="preserve">Chen T &amp; Guestrin C (2016) XGBoost: A Scalable Tree Boosting System. In </w:t>
      </w:r>
      <w:r w:rsidRPr="00D71FF2">
        <w:rPr>
          <w:rFonts w:ascii="Times New Roman" w:hAnsi="Times New Roman" w:cs="Times New Roman"/>
          <w:i/>
          <w:iCs/>
        </w:rPr>
        <w:t>Proceedings of the 22nd ACM SIGKDD International Conference on Knowledge Discovery and Data Mining</w:t>
      </w:r>
      <w:r w:rsidRPr="00D71FF2">
        <w:rPr>
          <w:rFonts w:ascii="Times New Roman" w:hAnsi="Times New Roman" w:cs="Times New Roman"/>
        </w:rPr>
        <w:t>, pp. 785–794. New York, NY, USA: Association for Computing Machinery.</w:t>
      </w:r>
    </w:p>
    <w:p w14:paraId="5B6AC61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21. </w:t>
      </w:r>
      <w:r w:rsidRPr="00D71FF2">
        <w:rPr>
          <w:rFonts w:ascii="Times New Roman" w:hAnsi="Times New Roman" w:cs="Times New Roman"/>
        </w:rPr>
        <w:tab/>
        <w:t>Lundberg S &amp; Lee S-I (2017) A Unified Approach to Interpreting Model Predictions. .</w:t>
      </w:r>
    </w:p>
    <w:p w14:paraId="2A3EB8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22. </w:t>
      </w:r>
      <w:r w:rsidRPr="00D71FF2">
        <w:rPr>
          <w:rFonts w:ascii="Times New Roman" w:hAnsi="Times New Roman" w:cs="Times New Roman"/>
        </w:rPr>
        <w:tab/>
        <w:t xml:space="preserve">Sharma IK, Di Prima S, Essink D, et al. (2021) Nutrition-Sensitive Agriculture: A Systematic Review of Impact Pathways to Nutrition Outcomes.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12</w:t>
      </w:r>
      <w:r w:rsidRPr="00D71FF2">
        <w:rPr>
          <w:rFonts w:ascii="Times New Roman" w:hAnsi="Times New Roman" w:cs="Times New Roman"/>
        </w:rPr>
        <w:t>, 251–275.</w:t>
      </w:r>
    </w:p>
    <w:p w14:paraId="432E484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23. </w:t>
      </w:r>
      <w:r w:rsidRPr="00D71FF2">
        <w:rPr>
          <w:rFonts w:ascii="Times New Roman" w:hAnsi="Times New Roman" w:cs="Times New Roman"/>
        </w:rPr>
        <w:tab/>
        <w:t xml:space="preserve">Kirk D, Kok E, Tufano M, et al. (2022) Machine Learning in Nutrition Research.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13</w:t>
      </w:r>
      <w:r w:rsidRPr="00D71FF2">
        <w:rPr>
          <w:rFonts w:ascii="Times New Roman" w:hAnsi="Times New Roman" w:cs="Times New Roman"/>
        </w:rPr>
        <w:t>, 2573–2589.</w:t>
      </w:r>
    </w:p>
    <w:p w14:paraId="6198E4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24. </w:t>
      </w:r>
      <w:r w:rsidRPr="00D71FF2">
        <w:rPr>
          <w:rFonts w:ascii="Times New Roman" w:hAnsi="Times New Roman" w:cs="Times New Roman"/>
        </w:rPr>
        <w:tab/>
        <w:t xml:space="preserve">Popkin BM, Du S, Zhai F, et al. (2010) Cohort Profile: The China Health and Nutrition Survey—monitoring and understanding socio-economic and health change in China, 1989–2011. </w:t>
      </w:r>
      <w:r w:rsidRPr="00D71FF2">
        <w:rPr>
          <w:rFonts w:ascii="Times New Roman" w:hAnsi="Times New Roman" w:cs="Times New Roman"/>
          <w:i/>
          <w:iCs/>
        </w:rPr>
        <w:t>International Journal of Epidemiology</w:t>
      </w:r>
      <w:r w:rsidRPr="00D71FF2">
        <w:rPr>
          <w:rFonts w:ascii="Times New Roman" w:hAnsi="Times New Roman" w:cs="Times New Roman"/>
        </w:rPr>
        <w:t xml:space="preserve"> </w:t>
      </w:r>
      <w:r w:rsidRPr="00D71FF2">
        <w:rPr>
          <w:rFonts w:ascii="Times New Roman" w:hAnsi="Times New Roman" w:cs="Times New Roman"/>
          <w:b/>
          <w:bCs/>
        </w:rPr>
        <w:t>39</w:t>
      </w:r>
      <w:r w:rsidRPr="00D71FF2">
        <w:rPr>
          <w:rFonts w:ascii="Times New Roman" w:hAnsi="Times New Roman" w:cs="Times New Roman"/>
        </w:rPr>
        <w:t>, 1435–1440.</w:t>
      </w:r>
    </w:p>
    <w:p w14:paraId="417863A1"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25. </w:t>
      </w:r>
      <w:r w:rsidRPr="00D71FF2">
        <w:rPr>
          <w:rFonts w:ascii="Times New Roman" w:hAnsi="Times New Roman" w:cs="Times New Roman"/>
        </w:rPr>
        <w:tab/>
        <w:t xml:space="preserve">Yang Y (editor) (2018) </w:t>
      </w:r>
      <w:r w:rsidRPr="00D71FF2">
        <w:rPr>
          <w:rFonts w:ascii="Times New Roman" w:hAnsi="Times New Roman" w:cs="Times New Roman"/>
          <w:i/>
          <w:iCs/>
        </w:rPr>
        <w:t>China Food Composition Tables, Book 1: Standard Edition</w:t>
      </w:r>
      <w:r w:rsidRPr="00D71FF2">
        <w:rPr>
          <w:rFonts w:ascii="Times New Roman" w:hAnsi="Times New Roman" w:cs="Times New Roman"/>
        </w:rPr>
        <w:t>. 6th edn. Beijing, China: Peking University Medical Press.</w:t>
      </w:r>
    </w:p>
    <w:p w14:paraId="4292FA2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26. </w:t>
      </w:r>
      <w:r w:rsidRPr="00D71FF2">
        <w:rPr>
          <w:rFonts w:ascii="Times New Roman" w:hAnsi="Times New Roman" w:cs="Times New Roman"/>
        </w:rPr>
        <w:tab/>
        <w:t xml:space="preserve">Seidelmann SB, Claggett B, Cheng S, et al. (2018) Dietary carbohydrate intake and mortality: a prospective cohort study and meta-analysis. </w:t>
      </w:r>
      <w:r w:rsidRPr="00D71FF2">
        <w:rPr>
          <w:rFonts w:ascii="Times New Roman" w:hAnsi="Times New Roman" w:cs="Times New Roman"/>
          <w:i/>
          <w:iCs/>
        </w:rPr>
        <w:t>The Lancet Public Health</w:t>
      </w:r>
      <w:r w:rsidRPr="00D71FF2">
        <w:rPr>
          <w:rFonts w:ascii="Times New Roman" w:hAnsi="Times New Roman" w:cs="Times New Roman"/>
        </w:rPr>
        <w:t xml:space="preserve"> </w:t>
      </w:r>
      <w:r w:rsidRPr="00D71FF2">
        <w:rPr>
          <w:rFonts w:ascii="Times New Roman" w:hAnsi="Times New Roman" w:cs="Times New Roman"/>
          <w:b/>
          <w:bCs/>
        </w:rPr>
        <w:t>3</w:t>
      </w:r>
      <w:r w:rsidRPr="00D71FF2">
        <w:rPr>
          <w:rFonts w:ascii="Times New Roman" w:hAnsi="Times New Roman" w:cs="Times New Roman"/>
        </w:rPr>
        <w:t>, e419–e428. Elsevier.</w:t>
      </w:r>
    </w:p>
    <w:p w14:paraId="1B9425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27. </w:t>
      </w:r>
      <w:r w:rsidRPr="00D71FF2">
        <w:rPr>
          <w:rFonts w:ascii="Times New Roman" w:hAnsi="Times New Roman" w:cs="Times New Roman"/>
        </w:rPr>
        <w:tab/>
        <w:t xml:space="preserve">Jones-Smith JC &amp; Popkin BM (2010) Understanding community context and adult health </w:t>
      </w:r>
      <w:r w:rsidRPr="00D71FF2">
        <w:rPr>
          <w:rFonts w:ascii="Times New Roman" w:hAnsi="Times New Roman" w:cs="Times New Roman"/>
        </w:rPr>
        <w:lastRenderedPageBreak/>
        <w:t xml:space="preserve">changes in China: Development of an urbanicity scale. </w:t>
      </w:r>
      <w:r w:rsidRPr="00D71FF2">
        <w:rPr>
          <w:rFonts w:ascii="Times New Roman" w:hAnsi="Times New Roman" w:cs="Times New Roman"/>
          <w:i/>
          <w:iCs/>
        </w:rPr>
        <w:t>Social Science &amp; Medicine</w:t>
      </w:r>
      <w:r w:rsidRPr="00D71FF2">
        <w:rPr>
          <w:rFonts w:ascii="Times New Roman" w:hAnsi="Times New Roman" w:cs="Times New Roman"/>
        </w:rPr>
        <w:t xml:space="preserve"> </w:t>
      </w:r>
      <w:r w:rsidRPr="00D71FF2">
        <w:rPr>
          <w:rFonts w:ascii="Times New Roman" w:hAnsi="Times New Roman" w:cs="Times New Roman"/>
          <w:b/>
          <w:bCs/>
        </w:rPr>
        <w:t>71</w:t>
      </w:r>
      <w:r w:rsidRPr="00D71FF2">
        <w:rPr>
          <w:rFonts w:ascii="Times New Roman" w:hAnsi="Times New Roman" w:cs="Times New Roman"/>
        </w:rPr>
        <w:t>, 1436–1446.</w:t>
      </w:r>
    </w:p>
    <w:sectPr w:rsidR="00CD67D4" w:rsidRPr="00D71FF2" w:rsidSect="00CA343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92510" w14:textId="77777777" w:rsidR="00FB727C" w:rsidRDefault="00FB727C" w:rsidP="00A67F51">
      <w:r>
        <w:separator/>
      </w:r>
    </w:p>
  </w:endnote>
  <w:endnote w:type="continuationSeparator" w:id="0">
    <w:p w14:paraId="54BC9691" w14:textId="77777777" w:rsidR="00FB727C" w:rsidRDefault="00FB727C" w:rsidP="00A67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D7131" w14:textId="77777777" w:rsidR="00FB727C" w:rsidRDefault="00FB727C" w:rsidP="00A67F51">
      <w:r>
        <w:separator/>
      </w:r>
    </w:p>
  </w:footnote>
  <w:footnote w:type="continuationSeparator" w:id="0">
    <w:p w14:paraId="42F80C78" w14:textId="77777777" w:rsidR="00FB727C" w:rsidRDefault="00FB727C" w:rsidP="00A67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F749BF"/>
    <w:multiLevelType w:val="hybridMultilevel"/>
    <w:tmpl w:val="F1062BCC"/>
    <w:lvl w:ilvl="0" w:tplc="90323AFE">
      <w:start w:val="1"/>
      <w:numFmt w:val="bullet"/>
      <w:lvlText w:val="•"/>
      <w:lvlJc w:val="left"/>
      <w:pPr>
        <w:tabs>
          <w:tab w:val="num" w:pos="720"/>
        </w:tabs>
        <w:ind w:left="720" w:hanging="360"/>
      </w:pPr>
      <w:rPr>
        <w:rFonts w:ascii="Arial" w:hAnsi="Arial" w:hint="default"/>
      </w:rPr>
    </w:lvl>
    <w:lvl w:ilvl="1" w:tplc="968874D0" w:tentative="1">
      <w:start w:val="1"/>
      <w:numFmt w:val="bullet"/>
      <w:lvlText w:val="•"/>
      <w:lvlJc w:val="left"/>
      <w:pPr>
        <w:tabs>
          <w:tab w:val="num" w:pos="1440"/>
        </w:tabs>
        <w:ind w:left="1440" w:hanging="360"/>
      </w:pPr>
      <w:rPr>
        <w:rFonts w:ascii="Arial" w:hAnsi="Arial" w:hint="default"/>
      </w:rPr>
    </w:lvl>
    <w:lvl w:ilvl="2" w:tplc="E1BA45BE" w:tentative="1">
      <w:start w:val="1"/>
      <w:numFmt w:val="bullet"/>
      <w:lvlText w:val="•"/>
      <w:lvlJc w:val="left"/>
      <w:pPr>
        <w:tabs>
          <w:tab w:val="num" w:pos="2160"/>
        </w:tabs>
        <w:ind w:left="2160" w:hanging="360"/>
      </w:pPr>
      <w:rPr>
        <w:rFonts w:ascii="Arial" w:hAnsi="Arial" w:hint="default"/>
      </w:rPr>
    </w:lvl>
    <w:lvl w:ilvl="3" w:tplc="DE76CDC8" w:tentative="1">
      <w:start w:val="1"/>
      <w:numFmt w:val="bullet"/>
      <w:lvlText w:val="•"/>
      <w:lvlJc w:val="left"/>
      <w:pPr>
        <w:tabs>
          <w:tab w:val="num" w:pos="2880"/>
        </w:tabs>
        <w:ind w:left="2880" w:hanging="360"/>
      </w:pPr>
      <w:rPr>
        <w:rFonts w:ascii="Arial" w:hAnsi="Arial" w:hint="default"/>
      </w:rPr>
    </w:lvl>
    <w:lvl w:ilvl="4" w:tplc="F9D63DBA" w:tentative="1">
      <w:start w:val="1"/>
      <w:numFmt w:val="bullet"/>
      <w:lvlText w:val="•"/>
      <w:lvlJc w:val="left"/>
      <w:pPr>
        <w:tabs>
          <w:tab w:val="num" w:pos="3600"/>
        </w:tabs>
        <w:ind w:left="3600" w:hanging="360"/>
      </w:pPr>
      <w:rPr>
        <w:rFonts w:ascii="Arial" w:hAnsi="Arial" w:hint="default"/>
      </w:rPr>
    </w:lvl>
    <w:lvl w:ilvl="5" w:tplc="843A48CC" w:tentative="1">
      <w:start w:val="1"/>
      <w:numFmt w:val="bullet"/>
      <w:lvlText w:val="•"/>
      <w:lvlJc w:val="left"/>
      <w:pPr>
        <w:tabs>
          <w:tab w:val="num" w:pos="4320"/>
        </w:tabs>
        <w:ind w:left="4320" w:hanging="360"/>
      </w:pPr>
      <w:rPr>
        <w:rFonts w:ascii="Arial" w:hAnsi="Arial" w:hint="default"/>
      </w:rPr>
    </w:lvl>
    <w:lvl w:ilvl="6" w:tplc="1F0A46D6" w:tentative="1">
      <w:start w:val="1"/>
      <w:numFmt w:val="bullet"/>
      <w:lvlText w:val="•"/>
      <w:lvlJc w:val="left"/>
      <w:pPr>
        <w:tabs>
          <w:tab w:val="num" w:pos="5040"/>
        </w:tabs>
        <w:ind w:left="5040" w:hanging="360"/>
      </w:pPr>
      <w:rPr>
        <w:rFonts w:ascii="Arial" w:hAnsi="Arial" w:hint="default"/>
      </w:rPr>
    </w:lvl>
    <w:lvl w:ilvl="7" w:tplc="01CAFF28" w:tentative="1">
      <w:start w:val="1"/>
      <w:numFmt w:val="bullet"/>
      <w:lvlText w:val="•"/>
      <w:lvlJc w:val="left"/>
      <w:pPr>
        <w:tabs>
          <w:tab w:val="num" w:pos="5760"/>
        </w:tabs>
        <w:ind w:left="5760" w:hanging="360"/>
      </w:pPr>
      <w:rPr>
        <w:rFonts w:ascii="Arial" w:hAnsi="Arial" w:hint="default"/>
      </w:rPr>
    </w:lvl>
    <w:lvl w:ilvl="8" w:tplc="64F8F7D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52764C4B"/>
    <w:multiLevelType w:val="hybridMultilevel"/>
    <w:tmpl w:val="9D6CAC3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57F81BEB"/>
    <w:multiLevelType w:val="hybridMultilevel"/>
    <w:tmpl w:val="6A746A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622380">
    <w:abstractNumId w:val="0"/>
  </w:num>
  <w:num w:numId="2" w16cid:durableId="559825399">
    <w:abstractNumId w:val="2"/>
  </w:num>
  <w:num w:numId="3" w16cid:durableId="561404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4"/>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44"/>
    <w:rsid w:val="0001289D"/>
    <w:rsid w:val="000165EB"/>
    <w:rsid w:val="00033F49"/>
    <w:rsid w:val="00043F86"/>
    <w:rsid w:val="00052344"/>
    <w:rsid w:val="0006046F"/>
    <w:rsid w:val="000622CB"/>
    <w:rsid w:val="00066B27"/>
    <w:rsid w:val="000708C3"/>
    <w:rsid w:val="00075693"/>
    <w:rsid w:val="000764FB"/>
    <w:rsid w:val="00077971"/>
    <w:rsid w:val="000A74FA"/>
    <w:rsid w:val="000B23C2"/>
    <w:rsid w:val="000B548D"/>
    <w:rsid w:val="000D6F51"/>
    <w:rsid w:val="000F1E49"/>
    <w:rsid w:val="000F2AE1"/>
    <w:rsid w:val="000F356F"/>
    <w:rsid w:val="000F7152"/>
    <w:rsid w:val="000F77EB"/>
    <w:rsid w:val="0010147B"/>
    <w:rsid w:val="00103136"/>
    <w:rsid w:val="001103BF"/>
    <w:rsid w:val="001206CF"/>
    <w:rsid w:val="00122D5E"/>
    <w:rsid w:val="0013466F"/>
    <w:rsid w:val="00140DA9"/>
    <w:rsid w:val="00150E3E"/>
    <w:rsid w:val="001621AD"/>
    <w:rsid w:val="001654D3"/>
    <w:rsid w:val="00187036"/>
    <w:rsid w:val="00187ED3"/>
    <w:rsid w:val="00195D54"/>
    <w:rsid w:val="00197444"/>
    <w:rsid w:val="001A2DC4"/>
    <w:rsid w:val="001B583B"/>
    <w:rsid w:val="001D5D8F"/>
    <w:rsid w:val="001E1CC7"/>
    <w:rsid w:val="001F08FB"/>
    <w:rsid w:val="001F5388"/>
    <w:rsid w:val="00203A4E"/>
    <w:rsid w:val="00214852"/>
    <w:rsid w:val="0022005E"/>
    <w:rsid w:val="002260AA"/>
    <w:rsid w:val="00243C6B"/>
    <w:rsid w:val="00244F7E"/>
    <w:rsid w:val="0026191B"/>
    <w:rsid w:val="00265CF1"/>
    <w:rsid w:val="00287F4E"/>
    <w:rsid w:val="002A5F5A"/>
    <w:rsid w:val="002A681F"/>
    <w:rsid w:val="002B1BBE"/>
    <w:rsid w:val="002E0D85"/>
    <w:rsid w:val="002F3D71"/>
    <w:rsid w:val="003170B3"/>
    <w:rsid w:val="00322862"/>
    <w:rsid w:val="00322A60"/>
    <w:rsid w:val="00331E66"/>
    <w:rsid w:val="00336362"/>
    <w:rsid w:val="00344196"/>
    <w:rsid w:val="00363DBA"/>
    <w:rsid w:val="00371563"/>
    <w:rsid w:val="00376ECA"/>
    <w:rsid w:val="003839E2"/>
    <w:rsid w:val="00383F85"/>
    <w:rsid w:val="00384968"/>
    <w:rsid w:val="00385A17"/>
    <w:rsid w:val="00385E25"/>
    <w:rsid w:val="00391A25"/>
    <w:rsid w:val="00391D66"/>
    <w:rsid w:val="00397C5A"/>
    <w:rsid w:val="003A7C12"/>
    <w:rsid w:val="003B234A"/>
    <w:rsid w:val="003B794F"/>
    <w:rsid w:val="003D61DB"/>
    <w:rsid w:val="003F5618"/>
    <w:rsid w:val="00400AB5"/>
    <w:rsid w:val="004136A4"/>
    <w:rsid w:val="00434208"/>
    <w:rsid w:val="00436833"/>
    <w:rsid w:val="0045655F"/>
    <w:rsid w:val="004A0444"/>
    <w:rsid w:val="004A32A1"/>
    <w:rsid w:val="004A5499"/>
    <w:rsid w:val="004B082E"/>
    <w:rsid w:val="004C2A9D"/>
    <w:rsid w:val="004C7FE6"/>
    <w:rsid w:val="004E3641"/>
    <w:rsid w:val="00501793"/>
    <w:rsid w:val="005110A2"/>
    <w:rsid w:val="00511164"/>
    <w:rsid w:val="0051662B"/>
    <w:rsid w:val="00523C82"/>
    <w:rsid w:val="00525533"/>
    <w:rsid w:val="0054052A"/>
    <w:rsid w:val="00541414"/>
    <w:rsid w:val="00543DAA"/>
    <w:rsid w:val="0055157C"/>
    <w:rsid w:val="005523EE"/>
    <w:rsid w:val="00555125"/>
    <w:rsid w:val="00555805"/>
    <w:rsid w:val="005719E7"/>
    <w:rsid w:val="00571D4F"/>
    <w:rsid w:val="00574098"/>
    <w:rsid w:val="00583786"/>
    <w:rsid w:val="005A094C"/>
    <w:rsid w:val="005A4D79"/>
    <w:rsid w:val="005B4594"/>
    <w:rsid w:val="005B70FA"/>
    <w:rsid w:val="005C02E1"/>
    <w:rsid w:val="005C73C4"/>
    <w:rsid w:val="005E4686"/>
    <w:rsid w:val="005F55F1"/>
    <w:rsid w:val="005F6BAB"/>
    <w:rsid w:val="00603380"/>
    <w:rsid w:val="00605B2F"/>
    <w:rsid w:val="006068C6"/>
    <w:rsid w:val="00607CF2"/>
    <w:rsid w:val="00633C1E"/>
    <w:rsid w:val="0064142E"/>
    <w:rsid w:val="00644FFF"/>
    <w:rsid w:val="00645F02"/>
    <w:rsid w:val="006505A6"/>
    <w:rsid w:val="00651FC3"/>
    <w:rsid w:val="00656DE6"/>
    <w:rsid w:val="006572F5"/>
    <w:rsid w:val="00662D9D"/>
    <w:rsid w:val="00670B5C"/>
    <w:rsid w:val="006766C0"/>
    <w:rsid w:val="00684B1D"/>
    <w:rsid w:val="00692FA0"/>
    <w:rsid w:val="006A2C07"/>
    <w:rsid w:val="006A56D5"/>
    <w:rsid w:val="006B25CB"/>
    <w:rsid w:val="006B2E8F"/>
    <w:rsid w:val="006B2F97"/>
    <w:rsid w:val="006C7BE0"/>
    <w:rsid w:val="006E2AAE"/>
    <w:rsid w:val="007003AD"/>
    <w:rsid w:val="00700CEA"/>
    <w:rsid w:val="0070503E"/>
    <w:rsid w:val="00720ABC"/>
    <w:rsid w:val="00720D9E"/>
    <w:rsid w:val="00721AEC"/>
    <w:rsid w:val="00730E7D"/>
    <w:rsid w:val="0073580C"/>
    <w:rsid w:val="0075476A"/>
    <w:rsid w:val="00755D90"/>
    <w:rsid w:val="0075728F"/>
    <w:rsid w:val="007735B5"/>
    <w:rsid w:val="0078069D"/>
    <w:rsid w:val="007B7812"/>
    <w:rsid w:val="007B7D5F"/>
    <w:rsid w:val="007C1510"/>
    <w:rsid w:val="007D1715"/>
    <w:rsid w:val="007F7F93"/>
    <w:rsid w:val="0080027F"/>
    <w:rsid w:val="008128CB"/>
    <w:rsid w:val="00815EB2"/>
    <w:rsid w:val="00823FA3"/>
    <w:rsid w:val="008462BF"/>
    <w:rsid w:val="00855D24"/>
    <w:rsid w:val="00860F0E"/>
    <w:rsid w:val="008672C9"/>
    <w:rsid w:val="008679E5"/>
    <w:rsid w:val="00876511"/>
    <w:rsid w:val="00885697"/>
    <w:rsid w:val="00886075"/>
    <w:rsid w:val="008973E1"/>
    <w:rsid w:val="008B67B3"/>
    <w:rsid w:val="008C1FA4"/>
    <w:rsid w:val="008C6813"/>
    <w:rsid w:val="008F052D"/>
    <w:rsid w:val="008F06EC"/>
    <w:rsid w:val="008F6C57"/>
    <w:rsid w:val="008F76EB"/>
    <w:rsid w:val="009061BA"/>
    <w:rsid w:val="0091290B"/>
    <w:rsid w:val="00916050"/>
    <w:rsid w:val="00925510"/>
    <w:rsid w:val="0093324C"/>
    <w:rsid w:val="00936B7F"/>
    <w:rsid w:val="00936FCC"/>
    <w:rsid w:val="00944E1E"/>
    <w:rsid w:val="009511FE"/>
    <w:rsid w:val="0095132B"/>
    <w:rsid w:val="00952EEA"/>
    <w:rsid w:val="009568D2"/>
    <w:rsid w:val="00957088"/>
    <w:rsid w:val="00960D2F"/>
    <w:rsid w:val="009621B0"/>
    <w:rsid w:val="0096298D"/>
    <w:rsid w:val="00977704"/>
    <w:rsid w:val="00985220"/>
    <w:rsid w:val="00994014"/>
    <w:rsid w:val="00996121"/>
    <w:rsid w:val="009A3DCB"/>
    <w:rsid w:val="009A51B8"/>
    <w:rsid w:val="009B3135"/>
    <w:rsid w:val="009C177D"/>
    <w:rsid w:val="009C2A20"/>
    <w:rsid w:val="009D12C1"/>
    <w:rsid w:val="009E21BC"/>
    <w:rsid w:val="009F3126"/>
    <w:rsid w:val="009F3ADD"/>
    <w:rsid w:val="00A00812"/>
    <w:rsid w:val="00A02CD8"/>
    <w:rsid w:val="00A11163"/>
    <w:rsid w:val="00A1263E"/>
    <w:rsid w:val="00A15D75"/>
    <w:rsid w:val="00A2399A"/>
    <w:rsid w:val="00A26D84"/>
    <w:rsid w:val="00A33969"/>
    <w:rsid w:val="00A3464D"/>
    <w:rsid w:val="00A36456"/>
    <w:rsid w:val="00A51EEC"/>
    <w:rsid w:val="00A61EDF"/>
    <w:rsid w:val="00A6497C"/>
    <w:rsid w:val="00A65AD0"/>
    <w:rsid w:val="00A67F51"/>
    <w:rsid w:val="00A74D52"/>
    <w:rsid w:val="00A802BD"/>
    <w:rsid w:val="00A83F10"/>
    <w:rsid w:val="00A90BDF"/>
    <w:rsid w:val="00A93C6E"/>
    <w:rsid w:val="00A94654"/>
    <w:rsid w:val="00A96483"/>
    <w:rsid w:val="00AA131D"/>
    <w:rsid w:val="00AB0FAF"/>
    <w:rsid w:val="00AB6230"/>
    <w:rsid w:val="00AC6C27"/>
    <w:rsid w:val="00AD0456"/>
    <w:rsid w:val="00AD216A"/>
    <w:rsid w:val="00AE5AE2"/>
    <w:rsid w:val="00AF74DC"/>
    <w:rsid w:val="00B009D1"/>
    <w:rsid w:val="00B00F0C"/>
    <w:rsid w:val="00B16B35"/>
    <w:rsid w:val="00B21CC9"/>
    <w:rsid w:val="00B2337B"/>
    <w:rsid w:val="00B23F0A"/>
    <w:rsid w:val="00B2458C"/>
    <w:rsid w:val="00B26018"/>
    <w:rsid w:val="00B31589"/>
    <w:rsid w:val="00B32557"/>
    <w:rsid w:val="00B40B22"/>
    <w:rsid w:val="00B53CB8"/>
    <w:rsid w:val="00B5442F"/>
    <w:rsid w:val="00B54B72"/>
    <w:rsid w:val="00B6159E"/>
    <w:rsid w:val="00B61E6E"/>
    <w:rsid w:val="00B63BC3"/>
    <w:rsid w:val="00B67B46"/>
    <w:rsid w:val="00B70CF9"/>
    <w:rsid w:val="00B736C0"/>
    <w:rsid w:val="00B8184D"/>
    <w:rsid w:val="00B82B28"/>
    <w:rsid w:val="00B91818"/>
    <w:rsid w:val="00B95B6C"/>
    <w:rsid w:val="00BA0DAC"/>
    <w:rsid w:val="00BA164F"/>
    <w:rsid w:val="00BA3475"/>
    <w:rsid w:val="00BA432B"/>
    <w:rsid w:val="00BA59E8"/>
    <w:rsid w:val="00BC000C"/>
    <w:rsid w:val="00BC4053"/>
    <w:rsid w:val="00BD4B6E"/>
    <w:rsid w:val="00BF4999"/>
    <w:rsid w:val="00C02A18"/>
    <w:rsid w:val="00C0610D"/>
    <w:rsid w:val="00C24026"/>
    <w:rsid w:val="00C5043E"/>
    <w:rsid w:val="00C54BC8"/>
    <w:rsid w:val="00C7769C"/>
    <w:rsid w:val="00C83300"/>
    <w:rsid w:val="00C91C8F"/>
    <w:rsid w:val="00CA058D"/>
    <w:rsid w:val="00CA3430"/>
    <w:rsid w:val="00CB3056"/>
    <w:rsid w:val="00CB6FDD"/>
    <w:rsid w:val="00CD67D4"/>
    <w:rsid w:val="00D37B9B"/>
    <w:rsid w:val="00D42BA2"/>
    <w:rsid w:val="00D44546"/>
    <w:rsid w:val="00D539F5"/>
    <w:rsid w:val="00D561F7"/>
    <w:rsid w:val="00D61569"/>
    <w:rsid w:val="00D63DCF"/>
    <w:rsid w:val="00D65E7F"/>
    <w:rsid w:val="00D67411"/>
    <w:rsid w:val="00D71FF2"/>
    <w:rsid w:val="00D7218D"/>
    <w:rsid w:val="00D76387"/>
    <w:rsid w:val="00D8196A"/>
    <w:rsid w:val="00D90F68"/>
    <w:rsid w:val="00D93A21"/>
    <w:rsid w:val="00DB0501"/>
    <w:rsid w:val="00DB0E9F"/>
    <w:rsid w:val="00DB183E"/>
    <w:rsid w:val="00DC2D1D"/>
    <w:rsid w:val="00DD49D2"/>
    <w:rsid w:val="00DE488B"/>
    <w:rsid w:val="00DF6FA6"/>
    <w:rsid w:val="00E02C70"/>
    <w:rsid w:val="00E03223"/>
    <w:rsid w:val="00E14842"/>
    <w:rsid w:val="00E43BA6"/>
    <w:rsid w:val="00E447D6"/>
    <w:rsid w:val="00E4728F"/>
    <w:rsid w:val="00E728FC"/>
    <w:rsid w:val="00E76D46"/>
    <w:rsid w:val="00E9597E"/>
    <w:rsid w:val="00E9647C"/>
    <w:rsid w:val="00EA2FF2"/>
    <w:rsid w:val="00EA41CE"/>
    <w:rsid w:val="00EB0509"/>
    <w:rsid w:val="00EB6D76"/>
    <w:rsid w:val="00EB7D30"/>
    <w:rsid w:val="00ED70DC"/>
    <w:rsid w:val="00EE44B8"/>
    <w:rsid w:val="00EE4528"/>
    <w:rsid w:val="00EE6D64"/>
    <w:rsid w:val="00F1426E"/>
    <w:rsid w:val="00F15530"/>
    <w:rsid w:val="00F17179"/>
    <w:rsid w:val="00F25BF4"/>
    <w:rsid w:val="00F36FAA"/>
    <w:rsid w:val="00F4488C"/>
    <w:rsid w:val="00F519D2"/>
    <w:rsid w:val="00F5696B"/>
    <w:rsid w:val="00F64801"/>
    <w:rsid w:val="00F66E67"/>
    <w:rsid w:val="00F73047"/>
    <w:rsid w:val="00F73467"/>
    <w:rsid w:val="00F961E7"/>
    <w:rsid w:val="00F9732F"/>
    <w:rsid w:val="00F97668"/>
    <w:rsid w:val="00F97F29"/>
    <w:rsid w:val="00FA0133"/>
    <w:rsid w:val="00FA1C23"/>
    <w:rsid w:val="00FB0590"/>
    <w:rsid w:val="00FB1C36"/>
    <w:rsid w:val="00FB5182"/>
    <w:rsid w:val="00FB727C"/>
    <w:rsid w:val="00FC718B"/>
    <w:rsid w:val="00FE5D14"/>
    <w:rsid w:val="00FF309E"/>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0D7FA"/>
  <w15:chartTrackingRefBased/>
  <w15:docId w15:val="{F7FE859C-DA87-4578-9716-6F4BA4620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D67D4"/>
    <w:pPr>
      <w:keepNext/>
      <w:keepLines/>
      <w:spacing w:before="480" w:after="80"/>
      <w:outlineLvl w:val="0"/>
    </w:pPr>
    <w:rPr>
      <w:rFonts w:ascii="Times New Roman" w:eastAsiaTheme="majorEastAsia" w:hAnsi="Times New Roman" w:cs="Times New Roman"/>
      <w:b/>
      <w:bCs/>
      <w:sz w:val="24"/>
      <w:szCs w:val="24"/>
    </w:rPr>
  </w:style>
  <w:style w:type="paragraph" w:styleId="2">
    <w:name w:val="heading 2"/>
    <w:basedOn w:val="a"/>
    <w:next w:val="a"/>
    <w:link w:val="20"/>
    <w:uiPriority w:val="9"/>
    <w:unhideWhenUsed/>
    <w:qFormat/>
    <w:rsid w:val="00CD67D4"/>
    <w:pPr>
      <w:keepNext/>
      <w:keepLines/>
      <w:spacing w:before="160" w:after="80"/>
      <w:outlineLvl w:val="1"/>
    </w:pPr>
    <w:rPr>
      <w:rFonts w:ascii="Times New Roman" w:eastAsiaTheme="majorEastAsia" w:hAnsi="Times New Roman" w:cs="Times New Roman"/>
      <w:b/>
      <w:bCs/>
      <w:sz w:val="28"/>
      <w:szCs w:val="28"/>
    </w:rPr>
  </w:style>
  <w:style w:type="paragraph" w:styleId="3">
    <w:name w:val="heading 3"/>
    <w:basedOn w:val="a"/>
    <w:next w:val="a"/>
    <w:link w:val="30"/>
    <w:uiPriority w:val="9"/>
    <w:unhideWhenUsed/>
    <w:qFormat/>
    <w:rsid w:val="006B25CB"/>
    <w:pPr>
      <w:keepNext/>
      <w:keepLines/>
      <w:spacing w:before="160" w:after="80"/>
      <w:outlineLvl w:val="2"/>
    </w:pPr>
    <w:rPr>
      <w:rFonts w:ascii="Times New Roman" w:eastAsiaTheme="majorEastAsia" w:hAnsi="Times New Roman" w:cs="Times New Roman"/>
      <w:b/>
      <w:bCs/>
      <w:sz w:val="24"/>
      <w:szCs w:val="24"/>
    </w:rPr>
  </w:style>
  <w:style w:type="paragraph" w:styleId="4">
    <w:name w:val="heading 4"/>
    <w:basedOn w:val="a"/>
    <w:next w:val="a"/>
    <w:link w:val="40"/>
    <w:uiPriority w:val="9"/>
    <w:unhideWhenUsed/>
    <w:qFormat/>
    <w:rsid w:val="008128CB"/>
    <w:pPr>
      <w:keepNext/>
      <w:keepLines/>
      <w:spacing w:before="80" w:after="40"/>
      <w:outlineLvl w:val="3"/>
    </w:pPr>
    <w:rPr>
      <w:rFonts w:ascii="Times New Roman" w:hAnsi="Times New Roman" w:cs="Times New Roman"/>
      <w:b/>
      <w:bCs/>
      <w:szCs w:val="21"/>
    </w:rPr>
  </w:style>
  <w:style w:type="paragraph" w:styleId="5">
    <w:name w:val="heading 5"/>
    <w:basedOn w:val="a"/>
    <w:next w:val="a"/>
    <w:link w:val="50"/>
    <w:uiPriority w:val="9"/>
    <w:semiHidden/>
    <w:unhideWhenUsed/>
    <w:qFormat/>
    <w:rsid w:val="004A044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A044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A044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A044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A044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7D4"/>
    <w:rPr>
      <w:rFonts w:ascii="Times New Roman" w:eastAsiaTheme="majorEastAsia" w:hAnsi="Times New Roman" w:cs="Times New Roman"/>
      <w:b/>
      <w:bCs/>
      <w:sz w:val="24"/>
      <w:szCs w:val="24"/>
    </w:rPr>
  </w:style>
  <w:style w:type="character" w:customStyle="1" w:styleId="20">
    <w:name w:val="标题 2 字符"/>
    <w:basedOn w:val="a0"/>
    <w:link w:val="2"/>
    <w:uiPriority w:val="9"/>
    <w:rsid w:val="00CD67D4"/>
    <w:rPr>
      <w:rFonts w:ascii="Times New Roman" w:eastAsiaTheme="majorEastAsia" w:hAnsi="Times New Roman" w:cs="Times New Roman"/>
      <w:b/>
      <w:bCs/>
      <w:sz w:val="28"/>
      <w:szCs w:val="28"/>
    </w:rPr>
  </w:style>
  <w:style w:type="character" w:customStyle="1" w:styleId="30">
    <w:name w:val="标题 3 字符"/>
    <w:basedOn w:val="a0"/>
    <w:link w:val="3"/>
    <w:uiPriority w:val="9"/>
    <w:rsid w:val="006B25CB"/>
    <w:rPr>
      <w:rFonts w:ascii="Times New Roman" w:eastAsiaTheme="majorEastAsia" w:hAnsi="Times New Roman" w:cs="Times New Roman"/>
      <w:b/>
      <w:bCs/>
      <w:sz w:val="24"/>
      <w:szCs w:val="24"/>
    </w:rPr>
  </w:style>
  <w:style w:type="character" w:customStyle="1" w:styleId="40">
    <w:name w:val="标题 4 字符"/>
    <w:basedOn w:val="a0"/>
    <w:link w:val="4"/>
    <w:uiPriority w:val="9"/>
    <w:rsid w:val="008128CB"/>
    <w:rPr>
      <w:rFonts w:ascii="Times New Roman" w:hAnsi="Times New Roman" w:cs="Times New Roman"/>
      <w:b/>
      <w:bCs/>
      <w:szCs w:val="21"/>
    </w:rPr>
  </w:style>
  <w:style w:type="character" w:customStyle="1" w:styleId="50">
    <w:name w:val="标题 5 字符"/>
    <w:basedOn w:val="a0"/>
    <w:link w:val="5"/>
    <w:uiPriority w:val="9"/>
    <w:semiHidden/>
    <w:rsid w:val="004A0444"/>
    <w:rPr>
      <w:rFonts w:cstheme="majorBidi"/>
      <w:color w:val="2F5496" w:themeColor="accent1" w:themeShade="BF"/>
      <w:sz w:val="24"/>
      <w:szCs w:val="24"/>
    </w:rPr>
  </w:style>
  <w:style w:type="character" w:customStyle="1" w:styleId="60">
    <w:name w:val="标题 6 字符"/>
    <w:basedOn w:val="a0"/>
    <w:link w:val="6"/>
    <w:uiPriority w:val="9"/>
    <w:semiHidden/>
    <w:rsid w:val="004A0444"/>
    <w:rPr>
      <w:rFonts w:cstheme="majorBidi"/>
      <w:b/>
      <w:bCs/>
      <w:color w:val="2F5496" w:themeColor="accent1" w:themeShade="BF"/>
    </w:rPr>
  </w:style>
  <w:style w:type="character" w:customStyle="1" w:styleId="70">
    <w:name w:val="标题 7 字符"/>
    <w:basedOn w:val="a0"/>
    <w:link w:val="7"/>
    <w:uiPriority w:val="9"/>
    <w:semiHidden/>
    <w:rsid w:val="004A0444"/>
    <w:rPr>
      <w:rFonts w:cstheme="majorBidi"/>
      <w:b/>
      <w:bCs/>
      <w:color w:val="595959" w:themeColor="text1" w:themeTint="A6"/>
    </w:rPr>
  </w:style>
  <w:style w:type="character" w:customStyle="1" w:styleId="80">
    <w:name w:val="标题 8 字符"/>
    <w:basedOn w:val="a0"/>
    <w:link w:val="8"/>
    <w:uiPriority w:val="9"/>
    <w:semiHidden/>
    <w:rsid w:val="004A0444"/>
    <w:rPr>
      <w:rFonts w:cstheme="majorBidi"/>
      <w:color w:val="595959" w:themeColor="text1" w:themeTint="A6"/>
    </w:rPr>
  </w:style>
  <w:style w:type="character" w:customStyle="1" w:styleId="90">
    <w:name w:val="标题 9 字符"/>
    <w:basedOn w:val="a0"/>
    <w:link w:val="9"/>
    <w:uiPriority w:val="9"/>
    <w:semiHidden/>
    <w:rsid w:val="004A0444"/>
    <w:rPr>
      <w:rFonts w:eastAsiaTheme="majorEastAsia" w:cstheme="majorBidi"/>
      <w:color w:val="595959" w:themeColor="text1" w:themeTint="A6"/>
    </w:rPr>
  </w:style>
  <w:style w:type="paragraph" w:styleId="a3">
    <w:name w:val="Title"/>
    <w:basedOn w:val="a"/>
    <w:next w:val="a"/>
    <w:link w:val="a4"/>
    <w:uiPriority w:val="10"/>
    <w:qFormat/>
    <w:rsid w:val="004A044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A044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A044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A044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A0444"/>
    <w:pPr>
      <w:spacing w:before="160" w:after="160"/>
      <w:jc w:val="center"/>
    </w:pPr>
    <w:rPr>
      <w:i/>
      <w:iCs/>
      <w:color w:val="404040" w:themeColor="text1" w:themeTint="BF"/>
    </w:rPr>
  </w:style>
  <w:style w:type="character" w:customStyle="1" w:styleId="a8">
    <w:name w:val="引用 字符"/>
    <w:basedOn w:val="a0"/>
    <w:link w:val="a7"/>
    <w:uiPriority w:val="29"/>
    <w:rsid w:val="004A0444"/>
    <w:rPr>
      <w:i/>
      <w:iCs/>
      <w:color w:val="404040" w:themeColor="text1" w:themeTint="BF"/>
    </w:rPr>
  </w:style>
  <w:style w:type="paragraph" w:styleId="a9">
    <w:name w:val="List Paragraph"/>
    <w:basedOn w:val="a"/>
    <w:uiPriority w:val="34"/>
    <w:qFormat/>
    <w:rsid w:val="004A0444"/>
    <w:pPr>
      <w:ind w:left="720"/>
      <w:contextualSpacing/>
    </w:pPr>
  </w:style>
  <w:style w:type="character" w:styleId="aa">
    <w:name w:val="Intense Emphasis"/>
    <w:basedOn w:val="a0"/>
    <w:uiPriority w:val="21"/>
    <w:qFormat/>
    <w:rsid w:val="004A0444"/>
    <w:rPr>
      <w:i/>
      <w:iCs/>
      <w:color w:val="2F5496" w:themeColor="accent1" w:themeShade="BF"/>
    </w:rPr>
  </w:style>
  <w:style w:type="paragraph" w:styleId="ab">
    <w:name w:val="Intense Quote"/>
    <w:basedOn w:val="a"/>
    <w:next w:val="a"/>
    <w:link w:val="ac"/>
    <w:uiPriority w:val="30"/>
    <w:qFormat/>
    <w:rsid w:val="004A04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A0444"/>
    <w:rPr>
      <w:i/>
      <w:iCs/>
      <w:color w:val="2F5496" w:themeColor="accent1" w:themeShade="BF"/>
    </w:rPr>
  </w:style>
  <w:style w:type="character" w:styleId="ad">
    <w:name w:val="Intense Reference"/>
    <w:basedOn w:val="a0"/>
    <w:uiPriority w:val="32"/>
    <w:qFormat/>
    <w:rsid w:val="004A0444"/>
    <w:rPr>
      <w:b/>
      <w:bCs/>
      <w:smallCaps/>
      <w:color w:val="2F5496" w:themeColor="accent1" w:themeShade="BF"/>
      <w:spacing w:val="5"/>
    </w:rPr>
  </w:style>
  <w:style w:type="paragraph" w:styleId="ae">
    <w:name w:val="Bibliography"/>
    <w:basedOn w:val="a"/>
    <w:next w:val="a"/>
    <w:uiPriority w:val="37"/>
    <w:unhideWhenUsed/>
    <w:rsid w:val="00916050"/>
    <w:pPr>
      <w:tabs>
        <w:tab w:val="left" w:pos="384"/>
      </w:tabs>
      <w:spacing w:after="240"/>
      <w:ind w:left="384" w:hanging="384"/>
    </w:pPr>
  </w:style>
  <w:style w:type="character" w:styleId="af">
    <w:name w:val="Hyperlink"/>
    <w:basedOn w:val="a0"/>
    <w:uiPriority w:val="99"/>
    <w:unhideWhenUsed/>
    <w:rsid w:val="006B25CB"/>
    <w:rPr>
      <w:color w:val="0563C1" w:themeColor="hyperlink"/>
      <w:u w:val="single"/>
    </w:rPr>
  </w:style>
  <w:style w:type="character" w:styleId="af0">
    <w:name w:val="Unresolved Mention"/>
    <w:basedOn w:val="a0"/>
    <w:uiPriority w:val="99"/>
    <w:semiHidden/>
    <w:unhideWhenUsed/>
    <w:rsid w:val="006B25CB"/>
    <w:rPr>
      <w:color w:val="605E5C"/>
      <w:shd w:val="clear" w:color="auto" w:fill="E1DFDD"/>
    </w:rPr>
  </w:style>
  <w:style w:type="paragraph" w:styleId="af1">
    <w:name w:val="header"/>
    <w:basedOn w:val="a"/>
    <w:link w:val="af2"/>
    <w:uiPriority w:val="99"/>
    <w:unhideWhenUsed/>
    <w:rsid w:val="00A67F51"/>
    <w:pPr>
      <w:tabs>
        <w:tab w:val="center" w:pos="4153"/>
        <w:tab w:val="right" w:pos="8306"/>
      </w:tabs>
      <w:snapToGrid w:val="0"/>
      <w:jc w:val="center"/>
    </w:pPr>
    <w:rPr>
      <w:sz w:val="18"/>
      <w:szCs w:val="18"/>
    </w:rPr>
  </w:style>
  <w:style w:type="character" w:customStyle="1" w:styleId="af2">
    <w:name w:val="页眉 字符"/>
    <w:basedOn w:val="a0"/>
    <w:link w:val="af1"/>
    <w:uiPriority w:val="99"/>
    <w:rsid w:val="00A67F51"/>
    <w:rPr>
      <w:sz w:val="18"/>
      <w:szCs w:val="18"/>
    </w:rPr>
  </w:style>
  <w:style w:type="paragraph" w:styleId="af3">
    <w:name w:val="footer"/>
    <w:basedOn w:val="a"/>
    <w:link w:val="af4"/>
    <w:uiPriority w:val="99"/>
    <w:unhideWhenUsed/>
    <w:rsid w:val="00A67F51"/>
    <w:pPr>
      <w:tabs>
        <w:tab w:val="center" w:pos="4153"/>
        <w:tab w:val="right" w:pos="8306"/>
      </w:tabs>
      <w:snapToGrid w:val="0"/>
      <w:jc w:val="left"/>
    </w:pPr>
    <w:rPr>
      <w:sz w:val="18"/>
      <w:szCs w:val="18"/>
    </w:rPr>
  </w:style>
  <w:style w:type="character" w:customStyle="1" w:styleId="af4">
    <w:name w:val="页脚 字符"/>
    <w:basedOn w:val="a0"/>
    <w:link w:val="af3"/>
    <w:uiPriority w:val="99"/>
    <w:rsid w:val="00A67F51"/>
    <w:rPr>
      <w:sz w:val="18"/>
      <w:szCs w:val="18"/>
    </w:rPr>
  </w:style>
  <w:style w:type="paragraph" w:styleId="HTML">
    <w:name w:val="HTML Preformatted"/>
    <w:basedOn w:val="a"/>
    <w:link w:val="HTML0"/>
    <w:uiPriority w:val="99"/>
    <w:semiHidden/>
    <w:unhideWhenUsed/>
    <w:rsid w:val="00A6497C"/>
    <w:rPr>
      <w:rFonts w:ascii="Courier New" w:hAnsi="Courier New" w:cs="Courier New"/>
      <w:sz w:val="20"/>
      <w:szCs w:val="20"/>
    </w:rPr>
  </w:style>
  <w:style w:type="character" w:customStyle="1" w:styleId="HTML0">
    <w:name w:val="HTML 预设格式 字符"/>
    <w:basedOn w:val="a0"/>
    <w:link w:val="HTML"/>
    <w:uiPriority w:val="99"/>
    <w:semiHidden/>
    <w:rsid w:val="00A6497C"/>
    <w:rPr>
      <w:rFonts w:ascii="Courier New" w:hAnsi="Courier New" w:cs="Courier New"/>
      <w:sz w:val="20"/>
      <w:szCs w:val="20"/>
    </w:rPr>
  </w:style>
  <w:style w:type="character" w:styleId="af5">
    <w:name w:val="line number"/>
    <w:basedOn w:val="a0"/>
    <w:uiPriority w:val="99"/>
    <w:semiHidden/>
    <w:unhideWhenUsed/>
    <w:rsid w:val="00CA34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yrone1979/nutri2-urba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19</Pages>
  <Words>21894</Words>
  <Characters>124802</Characters>
  <Application>Microsoft Office Word</Application>
  <DocSecurity>0</DocSecurity>
  <Lines>1040</Lines>
  <Paragraphs>292</Paragraphs>
  <ScaleCrop>false</ScaleCrop>
  <Company/>
  <LinksUpToDate>false</LinksUpToDate>
  <CharactersWithSpaces>146404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lei</dc:creator>
  <cp:keywords/>
  <dc:description/>
  <cp:lastModifiedBy>磊 赵</cp:lastModifiedBy>
  <cp:revision>102</cp:revision>
  <dcterms:created xsi:type="dcterms:W3CDTF">2026-04-21T05:48:00Z</dcterms:created>
  <dcterms:modified xsi:type="dcterms:W3CDTF">2026-04-25T11:16:00Z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id="OX0g02tr"/&gt;&lt;style id="http://www.zotero.org/styles/public-health-nutrition" hasBibliography="1" bibliographyStyleHasBeenSet="1"/&gt;&lt;prefs&gt;&lt;pref name="fieldType" value="Field"/&gt;&lt;/prefs&gt;&lt;/data&gt;</vt:lpwstr>
  </property>
</Properties>
</file>