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Sovereign Author Publishing OS</w:t>
      </w:r>
    </w:p>
    <w:p>
      <w:r>
        <w:rPr>
          <w:i/>
        </w:rPr>
        <w:t>Author command infrastructure above retailer lanes</w:t>
      </w:r>
    </w:p>
    <w:p>
      <w:r>
        <w:rPr>
          <w:b/>
        </w:rPr>
        <w:t xml:space="preserve">Author: </w:t>
      </w:r>
      <w:r>
        <w:t>Skyes Over London</w:t>
      </w:r>
      <w:r>
        <w:rPr>
          <w:b/>
        </w:rPr>
        <w:t xml:space="preserve">    Imprint: </w:t>
      </w:r>
      <w:r>
        <w:t>SOLEnterprises</w:t>
      </w:r>
    </w:p>
    <w:p/>
    <w:p>
      <w:r>
        <w:t>Sovereign Author Publishing OS</w:t>
      </w:r>
    </w:p>
    <w:p/>
    <w:p>
      <w:pPr>
        <w:pStyle w:val="Heading2"/>
      </w:pPr>
      <w:r>
        <w:t>Command Position</w:t>
      </w:r>
    </w:p>
    <w:p>
      <w:r>
        <w:t>A single author workspace should write once, package once, sell direct, and release outward from the same control plane.</w:t>
      </w:r>
    </w:p>
    <w:p/>
    <w:p>
      <w:r>
        <w:t>Why This Lives Inside SuperIDEv2</w:t>
      </w:r>
    </w:p>
    <w:p>
      <w:r>
        <w:t>SuperIDEv2 now acts as the operator shell for author manufacturing, release proof, storefront launch prep, and outward channel packaging.</w:t>
      </w:r>
    </w:p>
    <w:p/>
    <w:p>
      <w:pPr>
        <w:pStyle w:val="Heading2"/>
      </w:pPr>
      <w:r>
        <w:t>Release Spine</w:t>
      </w:r>
    </w:p>
    <w:p>
      <w:pPr>
        <w:pStyle w:val="ListBullet"/>
      </w:pPr>
      <w:r>
        <w:t>• Canonical manuscript source</w:t>
      </w:r>
    </w:p>
    <w:p>
      <w:pPr>
        <w:pStyle w:val="ListBullet"/>
      </w:pPr>
      <w:r>
        <w:t>• Edition lineage</w:t>
      </w:r>
    </w:p>
    <w:p>
      <w:pPr>
        <w:pStyle w:val="ListBullet"/>
      </w:pPr>
      <w:r>
        <w:t>• Direct-sale storefront metadata</w:t>
      </w:r>
    </w:p>
    <w:p>
      <w:pPr>
        <w:pStyle w:val="ListBullet"/>
      </w:pPr>
      <w:r>
        <w:t>• SkyeBlog launch article seeded from the same release</w:t>
      </w:r>
    </w:p>
    <w:p/>
    <w:p>
      <w:pPr>
        <w:pStyle w:val="Heading2"/>
      </w:pPr>
      <w:r>
        <w:t>Launch Notes</w:t>
      </w:r>
    </w:p>
    <w:p>
      <w:r>
        <w:t>The strongest lane is the owned direct-sale surface first. The outward channel package remains downstream from the canonical master.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