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3.0 to 10.75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Research to evidence</w:t>
            </w:r>
          </w:p>
        </w:tc>
        <w:tc>
          <w:tcPr>
            <w:tcW w:w="2400" w:type="dxa"/>
          </w:tcPr>
          <w:p>
            <w:r>
              <w:rPr/>
              <w:t>Separate accurate claims from weak claims before building a deck or document.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13:15 - 14:15</w:t>
            </w:r>
          </w:p>
        </w:tc>
        <w:tc>
          <w:tcPr>
            <w:tcW w:w="2400" w:type="dxa"/>
          </w:tcPr>
          <w:p>
            <w:r>
              <w:rPr/>
              <w:t>Claim review</w:t>
            </w:r>
          </w:p>
        </w:tc>
        <w:tc>
          <w:tcPr>
            <w:tcW w:w="2400" w:type="dxa"/>
          </w:tcPr>
          <w:p>
            <w:r>
              <w:rPr/>
              <w:t>Score source freshness, contradictions, and confidence while context is loaded.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research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