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8.5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10:15 - 11:45</w:t>
            </w:r>
          </w:p>
        </w:tc>
        <w:tc>
          <w:tcPr>
            <w:tcW w:w="2400" w:type="dxa"/>
          </w:tcPr>
          <w:p>
            <w:r>
              <w:rPr/>
              <w:t>Protected build block</w:t>
            </w:r>
          </w:p>
        </w:tc>
        <w:tc>
          <w:tcPr>
            <w:tcW w:w="2400" w:type="dxa"/>
          </w:tcPr>
          <w:p>
            <w:r>
              <w:rPr/>
              <w:t>Ship one important thing before taking on more commitments.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12:30 - 13:15</w:t>
            </w:r>
          </w:p>
        </w:tc>
        <w:tc>
          <w:tcPr>
            <w:tcW w:w="2400" w:type="dxa"/>
          </w:tcPr>
          <w:p>
            <w:r>
              <w:rPr/>
              <w:t>Recovery buffer</w:t>
            </w:r>
          </w:p>
        </w:tc>
        <w:tc>
          <w:tcPr>
            <w:tcW w:w="2400" w:type="dxa"/>
          </w:tcPr>
          <w:p>
            <w:r>
              <w:rPr/>
              <w:t>Protect energy so the week can sustain high-quality output.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recovery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