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9.25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Strategy build block</w:t>
            </w:r>
          </w:p>
        </w:tc>
        <w:tc>
          <w:tcPr>
            <w:tcW w:w="2400" w:type="dxa"/>
          </w:tcPr>
          <w:p>
            <w:r>
              <w:rPr/>
              <w:t>Pair decision framing with implementation planning.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09:00 - 10:30</w:t>
            </w:r>
          </w:p>
        </w:tc>
        <w:tc>
          <w:tcPr>
            <w:tcW w:w="2400" w:type="dxa"/>
          </w:tcPr>
          <w:p>
            <w:r>
              <w:rPr/>
              <w:t>Validation block</w:t>
            </w:r>
          </w:p>
        </w:tc>
        <w:tc>
          <w:tcPr>
            <w:tcW w:w="2400" w:type="dxa"/>
          </w:tcPr>
          <w:p>
            <w:r>
              <w:rPr/>
              <w:t>Keep artifact quality visible without overfitting to one metric.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balanced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