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8.75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Delegation design</w:t>
            </w:r>
          </w:p>
        </w:tc>
        <w:tc>
          <w:tcPr>
            <w:tcW w:w="2400" w:type="dxa"/>
          </w:tcPr>
          <w:p>
            <w:r>
              <w:rPr/>
              <w:t>Turn ambiguous open loops into owner/action/date packets.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11:30 - 12:15</w:t>
            </w:r>
          </w:p>
        </w:tc>
        <w:tc>
          <w:tcPr>
            <w:tcW w:w="2400" w:type="dxa"/>
          </w:tcPr>
          <w:p>
            <w:r>
              <w:rPr/>
              <w:t>Handoff review</w:t>
            </w:r>
          </w:p>
        </w:tc>
        <w:tc>
          <w:tcPr>
            <w:tcW w:w="2400" w:type="dxa"/>
          </w:tcPr>
          <w:p>
            <w:r>
              <w:rPr/>
              <w:t>Prevent coordination work from leaking into deep-work time.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delegate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