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10.25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10:15 - 12:15</w:t>
            </w:r>
          </w:p>
        </w:tc>
        <w:tc>
          <w:tcPr>
            <w:tcW w:w="2400" w:type="dxa"/>
          </w:tcPr>
          <w:p>
            <w:r>
              <w:rPr/>
              <w:t>Deep build block</w:t>
            </w:r>
          </w:p>
        </w:tc>
        <w:tc>
          <w:tcPr>
            <w:tcW w:w="2400" w:type="dxa"/>
          </w:tcPr>
          <w:p>
            <w:r>
              <w:rPr/>
              <w:t>Use peak cognition for architecture, code review, and high-context implementation.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Experiment and validation</w:t>
            </w:r>
          </w:p>
        </w:tc>
        <w:tc>
          <w:tcPr>
            <w:tcW w:w="2400" w:type="dxa"/>
          </w:tcPr>
          <w:p>
            <w:r>
              <w:rPr/>
              <w:t>Batch local model and artifact experiments while working memory is fresh.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focus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p>
      <w:pPr>
        <w:pStyle w:val="Heading2"/>
      </w:pPr>
      <w:r>
        <w:t>Chief of Staff Team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Agent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Job</w:t>
            </w:r>
          </w:p>
        </w:tc>
      </w:tr>
      <w:tr>
        <w:tc>
          <w:tcPr>
            <w:tcW w:w="2400" w:type="dxa"/>
          </w:tcPr>
          <w:p>
            <w:r>
              <w:rPr/>
              <w:t>Priority Strategist</w:t>
            </w:r>
          </w:p>
        </w:tc>
        <w:tc>
          <w:tcPr>
            <w:tcW w:w="2400" w:type="dxa"/>
          </w:tcPr>
          <w:p>
            <w:r>
              <w:rPr/>
              <w:t>Select the weekly few, rank by leverage, and reject low-yield commitments.</w:t>
            </w:r>
          </w:p>
        </w:tc>
      </w:tr>
      <w:tr>
        <w:tc>
          <w:tcPr>
            <w:tcW w:w="2400" w:type="dxa"/>
          </w:tcPr>
          <w:p>
            <w:r>
              <w:rPr/>
              <w:t>Calendar Architect</w:t>
            </w:r>
          </w:p>
        </w:tc>
        <w:tc>
          <w:tcPr>
            <w:tcW w:w="2400" w:type="dxa"/>
          </w:tcPr>
          <w:p>
            <w:r>
              <w:rPr/>
              <w:t>Turn schedule input into protected blocks, meeting clusters, and recovery buffers.</w:t>
            </w:r>
          </w:p>
        </w:tc>
      </w:tr>
      <w:tr>
        <w:tc>
          <w:tcPr>
            <w:tcW w:w="2400" w:type="dxa"/>
          </w:tcPr>
          <w:p>
            <w:r>
              <w:rPr/>
              <w:t>Follow-up Operator</w:t>
            </w:r>
          </w:p>
        </w:tc>
        <w:tc>
          <w:tcPr>
            <w:tcW w:w="2400" w:type="dxa"/>
          </w:tcPr>
          <w:p>
            <w:r>
              <w:rPr/>
              <w:t>Maintain owner/action/date logs and draft follow-ups for approval.</w:t>
            </w:r>
          </w:p>
        </w:tc>
      </w:tr>
      <w:tr>
        <w:tc>
          <w:tcPr>
            <w:tcW w:w="2400" w:type="dxa"/>
          </w:tcPr>
          <w:p>
            <w:r>
              <w:rPr/>
              <w:t>Energy Analyst</w:t>
            </w:r>
          </w:p>
        </w:tc>
        <w:tc>
          <w:tcPr>
            <w:tcW w:w="2400" w:type="dxa"/>
          </w:tcPr>
          <w:p>
            <w:r>
              <w:rPr/>
              <w:t>Learn which block shapes create better output and detect fragmentation.</w:t>
            </w:r>
          </w:p>
        </w:tc>
      </w:tr>
      <w:tr>
        <w:tc>
          <w:tcPr>
            <w:tcW w:w="2400" w:type="dxa"/>
          </w:tcPr>
          <w:p>
            <w:r>
              <w:rPr/>
              <w:t>Honesty Auditor</w:t>
            </w:r>
          </w:p>
        </w:tc>
        <w:tc>
          <w:tcPr>
            <w:tcW w:w="2400" w:type="dxa"/>
          </w:tcPr>
          <w:p>
            <w:r>
              <w:rPr/>
              <w:t>Flag uncertainty, missing schedule data, and overconfident productivity claims.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