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3.0 to 10.75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08:45 - 11:15</w:t>
            </w:r>
          </w:p>
        </w:tc>
        <w:tc>
          <w:tcPr>
            <w:tcW w:w="2400" w:type="dxa"/>
          </w:tcPr>
          <w:p>
            <w:r>
              <w:rPr/>
              <w:t>Research to evidence</w:t>
            </w:r>
          </w:p>
        </w:tc>
        <w:tc>
          <w:tcPr>
            <w:tcW w:w="2400" w:type="dxa"/>
          </w:tcPr>
          <w:p>
            <w:r>
              <w:rPr/>
              <w:t>Separate accurate claims from weak claims before building a deck or document.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13:15 - 14:15</w:t>
            </w:r>
          </w:p>
        </w:tc>
        <w:tc>
          <w:tcPr>
            <w:tcW w:w="2400" w:type="dxa"/>
          </w:tcPr>
          <w:p>
            <w:r>
              <w:rPr/>
              <w:t>Claim review</w:t>
            </w:r>
          </w:p>
        </w:tc>
        <w:tc>
          <w:tcPr>
            <w:tcW w:w="2400" w:type="dxa"/>
          </w:tcPr>
          <w:p>
            <w:r>
              <w:rPr/>
              <w:t>Score source freshness, contradictions, and confidence while context is loaded.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research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p>
      <w:pPr>
        <w:pStyle w:val="Heading2"/>
      </w:pPr>
      <w:r>
        <w:t>Chief of Staff Team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Agent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w="2400" w:type="dxa"/>
          </w:tcPr>
          <w:p>
            <w:r>
              <w:rPr/>
              <w:t>Priority Strategist</w:t>
            </w:r>
          </w:p>
        </w:tc>
        <w:tc>
          <w:tcPr>
            <w:tcW w:w="2400" w:type="dxa"/>
          </w:tcPr>
          <w:p>
            <w:r>
              <w:rPr/>
              <w:t>Select the weekly few, rank by leverage, and reject low-yield commitments.</w:t>
            </w:r>
          </w:p>
        </w:tc>
      </w:tr>
      <w:tr>
        <w:tc>
          <w:tcPr>
            <w:tcW w:w="2400" w:type="dxa"/>
          </w:tcPr>
          <w:p>
            <w:r>
              <w:rPr/>
              <w:t>Calendar Architect</w:t>
            </w:r>
          </w:p>
        </w:tc>
        <w:tc>
          <w:tcPr>
            <w:tcW w:w="2400" w:type="dxa"/>
          </w:tcPr>
          <w:p>
            <w:r>
              <w:rPr/>
              <w:t>Turn schedule input into protected blocks, meeting clusters, and recovery buffers.</w:t>
            </w:r>
          </w:p>
        </w:tc>
      </w:tr>
      <w:tr>
        <w:tc>
          <w:tcPr>
            <w:tcW w:w="2400" w:type="dxa"/>
          </w:tcPr>
          <w:p>
            <w:r>
              <w:rPr/>
              <w:t>Follow-up Operator</w:t>
            </w:r>
          </w:p>
        </w:tc>
        <w:tc>
          <w:tcPr>
            <w:tcW w:w="2400" w:type="dxa"/>
          </w:tcPr>
          <w:p>
            <w:r>
              <w:rPr/>
              <w:t>Maintain owner/action/date logs and draft follow-ups for approval.</w:t>
            </w:r>
          </w:p>
        </w:tc>
      </w:tr>
      <w:tr>
        <w:tc>
          <w:tcPr>
            <w:tcW w:w="2400" w:type="dxa"/>
          </w:tcPr>
          <w:p>
            <w:r>
              <w:rPr/>
              <w:t>Energy Analyst</w:t>
            </w:r>
          </w:p>
        </w:tc>
        <w:tc>
          <w:tcPr>
            <w:tcW w:w="2400" w:type="dxa"/>
          </w:tcPr>
          <w:p>
            <w:r>
              <w:rPr/>
              <w:t>Learn which block shapes create better output and detect fragmentation.</w:t>
            </w:r>
          </w:p>
        </w:tc>
      </w:tr>
      <w:tr>
        <w:tc>
          <w:tcPr>
            <w:tcW w:w="2400" w:type="dxa"/>
          </w:tcPr>
          <w:p>
            <w:r>
              <w:rPr/>
              <w:t>Honesty Auditor</w:t>
            </w:r>
          </w:p>
        </w:tc>
        <w:tc>
          <w:tcPr>
            <w:tcW w:w="2400" w:type="dxa"/>
          </w:tcPr>
          <w:p>
            <w:r>
              <w:rPr/>
              <w:t>Flag uncertainty, missing schedule data, and overconfident productivity claims.</w:t>
            </w:r>
          </w:p>
        </w:tc>
      </w:tr>
    </w:tbl>
    <w:p>
      <w:pPr>
        <w:pStyle w:val="Heading2"/>
      </w:pPr>
      <w:r>
        <w:t>Guardrail Checks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Rule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w="2400" w:type="dxa"/>
          </w:tcPr>
          <w:p>
            <w:r>
              <w:rPr/>
              <w:t>No meeting may overwrite a protected block without an explicit tradeoff note.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The agent must say when schedule data is missing instead of inventing availability.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The agent may draft calendar changes but does not send invites or messages without approval.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  <w:tr>
        <w:tc>
          <w:tcPr>
            <w:tcW w:w="2400" w:type="dxa"/>
          </w:tcPr>
          <w:p>
            <w:r>
              <w:rPr/>
              <w:t>Productivity claims must be tied to observable schedule metrics or labeled as hypotheses.</w:t>
            </w:r>
          </w:p>
        </w:tc>
        <w:tc>
          <w:tcPr>
            <w:tcW w:w="2400" w:type="dxa"/>
          </w:tcPr>
          <w:p>
            <w:r>
              <w:rPr/>
              <w:t>Honesty Auditor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