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p>
      <w:pPr>
        <w:pStyle w:val="Heading1"/>
      </w:pPr>
      <w:r>
        <w:t>Security</w:t>
      </w:r>
    </w:p>
    <w:p>
      <w:pPr>
        <w:pStyle w:val="ListParagraph"/>
      </w:pPr>
      <w:r>
        <w:t>The run writes only under agent-outputs and forbids macros, external relationships, and executable artifacts.</w:t>
      </w:r>
    </w:p>
    <w:p>
      <w:pPr>
        <w:pStyle w:val="Heading1"/>
      </w:pPr>
      <w:r>
        <w:t>Model Notes</w:t>
      </w:r>
    </w:p>
    <w:p>
      <w:pPr>
        <w:pStyle w:val="ListParagraph"/>
      </w:pPr>
      <w:r>
        <w:t>Model calls skipped for deterministic test run</w:t>
      </w:r>
    </w:p>
    <w:p>
      <w:pPr>
        <w:pStyle w:val="Heading1"/>
      </w:pPr>
      <w:r>
        <w:t>Research Accuracy</w:t>
      </w:r>
    </w:p>
    <w:p>
      <w:pPr>
        <w:pStyle w:val="ListParagraph"/>
      </w:pPr>
      <w:r>
        <w:t>Research depth factor: default. Claims are separated into verified, inferred, unsupported, and needs-review states.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