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76655" w14:textId="5E694A60" w:rsidR="00FF4A45" w:rsidRPr="000B0C2A" w:rsidRDefault="000E4787">
      <w:pPr>
        <w:rPr>
          <w:b/>
          <w:bCs/>
          <w:u w:val="single"/>
        </w:rPr>
      </w:pPr>
      <w:r w:rsidRPr="000B0C2A">
        <w:rPr>
          <w:b/>
          <w:bCs/>
          <w:u w:val="single"/>
        </w:rPr>
        <w:t>Coastal Zone</w:t>
      </w:r>
    </w:p>
    <w:p w14:paraId="7B42C58B" w14:textId="5B86E3A9" w:rsidR="00FF4A45" w:rsidRDefault="00FF4A45">
      <w:r>
        <w:t>B</w:t>
      </w:r>
      <w:r w:rsidR="000E4787">
        <w:t>roadly defined as globally distributed, dynamic, heterogeneous, and transitional areas between land and sea;</w:t>
      </w:r>
      <w:r w:rsidR="006A7EE1">
        <w:t xml:space="preserve"> influenced by both terrestrial and marine processes; habitats</w:t>
      </w:r>
      <w:r w:rsidR="000E4787">
        <w:t xml:space="preserve"> can include rocky coasts</w:t>
      </w:r>
      <w:r w:rsidR="00591A3C">
        <w:t>/cliffs</w:t>
      </w:r>
      <w:r w:rsidR="000E4787">
        <w:t xml:space="preserve">, beaches, </w:t>
      </w:r>
      <w:r w:rsidR="00591A3C">
        <w:t xml:space="preserve">tidal flats/coastal wetlands, deltaic coasts, </w:t>
      </w:r>
      <w:r w:rsidR="000E4787">
        <w:t xml:space="preserve">barrier islands, reefs and atolls, estuaries, </w:t>
      </w:r>
      <w:r w:rsidR="00591A3C">
        <w:t>and</w:t>
      </w:r>
      <w:r>
        <w:t xml:space="preserve"> shallow seas</w:t>
      </w:r>
      <w:r w:rsidR="00591A3C">
        <w:t xml:space="preserve">. </w:t>
      </w:r>
    </w:p>
    <w:p w14:paraId="47828B7B" w14:textId="5286EE11" w:rsidR="00591A3C" w:rsidRDefault="006A7EE1" w:rsidP="006A7EE1">
      <w:r>
        <w:t>Coastal Zone has no single definition but often includes river basins and catchments, estuaries, and coastal/shallow seas</w:t>
      </w:r>
      <w:r w:rsidR="00FF4A45">
        <w:t xml:space="preserve">. </w:t>
      </w:r>
      <w:r w:rsidR="002D5CEF">
        <w:t>Broad g</w:t>
      </w:r>
      <w:r w:rsidR="00FF4A45">
        <w:t>enera</w:t>
      </w:r>
      <w:r w:rsidR="00EB6AF8">
        <w:t xml:space="preserve">lity is that it </w:t>
      </w:r>
      <w:r w:rsidR="00FF4A45">
        <w:t>extends</w:t>
      </w:r>
      <w:r>
        <w:t xml:space="preserve"> from the continental shelf to 100 km inland from the land-sea interface</w:t>
      </w:r>
      <w:r w:rsidR="00EB6AF8">
        <w:t xml:space="preserve"> (Crossland et al. 2005)</w:t>
      </w:r>
      <w:r>
        <w:t xml:space="preserve">. </w:t>
      </w:r>
    </w:p>
    <w:p w14:paraId="04993667" w14:textId="6DB88A56" w:rsidR="006A7EE1" w:rsidRDefault="00FD6CCC" w:rsidP="006A7EE1">
      <w:r>
        <w:t>The definition</w:t>
      </w:r>
      <w:r w:rsidR="006A7EE1">
        <w:t xml:space="preserve"> can be more narrowly constrained based on the “coastline and adjacent geomorphological features determined by the action of the sea on the land margin”</w:t>
      </w:r>
      <w:r w:rsidR="002D5CEF">
        <w:t xml:space="preserve"> (Crossland et al. 2005).</w:t>
      </w:r>
      <w:r w:rsidR="00591A3C">
        <w:t xml:space="preserve"> In such cases, marine/sea influences on the land margin could include tides, ocean currents, waves, </w:t>
      </w:r>
      <w:r w:rsidR="00EB6AF8">
        <w:t>and coastal hazards like sea-level rise, storms, tsunamis, or landslides.</w:t>
      </w:r>
    </w:p>
    <w:p w14:paraId="1595A47B" w14:textId="2A4C79E9" w:rsidR="006A7EE1" w:rsidRDefault="006A7EE1">
      <w:r>
        <w:t xml:space="preserve">As defined by the Land-Ocean Interactions in the Coastal Zone (LOICZ) project (established as </w:t>
      </w:r>
      <w:r w:rsidR="00591A3C">
        <w:t xml:space="preserve">one </w:t>
      </w:r>
      <w:r>
        <w:t xml:space="preserve">of the International Geosphere-Biosphere </w:t>
      </w:r>
      <w:proofErr w:type="spellStart"/>
      <w:r>
        <w:t>Programme</w:t>
      </w:r>
      <w:r w:rsidR="00591A3C">
        <w:t>’s</w:t>
      </w:r>
      <w:proofErr w:type="spellEnd"/>
      <w:r>
        <w:t xml:space="preserve"> (IGBP) core projects), the </w:t>
      </w:r>
      <w:r w:rsidR="00591A3C">
        <w:t>C</w:t>
      </w:r>
      <w:r>
        <w:t xml:space="preserve">oastal </w:t>
      </w:r>
      <w:r w:rsidR="00591A3C">
        <w:t>Z</w:t>
      </w:r>
      <w:r>
        <w:t>one extends “from the coastal plains to the outer edge of the continental shelves, approximately matching the region that has been alternatively flooded and exposed during the sea level fluctuations of the late Quaternary period</w:t>
      </w:r>
      <w:r w:rsidR="002D5CEF">
        <w:t xml:space="preserve"> </w:t>
      </w:r>
      <w:r>
        <w:t>(</w:t>
      </w:r>
      <w:proofErr w:type="spellStart"/>
      <w:r>
        <w:t>Holligan</w:t>
      </w:r>
      <w:proofErr w:type="spellEnd"/>
      <w:r>
        <w:t xml:space="preserve"> and de </w:t>
      </w:r>
      <w:proofErr w:type="spellStart"/>
      <w:r>
        <w:t>Boois</w:t>
      </w:r>
      <w:proofErr w:type="spellEnd"/>
      <w:r>
        <w:t xml:space="preserve"> 1993).</w:t>
      </w:r>
      <w:r w:rsidR="002D5CEF">
        <w:t>”</w:t>
      </w:r>
    </w:p>
    <w:p w14:paraId="136FDF71" w14:textId="2FA17BDE" w:rsidR="002D5CEF" w:rsidRDefault="002D5CEF" w:rsidP="002D5CEF">
      <w:r>
        <w:t xml:space="preserve">OECD approach to defining </w:t>
      </w:r>
      <w:r w:rsidR="00FD6CCC">
        <w:t>C</w:t>
      </w:r>
      <w:r>
        <w:t xml:space="preserve">oastal </w:t>
      </w:r>
      <w:r w:rsidR="00FD6CCC">
        <w:t>Z</w:t>
      </w:r>
      <w:r>
        <w:t>one varies depending on nature of problem being addressed (e.g., can expand to include “near-coastal zone” up to 100 km inland from shoreline and 100 m above sea level, which captures areas where human populations are exposed to coastal hazards</w:t>
      </w:r>
      <w:r w:rsidR="00591A3C">
        <w:t>)</w:t>
      </w:r>
      <w:r>
        <w:t xml:space="preserve">. Conversely, this would suggest it can </w:t>
      </w:r>
      <w:r w:rsidR="00FD6CCC">
        <w:t xml:space="preserve">also </w:t>
      </w:r>
      <w:r>
        <w:t xml:space="preserve">be constrained. Most narrowly, this </w:t>
      </w:r>
      <w:r w:rsidR="00591A3C">
        <w:t>c</w:t>
      </w:r>
      <w:r>
        <w:t xml:space="preserve">ould include intertidal coastal habitats </w:t>
      </w:r>
      <w:r w:rsidR="00FD6CCC">
        <w:t>but also</w:t>
      </w:r>
      <w:r>
        <w:t xml:space="preserve"> encompass their </w:t>
      </w:r>
      <w:r w:rsidR="00EB6AF8">
        <w:t xml:space="preserve">physical, </w:t>
      </w:r>
      <w:r>
        <w:t>biogeochemical</w:t>
      </w:r>
      <w:r w:rsidR="00EB6AF8">
        <w:t>, ecological,</w:t>
      </w:r>
      <w:r>
        <w:t xml:space="preserve"> and socio-economic linkages</w:t>
      </w:r>
      <w:r w:rsidR="00EB6AF8">
        <w:t xml:space="preserve"> with adjacent areas</w:t>
      </w:r>
      <w:r>
        <w:t xml:space="preserve">. </w:t>
      </w:r>
    </w:p>
    <w:p w14:paraId="632AE492" w14:textId="0B9F7CF1" w:rsidR="009D0C6A" w:rsidRDefault="002D5CEF">
      <w:r>
        <w:t>The IGBP</w:t>
      </w:r>
      <w:r w:rsidR="009D0C6A">
        <w:t xml:space="preserve">’s </w:t>
      </w:r>
      <w:r>
        <w:t xml:space="preserve">LOICZ project defines </w:t>
      </w:r>
      <w:r w:rsidR="00EB6AF8">
        <w:t>C</w:t>
      </w:r>
      <w:r>
        <w:t xml:space="preserve">oastal </w:t>
      </w:r>
      <w:r w:rsidR="00EB6AF8">
        <w:t>Z</w:t>
      </w:r>
      <w:r>
        <w:t>one as the area that “extends from the 200 m land elevation contour seaward to the 200 m depth isopleth (</w:t>
      </w:r>
      <w:proofErr w:type="spellStart"/>
      <w:r>
        <w:t>Pernetta</w:t>
      </w:r>
      <w:proofErr w:type="spellEnd"/>
      <w:r>
        <w:t xml:space="preserve"> and Milliman 1995). This region is viewed as encapsulating most of the material fluxes and processes of transformation, </w:t>
      </w:r>
      <w:proofErr w:type="gramStart"/>
      <w:r>
        <w:t>storage</w:t>
      </w:r>
      <w:proofErr w:type="gramEnd"/>
      <w:r>
        <w:t xml:space="preserve"> and interaction of materials, including human dimensions of the coastal zone. However, operationally in LOICZ and in keeping with the general acceptance of the OECD approach, the setting of the spatial or geographical dimensions of the coastal zone has been determined by the particular issues of land-ocean interaction being addressed.”</w:t>
      </w:r>
      <w:r w:rsidR="009D0C6A">
        <w:t xml:space="preserve"> (Crossland et al. 2005). </w:t>
      </w:r>
    </w:p>
    <w:p w14:paraId="6797E3C7" w14:textId="77777777" w:rsidR="009D0C6A" w:rsidRDefault="009D0C6A">
      <w:r>
        <w:t xml:space="preserve">Global characteristics include: </w:t>
      </w:r>
    </w:p>
    <w:p w14:paraId="14B17B53" w14:textId="7D131C4A" w:rsidR="006A7EE1" w:rsidRDefault="009D0C6A" w:rsidP="00FD6CCC">
      <w:pPr>
        <w:pStyle w:val="ListParagraph"/>
        <w:numPr>
          <w:ilvl w:val="0"/>
          <w:numId w:val="1"/>
        </w:numPr>
      </w:pPr>
      <w:r>
        <w:t>&lt;</w:t>
      </w:r>
      <w:r w:rsidR="00FD6CCC">
        <w:t xml:space="preserve"> </w:t>
      </w:r>
      <w:r>
        <w:t>20% of earth’s surface but &gt;</w:t>
      </w:r>
      <w:r w:rsidR="00FD6CCC">
        <w:t xml:space="preserve"> </w:t>
      </w:r>
      <w:r>
        <w:t xml:space="preserve">45% of human population and </w:t>
      </w:r>
      <w:r w:rsidR="00FD6CCC">
        <w:t>~</w:t>
      </w:r>
      <w:r>
        <w:t xml:space="preserve">75% of </w:t>
      </w:r>
      <w:r w:rsidR="00FD6CCC">
        <w:t xml:space="preserve">world’s </w:t>
      </w:r>
      <w:r>
        <w:t>megacities</w:t>
      </w:r>
    </w:p>
    <w:p w14:paraId="6D698DE4" w14:textId="77777777" w:rsidR="00FD6CCC" w:rsidRDefault="009D0C6A" w:rsidP="00FD6CCC">
      <w:pPr>
        <w:pStyle w:val="ListParagraph"/>
        <w:numPr>
          <w:ilvl w:val="0"/>
          <w:numId w:val="1"/>
        </w:numPr>
      </w:pPr>
      <w:r>
        <w:t>Provision of ecosystem services disproportionately large for spatial extent (Costanza et al. 2014)</w:t>
      </w:r>
    </w:p>
    <w:p w14:paraId="3109C802" w14:textId="1DA66866" w:rsidR="00E9264D" w:rsidRPr="00E9264D" w:rsidRDefault="00FD6CCC" w:rsidP="00E9264D">
      <w:pPr>
        <w:pStyle w:val="ListParagraph"/>
        <w:numPr>
          <w:ilvl w:val="0"/>
          <w:numId w:val="1"/>
        </w:numPr>
      </w:pPr>
      <w:r>
        <w:t>Services include</w:t>
      </w:r>
      <w:r w:rsidR="009D0C6A">
        <w:t xml:space="preserve"> fisheries and other natural resources/commodities and amenities</w:t>
      </w:r>
      <w:r>
        <w:t>; h</w:t>
      </w:r>
      <w:r w:rsidR="009D0C6A">
        <w:t>otspot for biogeochemical processes</w:t>
      </w:r>
      <w:r>
        <w:t>; m</w:t>
      </w:r>
      <w:r w:rsidR="009D0C6A">
        <w:t>ajor sediment sink</w:t>
      </w:r>
      <w:r>
        <w:t xml:space="preserve">, etc. </w:t>
      </w:r>
    </w:p>
    <w:p w14:paraId="2DE7C305" w14:textId="77777777" w:rsidR="00E9264D" w:rsidRDefault="00E9264D" w:rsidP="009D66E2">
      <w:pPr>
        <w:ind w:left="270" w:hanging="270"/>
        <w:rPr>
          <w:rFonts w:cstheme="minorHAnsi"/>
          <w:shd w:val="clear" w:color="auto" w:fill="FFFFFF"/>
        </w:rPr>
      </w:pPr>
      <w:r>
        <w:rPr>
          <w:rFonts w:cstheme="minorHAnsi"/>
          <w:shd w:val="clear" w:color="auto" w:fill="FFFFFF"/>
        </w:rPr>
        <w:t>References</w:t>
      </w:r>
    </w:p>
    <w:p w14:paraId="08442856" w14:textId="0976CECA" w:rsidR="009D66E2" w:rsidRPr="009D66E2" w:rsidRDefault="009D66E2" w:rsidP="009D66E2">
      <w:pPr>
        <w:ind w:left="270" w:hanging="270"/>
        <w:rPr>
          <w:rFonts w:cstheme="minorHAnsi"/>
        </w:rPr>
      </w:pPr>
      <w:r w:rsidRPr="009D66E2">
        <w:rPr>
          <w:rFonts w:cstheme="minorHAnsi"/>
          <w:shd w:val="clear" w:color="auto" w:fill="FFFFFF"/>
        </w:rPr>
        <w:t xml:space="preserve">Crossland, C.J., Kremer, H.H., </w:t>
      </w:r>
      <w:proofErr w:type="spellStart"/>
      <w:r w:rsidRPr="009D66E2">
        <w:rPr>
          <w:rFonts w:cstheme="minorHAnsi"/>
          <w:shd w:val="clear" w:color="auto" w:fill="FFFFFF"/>
        </w:rPr>
        <w:t>Lindeboom</w:t>
      </w:r>
      <w:proofErr w:type="spellEnd"/>
      <w:r w:rsidRPr="009D66E2">
        <w:rPr>
          <w:rFonts w:cstheme="minorHAnsi"/>
          <w:shd w:val="clear" w:color="auto" w:fill="FFFFFF"/>
        </w:rPr>
        <w:t xml:space="preserve">, H., Crossland, J.I.M. and Le </w:t>
      </w:r>
      <w:proofErr w:type="spellStart"/>
      <w:r w:rsidRPr="009D66E2">
        <w:rPr>
          <w:rFonts w:cstheme="minorHAnsi"/>
          <w:shd w:val="clear" w:color="auto" w:fill="FFFFFF"/>
        </w:rPr>
        <w:t>Tissier</w:t>
      </w:r>
      <w:proofErr w:type="spellEnd"/>
      <w:r w:rsidRPr="009D66E2">
        <w:rPr>
          <w:rFonts w:cstheme="minorHAnsi"/>
          <w:shd w:val="clear" w:color="auto" w:fill="FFFFFF"/>
        </w:rPr>
        <w:t>, M.D. eds., 2005. </w:t>
      </w:r>
      <w:r w:rsidRPr="009D66E2">
        <w:rPr>
          <w:rFonts w:cstheme="minorHAnsi"/>
          <w:i/>
          <w:iCs/>
          <w:shd w:val="clear" w:color="auto" w:fill="FFFFFF"/>
        </w:rPr>
        <w:t xml:space="preserve">Coastal fluxes in the Anthropocene: the land-ocean interactions in the coastal zone project of the International Geosphere-Biosphere </w:t>
      </w:r>
      <w:proofErr w:type="spellStart"/>
      <w:r w:rsidRPr="009D66E2">
        <w:rPr>
          <w:rFonts w:cstheme="minorHAnsi"/>
          <w:i/>
          <w:iCs/>
          <w:shd w:val="clear" w:color="auto" w:fill="FFFFFF"/>
        </w:rPr>
        <w:t>Programme</w:t>
      </w:r>
      <w:proofErr w:type="spellEnd"/>
      <w:r w:rsidRPr="009D66E2">
        <w:rPr>
          <w:rFonts w:cstheme="minorHAnsi"/>
          <w:shd w:val="clear" w:color="auto" w:fill="FFFFFF"/>
        </w:rPr>
        <w:t>. Springer Science &amp; Business Media.</w:t>
      </w:r>
    </w:p>
    <w:sectPr w:rsidR="009D66E2" w:rsidRPr="009D66E2" w:rsidSect="000C660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821F7F"/>
    <w:multiLevelType w:val="hybridMultilevel"/>
    <w:tmpl w:val="E6665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87"/>
    <w:rsid w:val="00004098"/>
    <w:rsid w:val="000B0C2A"/>
    <w:rsid w:val="000C660F"/>
    <w:rsid w:val="000E4787"/>
    <w:rsid w:val="002D5CEF"/>
    <w:rsid w:val="00414239"/>
    <w:rsid w:val="0056183F"/>
    <w:rsid w:val="00591A3C"/>
    <w:rsid w:val="006A7EE1"/>
    <w:rsid w:val="009842C2"/>
    <w:rsid w:val="009D0C6A"/>
    <w:rsid w:val="009D66E2"/>
    <w:rsid w:val="00E9264D"/>
    <w:rsid w:val="00EB6AF8"/>
    <w:rsid w:val="00FD6CCC"/>
    <w:rsid w:val="00FF4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F394"/>
  <w15:chartTrackingRefBased/>
  <w15:docId w15:val="{A0DD52E2-4A4C-4801-8069-FA80A826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University of Alabama</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Cherry</dc:creator>
  <cp:keywords/>
  <dc:description/>
  <cp:lastModifiedBy>Hank Loescher (US)</cp:lastModifiedBy>
  <cp:revision>3</cp:revision>
  <dcterms:created xsi:type="dcterms:W3CDTF">2022-02-23T15:44:00Z</dcterms:created>
  <dcterms:modified xsi:type="dcterms:W3CDTF">2022-02-25T15:18:00Z</dcterms:modified>
</cp:coreProperties>
</file>