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3FD321" w14:textId="77777777" w:rsidR="004E4164" w:rsidRPr="004E4164" w:rsidRDefault="004E4164" w:rsidP="004E416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4164">
        <w:rPr>
          <w:rFonts w:ascii="Times New Roman" w:eastAsia="Times New Roman" w:hAnsi="Times New Roman" w:cs="Times New Roman"/>
          <w:b/>
          <w:bCs/>
          <w:kern w:val="36"/>
          <w:sz w:val="48"/>
          <w:szCs w:val="48"/>
          <w14:ligatures w14:val="none"/>
        </w:rPr>
        <w:t>Ground Truth: Extracting and Evaluating Software and Hardware Bills of Materials for Vehicle Software and Supplier Binaries</w:t>
      </w:r>
    </w:p>
    <w:p w14:paraId="32935C5A" w14:textId="77777777" w:rsidR="004E4164" w:rsidRPr="004E4164" w:rsidRDefault="004E4164" w:rsidP="004E4164">
      <w:pPr>
        <w:spacing w:before="100" w:beforeAutospacing="1" w:after="100" w:afterAutospacing="1" w:line="240" w:lineRule="auto"/>
        <w:rPr>
          <w:rFonts w:ascii="Times New Roman" w:eastAsia="Times New Roman" w:hAnsi="Times New Roman" w:cs="Times New Roman"/>
          <w:kern w:val="0"/>
          <w14:ligatures w14:val="none"/>
        </w:rPr>
      </w:pPr>
      <w:r w:rsidRPr="004E4164">
        <w:rPr>
          <w:rFonts w:ascii="Times New Roman" w:eastAsia="Times New Roman" w:hAnsi="Times New Roman" w:cs="Times New Roman"/>
          <w:i/>
          <w:iCs/>
          <w:kern w:val="0"/>
          <w14:ligatures w14:val="none"/>
        </w:rPr>
        <w:t>Senior Design Proposal, 2026–2027 • Draft for Review</w:t>
      </w:r>
    </w:p>
    <w:p w14:paraId="5A4AA77C" w14:textId="77777777" w:rsidR="004E4164" w:rsidRPr="004E4164" w:rsidRDefault="004E4164" w:rsidP="004E4164">
      <w:pPr>
        <w:spacing w:before="100" w:beforeAutospacing="1" w:after="100" w:afterAutospacing="1" w:line="240" w:lineRule="auto"/>
        <w:rPr>
          <w:rFonts w:ascii="Times New Roman" w:eastAsia="Times New Roman" w:hAnsi="Times New Roman" w:cs="Times New Roman"/>
          <w:kern w:val="0"/>
          <w14:ligatures w14:val="none"/>
        </w:rPr>
      </w:pPr>
      <w:r w:rsidRPr="004E4164">
        <w:rPr>
          <w:rFonts w:ascii="Times New Roman" w:eastAsia="Times New Roman" w:hAnsi="Times New Roman" w:cs="Times New Roman"/>
          <w:b/>
          <w:bCs/>
          <w:kern w:val="0"/>
          <w14:ligatures w14:val="none"/>
        </w:rPr>
        <w:t>Sponsors:</w:t>
      </w:r>
      <w:r w:rsidRPr="004E4164">
        <w:rPr>
          <w:rFonts w:ascii="Times New Roman" w:eastAsia="Times New Roman" w:hAnsi="Times New Roman" w:cs="Times New Roman"/>
          <w:kern w:val="0"/>
          <w14:ligatures w14:val="none"/>
        </w:rPr>
        <w:t xml:space="preserve"> [Faculty Sponsor], Department of Electrical Engineering and Computer Science; [EcoCAR Faculty Advisor], UTK EcoCAR Team</w:t>
      </w:r>
    </w:p>
    <w:p w14:paraId="7D082220" w14:textId="77777777" w:rsidR="004E4164" w:rsidRPr="004E4164" w:rsidRDefault="004E4164" w:rsidP="004E4164">
      <w:pPr>
        <w:spacing w:before="100" w:beforeAutospacing="1" w:after="100" w:afterAutospacing="1" w:line="240" w:lineRule="auto"/>
        <w:rPr>
          <w:rFonts w:ascii="Times New Roman" w:eastAsia="Times New Roman" w:hAnsi="Times New Roman" w:cs="Times New Roman"/>
          <w:kern w:val="0"/>
          <w14:ligatures w14:val="none"/>
        </w:rPr>
      </w:pPr>
      <w:r w:rsidRPr="004E4164">
        <w:rPr>
          <w:rFonts w:ascii="Times New Roman" w:eastAsia="Times New Roman" w:hAnsi="Times New Roman" w:cs="Times New Roman"/>
          <w:b/>
          <w:bCs/>
          <w:kern w:val="0"/>
          <w14:ligatures w14:val="none"/>
        </w:rPr>
        <w:t>Disciplines:</w:t>
      </w:r>
      <w:r w:rsidRPr="004E4164">
        <w:rPr>
          <w:rFonts w:ascii="Times New Roman" w:eastAsia="Times New Roman" w:hAnsi="Times New Roman" w:cs="Times New Roman"/>
          <w:kern w:val="0"/>
          <w14:ligatures w14:val="none"/>
        </w:rPr>
        <w:t xml:space="preserve"> Computer Science, Computer Engineering • Security tooling and empirical evaluation • Companion to the software supply chain governance project: that project establishes provenance for code the team writes, this one determines what is inside the code the team did not write</w:t>
      </w:r>
    </w:p>
    <w:p w14:paraId="3C121CE9" w14:textId="77777777" w:rsidR="004E4164" w:rsidRPr="004E4164" w:rsidRDefault="00E727EC" w:rsidP="004E4164">
      <w:pPr>
        <w:spacing w:after="0" w:line="240" w:lineRule="auto"/>
        <w:rPr>
          <w:rFonts w:ascii="Times New Roman" w:eastAsia="Times New Roman" w:hAnsi="Times New Roman" w:cs="Times New Roman"/>
          <w:kern w:val="0"/>
          <w14:ligatures w14:val="none"/>
        </w:rPr>
      </w:pPr>
      <w:r>
        <w:rPr>
          <w:noProof/>
        </w:rPr>
      </w:r>
      <w:r>
        <w:pict w14:anchorId="3190AFE7">
          <v:rect id="Horizontal Lin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EBF714" w14:textId="77777777" w:rsidR="004E4164" w:rsidRPr="004E4164" w:rsidRDefault="004E4164" w:rsidP="004E416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4164">
        <w:rPr>
          <w:rFonts w:ascii="Times New Roman" w:eastAsia="Times New Roman" w:hAnsi="Times New Roman" w:cs="Times New Roman"/>
          <w:b/>
          <w:bCs/>
          <w:kern w:val="0"/>
          <w:sz w:val="36"/>
          <w:szCs w:val="36"/>
          <w14:ligatures w14:val="none"/>
        </w:rPr>
        <w:t>Project Background and Objective</w:t>
      </w:r>
    </w:p>
    <w:p w14:paraId="00728B58" w14:textId="77777777" w:rsidR="004E4164" w:rsidRPr="004E4164" w:rsidRDefault="004E4164" w:rsidP="004E4164">
      <w:pPr>
        <w:spacing w:before="100" w:beforeAutospacing="1" w:after="100" w:afterAutospacing="1" w:line="240" w:lineRule="auto"/>
        <w:rPr>
          <w:rFonts w:ascii="Times New Roman" w:eastAsia="Times New Roman" w:hAnsi="Times New Roman" w:cs="Times New Roman"/>
          <w:kern w:val="0"/>
          <w14:ligatures w14:val="none"/>
        </w:rPr>
      </w:pPr>
      <w:r w:rsidRPr="004E4164">
        <w:rPr>
          <w:rFonts w:ascii="Times New Roman" w:eastAsia="Times New Roman" w:hAnsi="Times New Roman" w:cs="Times New Roman"/>
          <w:kern w:val="0"/>
          <w14:ligatures w14:val="none"/>
        </w:rPr>
        <w:t>A modern vehicle is a distributed computer system of roughly a hundred electronic control units, and the manufacturer wrote almost none of the software running on them. Tier-1 suppliers deliver ECUs as flashable binary images, frequently without source, and each of those images carries an inherited stack of open-source components that nobody at the OEM selected: a TCP/IP stack, a TLS library, a compression routine, an RTOS. When Ripple20 disclosed nineteen vulnerabilities in the Treck embedded networking stack, the difficulty was never the patch. The difficulty was that affected organizations could not determine whether they shipped Treck at all, because the dependency had passed through three tiers of suppliers before reaching the vehicle.</w:t>
      </w:r>
    </w:p>
    <w:p w14:paraId="4558509D" w14:textId="77777777" w:rsidR="004E4164" w:rsidRPr="004E4164" w:rsidRDefault="004E4164" w:rsidP="004E4164">
      <w:pPr>
        <w:spacing w:before="100" w:beforeAutospacing="1" w:after="100" w:afterAutospacing="1" w:line="240" w:lineRule="auto"/>
        <w:rPr>
          <w:rFonts w:ascii="Times New Roman" w:eastAsia="Times New Roman" w:hAnsi="Times New Roman" w:cs="Times New Roman"/>
          <w:kern w:val="0"/>
          <w14:ligatures w14:val="none"/>
        </w:rPr>
      </w:pPr>
      <w:r w:rsidRPr="004E4164">
        <w:rPr>
          <w:rFonts w:ascii="Times New Roman" w:eastAsia="Times New Roman" w:hAnsi="Times New Roman" w:cs="Times New Roman"/>
          <w:kern w:val="0"/>
          <w14:ligatures w14:val="none"/>
        </w:rPr>
        <w:t>Regulation has now closed on this gap. UNECE R155 requires a certified cybersecurity management system covering the supply chain, and R156 requires the manufacturer to identify and manage the software present on every vehicle, expressed through a software identification number. ISO/SAE 21434 pushes component level cybersecurity obligations across supplier interfaces. All three make the OEM accountable for the contents of binaries it cannot read the source of. Meanwhile, the entire practical SBOM tooling ecosystem assumes an x86 Linux host with a package manager, a filesystem, and dynamic linking, which describes precisely one component of a vehicle, the infotainment head unit, and none of the safety relevant ones.</w:t>
      </w:r>
    </w:p>
    <w:p w14:paraId="68195FDD" w14:textId="77777777" w:rsidR="004E4164" w:rsidRPr="004E4164" w:rsidRDefault="004E4164" w:rsidP="004E4164">
      <w:pPr>
        <w:spacing w:before="100" w:beforeAutospacing="1" w:after="100" w:afterAutospacing="1" w:line="240" w:lineRule="auto"/>
        <w:rPr>
          <w:rFonts w:ascii="Times New Roman" w:eastAsia="Times New Roman" w:hAnsi="Times New Roman" w:cs="Times New Roman"/>
          <w:kern w:val="0"/>
          <w14:ligatures w14:val="none"/>
        </w:rPr>
      </w:pPr>
      <w:r w:rsidRPr="004E4164">
        <w:rPr>
          <w:rFonts w:ascii="Times New Roman" w:eastAsia="Times New Roman" w:hAnsi="Times New Roman" w:cs="Times New Roman"/>
          <w:kern w:val="0"/>
          <w14:ligatures w14:val="none"/>
        </w:rPr>
        <w:t>This project builds a pipeline that recovers software and hardware bills of materials from automotive source and from stripped, statically linked ECU firmware on embedded architectures, and then does the part that is usually skipped: it measures how wrong the output is, against ground truth the team constructs rather than borrows. The EcoCAR vehicle and its development environment provide the test article.</w:t>
      </w:r>
    </w:p>
    <w:p w14:paraId="307F9BDE" w14:textId="77777777" w:rsidR="004E4164" w:rsidRPr="004E4164" w:rsidRDefault="004E4164" w:rsidP="004E416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4164">
        <w:rPr>
          <w:rFonts w:ascii="Times New Roman" w:eastAsia="Times New Roman" w:hAnsi="Times New Roman" w:cs="Times New Roman"/>
          <w:b/>
          <w:bCs/>
          <w:kern w:val="0"/>
          <w:sz w:val="36"/>
          <w:szCs w:val="36"/>
          <w14:ligatures w14:val="none"/>
        </w:rPr>
        <w:lastRenderedPageBreak/>
        <w:t>Project Scope</w:t>
      </w:r>
    </w:p>
    <w:p w14:paraId="2A8B73C8" w14:textId="77777777" w:rsidR="004E4164" w:rsidRPr="004E4164" w:rsidRDefault="004E4164" w:rsidP="004E416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E4164">
        <w:rPr>
          <w:rFonts w:ascii="Times New Roman" w:eastAsia="Times New Roman" w:hAnsi="Times New Roman" w:cs="Times New Roman"/>
          <w:b/>
          <w:bCs/>
          <w:kern w:val="0"/>
          <w14:ligatures w14:val="none"/>
        </w:rPr>
        <w:t>Binary and firmware extraction from supplier ECU images.</w:t>
      </w:r>
      <w:r w:rsidRPr="004E4164">
        <w:rPr>
          <w:rFonts w:ascii="Times New Roman" w:eastAsia="Times New Roman" w:hAnsi="Times New Roman" w:cs="Times New Roman"/>
          <w:kern w:val="0"/>
          <w14:ligatures w14:val="none"/>
        </w:rPr>
        <w:t xml:space="preserve"> Unpack flash containers, including ODX format update packages, and recover components along two tracks. Metadata evidence such as build identifiers, embedded version and copyright strings, symbol tables where present, and compiler artifacts is cheap and brittle. Code similarity evidence, meaning fuzzy and basic block hashing plus function level matching against an independently built corpus, survives stripping and static linking but costs far more. Version identification is treated as a first class problem, because it is exactly what R156 software identification requires.</w:t>
      </w:r>
    </w:p>
    <w:p w14:paraId="42E59B38" w14:textId="77777777" w:rsidR="004E4164" w:rsidRPr="004E4164" w:rsidRDefault="004E4164" w:rsidP="004E416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E4164">
        <w:rPr>
          <w:rFonts w:ascii="Times New Roman" w:eastAsia="Times New Roman" w:hAnsi="Times New Roman" w:cs="Times New Roman"/>
          <w:b/>
          <w:bCs/>
          <w:kern w:val="0"/>
          <w14:ligatures w14:val="none"/>
        </w:rPr>
        <w:t>Ground truth by construction, on automotive toolchains.</w:t>
      </w:r>
      <w:r w:rsidRPr="004E4164">
        <w:rPr>
          <w:rFonts w:ascii="Times New Roman" w:eastAsia="Times New Roman" w:hAnsi="Times New Roman" w:cs="Times New Roman"/>
          <w:kern w:val="0"/>
          <w14:ligatures w14:val="none"/>
        </w:rPr>
        <w:t xml:space="preserve"> Build a labelled corpus by compiling known open source components with recorded dependency closures across the compilers and targets that actually appear in vehicles: ARM Cortex-M and Cortex-R, Infineon TriCore, Renesas RH850, and PowerPC, at varying optimization levels, statically linked, stripped and unstripped. Ground truth comes from instrumenting the build, never from another tool's output. This corpus is the project's foundation and should begin in week one. It is also the deliverable most likely to outlive the project, since no comparable labelled set for automotive architectures exists publicly.</w:t>
      </w:r>
    </w:p>
    <w:p w14:paraId="7D808BD5" w14:textId="77777777" w:rsidR="004E4164" w:rsidRPr="004E4164" w:rsidRDefault="004E4164" w:rsidP="004E416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E4164">
        <w:rPr>
          <w:rFonts w:ascii="Times New Roman" w:eastAsia="Times New Roman" w:hAnsi="Times New Roman" w:cs="Times New Roman"/>
          <w:b/>
          <w:bCs/>
          <w:kern w:val="0"/>
          <w14:ligatures w14:val="none"/>
        </w:rPr>
        <w:t>Hardware bill of materials and firmware to ECU binding.</w:t>
      </w:r>
      <w:r w:rsidRPr="004E4164">
        <w:rPr>
          <w:rFonts w:ascii="Times New Roman" w:eastAsia="Times New Roman" w:hAnsi="Times New Roman" w:cs="Times New Roman"/>
          <w:kern w:val="0"/>
          <w14:ligatures w14:val="none"/>
        </w:rPr>
        <w:t xml:space="preserve"> Recover hardware identity from device trees, kernel and MCAL configuration, board support packages, peripheral and transceiver identifiers embedded in drivers, and vendor IP instantiation where HDL is available. Map recovered entries to CISA HBOM attributes and CycloneDX hardware component types, and bind each ECU's hardware entry to the firmware image that runs on it.</w:t>
      </w:r>
    </w:p>
    <w:p w14:paraId="47815813" w14:textId="77777777" w:rsidR="004E4164" w:rsidRPr="004E4164" w:rsidRDefault="004E4164" w:rsidP="004E416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E4164">
        <w:rPr>
          <w:rFonts w:ascii="Times New Roman" w:eastAsia="Times New Roman" w:hAnsi="Times New Roman" w:cs="Times New Roman"/>
          <w:b/>
          <w:bCs/>
          <w:kern w:val="0"/>
          <w14:ligatures w14:val="none"/>
        </w:rPr>
        <w:t>Corroboration against the live vehicle.</w:t>
      </w:r>
      <w:r w:rsidRPr="004E4164">
        <w:rPr>
          <w:rFonts w:ascii="Times New Roman" w:eastAsia="Times New Roman" w:hAnsi="Times New Roman" w:cs="Times New Roman"/>
          <w:kern w:val="0"/>
          <w14:ligatures w14:val="none"/>
        </w:rPr>
        <w:t xml:space="preserve"> Query software and hardware version identifiers over UDS on a bench harness and, where safe, on the EcoCAR vehicle, then compare what the vehicle reports about itself against what the extractor found in the image. Disagreement between the two is a finding in its own right and a check no purely static evaluation can provide.</w:t>
      </w:r>
    </w:p>
    <w:p w14:paraId="481CA7BE" w14:textId="77777777" w:rsidR="004E4164" w:rsidRPr="004E4164" w:rsidRDefault="004E4164" w:rsidP="004E416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E4164">
        <w:rPr>
          <w:rFonts w:ascii="Times New Roman" w:eastAsia="Times New Roman" w:hAnsi="Times New Roman" w:cs="Times New Roman"/>
          <w:b/>
          <w:bCs/>
          <w:kern w:val="0"/>
          <w14:ligatures w14:val="none"/>
        </w:rPr>
        <w:t>Evaluation and downstream use.</w:t>
      </w:r>
      <w:r w:rsidRPr="004E4164">
        <w:rPr>
          <w:rFonts w:ascii="Times New Roman" w:eastAsia="Times New Roman" w:hAnsi="Times New Roman" w:cs="Times New Roman"/>
          <w:kern w:val="0"/>
          <w14:ligatures w14:val="none"/>
        </w:rPr>
        <w:t xml:space="preserve"> Precision and recall reported separately at component and version granularity; agreement between source derived and binary derived SBOMs for the same artifact, with a taxonomy accounting for every disagreement; correlation to known vulnerabilities via purl and CPE, with VEX output that accounts for automotive exposure, since a flaw in a network stack means something very different on a gateway ECU than on an actuator controller reachable only over CAN.</w:t>
      </w:r>
    </w:p>
    <w:p w14:paraId="0E5C11DF" w14:textId="77777777" w:rsidR="004E4164" w:rsidRPr="004E4164" w:rsidRDefault="004E4164" w:rsidP="004E416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4164">
        <w:rPr>
          <w:rFonts w:ascii="Times New Roman" w:eastAsia="Times New Roman" w:hAnsi="Times New Roman" w:cs="Times New Roman"/>
          <w:b/>
          <w:bCs/>
          <w:kern w:val="0"/>
          <w:sz w:val="36"/>
          <w:szCs w:val="36"/>
          <w14:ligatures w14:val="none"/>
        </w:rPr>
        <w:t>Technical Considerations</w:t>
      </w:r>
    </w:p>
    <w:p w14:paraId="7D26566C" w14:textId="77777777" w:rsidR="004E4164" w:rsidRPr="004E4164" w:rsidRDefault="004E4164" w:rsidP="004E416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E4164">
        <w:rPr>
          <w:rFonts w:ascii="Times New Roman" w:eastAsia="Times New Roman" w:hAnsi="Times New Roman" w:cs="Times New Roman"/>
          <w:b/>
          <w:bCs/>
          <w:kern w:val="0"/>
          <w14:ligatures w14:val="none"/>
        </w:rPr>
        <w:t>The measurement is the contribution, not the extractor.</w:t>
      </w:r>
      <w:r w:rsidRPr="004E4164">
        <w:rPr>
          <w:rFonts w:ascii="Times New Roman" w:eastAsia="Times New Roman" w:hAnsi="Times New Roman" w:cs="Times New Roman"/>
          <w:kern w:val="0"/>
          <w14:ligatures w14:val="none"/>
        </w:rPr>
        <w:t xml:space="preserve"> Syft, cdxgen, and cve-bin-tool exist and the team should run them as baselines. What does not exist is a defensible account of how such tools fail on automotive artifacts. Design the evaluation harness first and treat the team's extractor as one system under test among several.</w:t>
      </w:r>
    </w:p>
    <w:p w14:paraId="42CE7933" w14:textId="77777777" w:rsidR="004E4164" w:rsidRPr="004E4164" w:rsidRDefault="004E4164" w:rsidP="004E416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E4164">
        <w:rPr>
          <w:rFonts w:ascii="Times New Roman" w:eastAsia="Times New Roman" w:hAnsi="Times New Roman" w:cs="Times New Roman"/>
          <w:b/>
          <w:bCs/>
          <w:kern w:val="0"/>
          <w14:ligatures w14:val="none"/>
        </w:rPr>
        <w:t>Automotive binaries are the case the field has quietly excluded.</w:t>
      </w:r>
      <w:r w:rsidRPr="004E4164">
        <w:rPr>
          <w:rFonts w:ascii="Times New Roman" w:eastAsia="Times New Roman" w:hAnsi="Times New Roman" w:cs="Times New Roman"/>
          <w:kern w:val="0"/>
          <w14:ligatures w14:val="none"/>
        </w:rPr>
        <w:t xml:space="preserve"> Published work on binary component identification and code similarity is overwhelmingly x86 and ARM64 Linux. Pretrained models and reference corpora for TriCore and RH850 do not exist. This </w:t>
      </w:r>
      <w:r w:rsidRPr="004E4164">
        <w:rPr>
          <w:rFonts w:ascii="Times New Roman" w:eastAsia="Times New Roman" w:hAnsi="Times New Roman" w:cs="Times New Roman"/>
          <w:kern w:val="0"/>
          <w14:ligatures w14:val="none"/>
        </w:rPr>
        <w:lastRenderedPageBreak/>
        <w:t>is simultaneously the project's risk and the reason the results would be worth publishing. Plan for the possibility that a technique working well on one architecture transfers poorly to another, and report that outcome rather than hiding it.</w:t>
      </w:r>
    </w:p>
    <w:p w14:paraId="060C7F0F" w14:textId="77777777" w:rsidR="004E4164" w:rsidRPr="004E4164" w:rsidRDefault="004E4164" w:rsidP="004E416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E4164">
        <w:rPr>
          <w:rFonts w:ascii="Times New Roman" w:eastAsia="Times New Roman" w:hAnsi="Times New Roman" w:cs="Times New Roman"/>
          <w:b/>
          <w:bCs/>
          <w:kern w:val="0"/>
          <w14:ligatures w14:val="none"/>
        </w:rPr>
        <w:t>Static linking and the absence of a filesystem remove most conventional evidence.</w:t>
      </w:r>
      <w:r w:rsidRPr="004E4164">
        <w:rPr>
          <w:rFonts w:ascii="Times New Roman" w:eastAsia="Times New Roman" w:hAnsi="Times New Roman" w:cs="Times New Roman"/>
          <w:kern w:val="0"/>
          <w14:ligatures w14:val="none"/>
        </w:rPr>
        <w:t xml:space="preserve"> There is no dynamic loader, no package database, and often no filesystem at all. Manifest parsing is not merely incomplete here; it is inapplicable. Inlining, link time optimization, and dead code elimination then erase the function boundaries that similarity matching depends on, so compiler configuration becomes an independent variable in the experimental design rather than a nuisance to hold constant.</w:t>
      </w:r>
    </w:p>
    <w:p w14:paraId="28731AA6" w14:textId="77777777" w:rsidR="004E4164" w:rsidRPr="004E4164" w:rsidRDefault="004E4164" w:rsidP="004E416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E4164">
        <w:rPr>
          <w:rFonts w:ascii="Times New Roman" w:eastAsia="Times New Roman" w:hAnsi="Times New Roman" w:cs="Times New Roman"/>
          <w:b/>
          <w:bCs/>
          <w:kern w:val="0"/>
          <w14:ligatures w14:val="none"/>
        </w:rPr>
        <w:t>Version identification is where recall dies, and where the regulation bites.</w:t>
      </w:r>
      <w:r w:rsidRPr="004E4164">
        <w:rPr>
          <w:rFonts w:ascii="Times New Roman" w:eastAsia="Times New Roman" w:hAnsi="Times New Roman" w:cs="Times New Roman"/>
          <w:kern w:val="0"/>
          <w14:ligatures w14:val="none"/>
        </w:rPr>
        <w:t xml:space="preserve"> Component identity is often recoverable from a single string. Version usually is not. A component identified without a version maps to every CVE that project ever had, and satisfies no software identification requirement. Report the two granularities separately and never average them.</w:t>
      </w:r>
    </w:p>
    <w:p w14:paraId="62D20E9F" w14:textId="77777777" w:rsidR="004E4164" w:rsidRPr="004E4164" w:rsidRDefault="004E4164" w:rsidP="004E416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E4164">
        <w:rPr>
          <w:rFonts w:ascii="Times New Roman" w:eastAsia="Times New Roman" w:hAnsi="Times New Roman" w:cs="Times New Roman"/>
          <w:b/>
          <w:bCs/>
          <w:kern w:val="0"/>
          <w14:ligatures w14:val="none"/>
        </w:rPr>
        <w:t>Safety and legal boundaries are set before any work begins, not negotiated later.</w:t>
      </w:r>
      <w:r w:rsidRPr="004E4164">
        <w:rPr>
          <w:rFonts w:ascii="Times New Roman" w:eastAsia="Times New Roman" w:hAnsi="Times New Roman" w:cs="Times New Roman"/>
          <w:kern w:val="0"/>
          <w14:ligatures w14:val="none"/>
        </w:rPr>
        <w:t xml:space="preserve"> All firmware acquisition and any write operation happens on bench ECUs or a bench harness. The team does not flash, modify, or interfere with a vehicle that will subsequently be driven, and diagnostic interaction with the EcoCAR vehicle is read only and scheduled with the vehicle leads. Supplier binaries obtained under the participant agreement stay inside its handling rules. The scope of permitted reverse engineering, including reliance on the DMCA exemption for good faith vehicle security research, is confirmed with the faculty advisor and university counsel in advance of the first image being unpacked.</w:t>
      </w:r>
    </w:p>
    <w:p w14:paraId="2F87CC12" w14:textId="77777777" w:rsidR="004E4164" w:rsidRPr="004E4164" w:rsidRDefault="004E4164" w:rsidP="004E416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E4164">
        <w:rPr>
          <w:rFonts w:ascii="Times New Roman" w:eastAsia="Times New Roman" w:hAnsi="Times New Roman" w:cs="Times New Roman"/>
          <w:b/>
          <w:bCs/>
          <w:kern w:val="0"/>
          <w14:ligatures w14:val="none"/>
        </w:rPr>
        <w:t>Scope discipline decides whether this finishes.</w:t>
      </w:r>
      <w:r w:rsidRPr="004E4164">
        <w:rPr>
          <w:rFonts w:ascii="Times New Roman" w:eastAsia="Times New Roman" w:hAnsi="Times New Roman" w:cs="Times New Roman"/>
          <w:kern w:val="0"/>
          <w14:ligatures w14:val="none"/>
        </w:rPr>
        <w:t xml:space="preserve"> Depth on a bounded corpus, meaning one or two target architectures and a small set of ECUs, produces numbers worth publishing. Shallow coverage of a whole vehicle produces a demo. Choose the former explicitly and record what was excluded and why.</w:t>
      </w:r>
    </w:p>
    <w:p w14:paraId="07AC8E02" w14:textId="77777777" w:rsidR="004E4164" w:rsidRPr="004E4164" w:rsidRDefault="004E4164" w:rsidP="004E416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4164">
        <w:rPr>
          <w:rFonts w:ascii="Times New Roman" w:eastAsia="Times New Roman" w:hAnsi="Times New Roman" w:cs="Times New Roman"/>
          <w:b/>
          <w:bCs/>
          <w:kern w:val="0"/>
          <w:sz w:val="36"/>
          <w:szCs w:val="36"/>
          <w14:ligatures w14:val="none"/>
        </w:rPr>
        <w:t>Deliverables</w:t>
      </w:r>
    </w:p>
    <w:p w14:paraId="01D09070" w14:textId="77777777" w:rsidR="004E4164" w:rsidRPr="004E4164" w:rsidRDefault="004E4164" w:rsidP="004E416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E4164">
        <w:rPr>
          <w:rFonts w:ascii="Times New Roman" w:eastAsia="Times New Roman" w:hAnsi="Times New Roman" w:cs="Times New Roman"/>
          <w:kern w:val="0"/>
          <w14:ligatures w14:val="none"/>
        </w:rPr>
        <w:t>Extraction toolchain with source and binary paths, emitting SPDX and CycloneDX that pass conformance validation and satisfy the CISA minimum elements, with output mapped to the software identification expectations of R156 and the component inventory expectations of ISO/SAE 21434.</w:t>
      </w:r>
    </w:p>
    <w:p w14:paraId="3941C485" w14:textId="77777777" w:rsidR="004E4164" w:rsidRPr="004E4164" w:rsidRDefault="004E4164" w:rsidP="004E416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E4164">
        <w:rPr>
          <w:rFonts w:ascii="Times New Roman" w:eastAsia="Times New Roman" w:hAnsi="Times New Roman" w:cs="Times New Roman"/>
          <w:kern w:val="0"/>
          <w14:ligatures w14:val="none"/>
        </w:rPr>
        <w:t>Labelled ground truth corpus for automotive targets, with build recipes and recorded dependency closures, released alongside the code so that reported results are independently reproducible.</w:t>
      </w:r>
    </w:p>
    <w:p w14:paraId="2B1D0620" w14:textId="77777777" w:rsidR="004E4164" w:rsidRPr="004E4164" w:rsidRDefault="004E4164" w:rsidP="004E416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E4164">
        <w:rPr>
          <w:rFonts w:ascii="Times New Roman" w:eastAsia="Times New Roman" w:hAnsi="Times New Roman" w:cs="Times New Roman"/>
          <w:kern w:val="0"/>
          <w14:ligatures w14:val="none"/>
        </w:rPr>
        <w:t>Evaluation report covering precision and recall at both component and version granularity, broken down by target architecture, optimization level, and stripping; a source versus binary agreement analysis with a taxonomy of disagreements and their causes; and a direct comparison against at least two existing tools on the same corpus.</w:t>
      </w:r>
    </w:p>
    <w:p w14:paraId="1380C202" w14:textId="77777777" w:rsidR="004E4164" w:rsidRPr="004E4164" w:rsidRDefault="004E4164" w:rsidP="004E416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E4164">
        <w:rPr>
          <w:rFonts w:ascii="Times New Roman" w:eastAsia="Times New Roman" w:hAnsi="Times New Roman" w:cs="Times New Roman"/>
          <w:kern w:val="0"/>
          <w14:ligatures w14:val="none"/>
        </w:rPr>
        <w:t>HBOM module with firmware to ECU binding, mapped to CISA HBOM attributes, demonstrated end to end on at least one real ECU.</w:t>
      </w:r>
    </w:p>
    <w:p w14:paraId="4D9F8C09" w14:textId="77777777" w:rsidR="004E4164" w:rsidRPr="004E4164" w:rsidRDefault="004E4164" w:rsidP="004E416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E4164">
        <w:rPr>
          <w:rFonts w:ascii="Times New Roman" w:eastAsia="Times New Roman" w:hAnsi="Times New Roman" w:cs="Times New Roman"/>
          <w:kern w:val="0"/>
          <w14:ligatures w14:val="none"/>
        </w:rPr>
        <w:t>Live vehicle corroboration results comparing extracted versions against UDS reported identifiers, with an account of every mismatch.</w:t>
      </w:r>
    </w:p>
    <w:p w14:paraId="7CCC0FC8" w14:textId="77777777" w:rsidR="004E4164" w:rsidRPr="004E4164" w:rsidRDefault="004E4164" w:rsidP="004E416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E4164">
        <w:rPr>
          <w:rFonts w:ascii="Times New Roman" w:eastAsia="Times New Roman" w:hAnsi="Times New Roman" w:cs="Times New Roman"/>
          <w:kern w:val="0"/>
          <w14:ligatures w14:val="none"/>
        </w:rPr>
        <w:t>Vulnerability correlation producing VEX output, with a measurement of how far exposure aware triage reduces false positive load relative to naive CPE matching.</w:t>
      </w:r>
    </w:p>
    <w:p w14:paraId="3B8655AE" w14:textId="77777777" w:rsidR="004E4164" w:rsidRPr="004E4164" w:rsidRDefault="004E4164" w:rsidP="004E416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E4164">
        <w:rPr>
          <w:rFonts w:ascii="Times New Roman" w:eastAsia="Times New Roman" w:hAnsi="Times New Roman" w:cs="Times New Roman"/>
          <w:kern w:val="0"/>
          <w14:ligatures w14:val="none"/>
        </w:rPr>
        <w:lastRenderedPageBreak/>
        <w:t>Documentation, handoff materials, final report, and presentation, plus a workshop paper draft if the evaluation results warrant one.</w:t>
      </w:r>
    </w:p>
    <w:p w14:paraId="5E3BC511" w14:textId="77777777" w:rsidR="009F06CF" w:rsidRDefault="009F06CF"/>
    <w:sectPr w:rsidR="009F06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C37244"/>
    <w:multiLevelType w:val="multilevel"/>
    <w:tmpl w:val="DAEA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65A0F"/>
    <w:multiLevelType w:val="multilevel"/>
    <w:tmpl w:val="81B0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8842EA"/>
    <w:multiLevelType w:val="multilevel"/>
    <w:tmpl w:val="A2F2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248687">
    <w:abstractNumId w:val="0"/>
  </w:num>
  <w:num w:numId="2" w16cid:durableId="1919485911">
    <w:abstractNumId w:val="1"/>
  </w:num>
  <w:num w:numId="3" w16cid:durableId="103129799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164"/>
    <w:rsid w:val="004E4164"/>
    <w:rsid w:val="00831B1D"/>
    <w:rsid w:val="009F06CF"/>
    <w:rsid w:val="00A6200A"/>
    <w:rsid w:val="00E72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57D9653"/>
  <w15:chartTrackingRefBased/>
  <w15:docId w15:val="{AD78CC5E-B173-A343-8151-4A8E7CE0D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1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41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1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1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1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1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1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1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1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1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41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1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1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1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1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1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1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164"/>
    <w:rPr>
      <w:rFonts w:eastAsiaTheme="majorEastAsia" w:cstheme="majorBidi"/>
      <w:color w:val="272727" w:themeColor="text1" w:themeTint="D8"/>
    </w:rPr>
  </w:style>
  <w:style w:type="paragraph" w:styleId="Title">
    <w:name w:val="Title"/>
    <w:basedOn w:val="Normal"/>
    <w:next w:val="Normal"/>
    <w:link w:val="TitleChar"/>
    <w:uiPriority w:val="10"/>
    <w:qFormat/>
    <w:rsid w:val="004E41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1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1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1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164"/>
    <w:pPr>
      <w:spacing w:before="160"/>
      <w:jc w:val="center"/>
    </w:pPr>
    <w:rPr>
      <w:i/>
      <w:iCs/>
      <w:color w:val="404040" w:themeColor="text1" w:themeTint="BF"/>
    </w:rPr>
  </w:style>
  <w:style w:type="character" w:customStyle="1" w:styleId="QuoteChar">
    <w:name w:val="Quote Char"/>
    <w:basedOn w:val="DefaultParagraphFont"/>
    <w:link w:val="Quote"/>
    <w:uiPriority w:val="29"/>
    <w:rsid w:val="004E4164"/>
    <w:rPr>
      <w:i/>
      <w:iCs/>
      <w:color w:val="404040" w:themeColor="text1" w:themeTint="BF"/>
    </w:rPr>
  </w:style>
  <w:style w:type="paragraph" w:styleId="ListParagraph">
    <w:name w:val="List Paragraph"/>
    <w:basedOn w:val="Normal"/>
    <w:uiPriority w:val="34"/>
    <w:qFormat/>
    <w:rsid w:val="004E4164"/>
    <w:pPr>
      <w:ind w:left="720"/>
      <w:contextualSpacing/>
    </w:pPr>
  </w:style>
  <w:style w:type="character" w:styleId="IntenseEmphasis">
    <w:name w:val="Intense Emphasis"/>
    <w:basedOn w:val="DefaultParagraphFont"/>
    <w:uiPriority w:val="21"/>
    <w:qFormat/>
    <w:rsid w:val="004E4164"/>
    <w:rPr>
      <w:i/>
      <w:iCs/>
      <w:color w:val="0F4761" w:themeColor="accent1" w:themeShade="BF"/>
    </w:rPr>
  </w:style>
  <w:style w:type="paragraph" w:styleId="IntenseQuote">
    <w:name w:val="Intense Quote"/>
    <w:basedOn w:val="Normal"/>
    <w:next w:val="Normal"/>
    <w:link w:val="IntenseQuoteChar"/>
    <w:uiPriority w:val="30"/>
    <w:qFormat/>
    <w:rsid w:val="004E41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164"/>
    <w:rPr>
      <w:i/>
      <w:iCs/>
      <w:color w:val="0F4761" w:themeColor="accent1" w:themeShade="BF"/>
    </w:rPr>
  </w:style>
  <w:style w:type="character" w:styleId="IntenseReference">
    <w:name w:val="Intense Reference"/>
    <w:basedOn w:val="DefaultParagraphFont"/>
    <w:uiPriority w:val="32"/>
    <w:qFormat/>
    <w:rsid w:val="004E4164"/>
    <w:rPr>
      <w:b/>
      <w:bCs/>
      <w:smallCaps/>
      <w:color w:val="0F4761" w:themeColor="accent1" w:themeShade="BF"/>
      <w:spacing w:val="5"/>
    </w:rPr>
  </w:style>
  <w:style w:type="paragraph" w:customStyle="1" w:styleId="part">
    <w:name w:val="part"/>
    <w:basedOn w:val="Normal"/>
    <w:rsid w:val="004E416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E4164"/>
    <w:rPr>
      <w:i/>
      <w:iCs/>
    </w:rPr>
  </w:style>
  <w:style w:type="character" w:styleId="Strong">
    <w:name w:val="Strong"/>
    <w:basedOn w:val="DefaultParagraphFont"/>
    <w:uiPriority w:val="22"/>
    <w:qFormat/>
    <w:rsid w:val="004E41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1374</Words>
  <Characters>7835</Characters>
  <Application>Microsoft Office Word</Application>
  <DocSecurity>0</DocSecurity>
  <Lines>65</Lines>
  <Paragraphs>18</Paragraphs>
  <ScaleCrop>false</ScaleCrop>
  <Company/>
  <LinksUpToDate>false</LinksUpToDate>
  <CharactersWithSpaces>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Beach, Robert</dc:creator>
  <cp:keywords/>
  <dc:description/>
  <cp:lastModifiedBy>Beach, Robert</cp:lastModifiedBy>
  <cp:revision>1</cp:revision>
  <dcterms:created xsi:type="dcterms:W3CDTF">2026-09-04T14:23:00Z</dcterms:created>
  <dcterms:modified xsi:type="dcterms:W3CDTF">2026-09-04T14:24:00Z</dcterms:modified>
</cp:coreProperties>
</file>