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t xml:space="preserve">Copperhead — Hybrid Gas-Electric Twin-Boom VTOL Cargo Aircraft</w:t>
      </w:r>
    </w:p>
    <w:p>
      <w:pPr>
        <w:spacing w:after="240"/>
      </w:pPr>
      <w:r>
        <w:rPr>
          <w:i/>
          <w:iCs/>
          <w:color w:val="555555"/>
        </w:rPr>
        <w:t xml:space="preserve">A scratch-built, laser-manufactured hybrid VTOL aircraft with a droppable payload</w:t>
      </w:r>
    </w:p>
    <w:p>
      <w:pPr>
        <w:pStyle w:val="Heading2"/>
        <w:spacing w:after="120" w:before="240"/>
      </w:pPr>
      <w:r>
        <w:t xml:space="preserve">Background</w:t>
      </w:r>
    </w:p>
    <w:p>
      <w:pPr>
        <w:spacing w:after="160"/>
      </w:pPr>
      <w:r>
        <w:t xml:space="preserve">Small VTOL aircraft are almost always fully electric, which caps their range and endurance to whatever a battery pack can carry — a hard limit for missions that need both runway-independent takeoff/landing and long flight times. Copperhead is a P-38-style twin-boom aircraft that solves this with a hybrid-electric powertrain: a Honda GX35 gas engine drives a generator that charges a battery pack, which powers six vertical lift motors (for VTOL) and four wing-mounted tractor motors (for forward cruise flight). The airframe carries a droppable one-gallon payload. The structure is a scratch-built, built-up wood design (balsa and plywood ribs/formers over a carbon spar and carbon-wrapped cardboard booms), chosen specifically because it is lightweight, well-suited to precision laser cutting, and RF-transparent for the onboard GPS/LTE/ELRS electronics.</w:t>
      </w:r>
    </w:p>
    <w:p>
      <w:pPr>
        <w:spacing w:after="160"/>
      </w:pPr>
      <w:r>
        <w:t xml:space="preserve">This project is already in progress: the propulsion system is sized and sourced, the full wing structure has been designed in custom-written software, and one of the two wing panels has already been cut and is in hand.</w:t>
      </w:r>
    </w:p>
    <w:p>
      <w:pPr>
        <w:pStyle w:val="Heading2"/>
        <w:spacing w:after="120" w:before="240"/>
      </w:pPr>
      <w:r>
        <w:t xml:space="preserve">Project Needs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Finish fabricating and assemble the second wing panel, spar, and control surfaces (the first wing panel is already cut and built).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and build the fuselage, boom, and tail structure connecting the wings, powertrain, and payload bay.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Integrate the hybrid powertrain — GX35 engine/generator, battery pack, and ESCs — across all ten motors (6 lift + 4 tractor).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flight control software for the VTOL-to-forward-flight transition, and telemetry/navigation for autonomous or semi-autonomous flight.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and test the droppable one-gallon payload release mechanism.</w:t>
      </w:r>
    </w:p>
    <w:p>
      <w:pPr>
        <w:pStyle w:val="Heading2"/>
        <w:spacing w:after="120" w:before="240"/>
      </w:pPr>
      <w:r>
        <w:t xml:space="preserve">Project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Complete structural fabrication: finish the second wing panel, fuselage formers, tail surfaces, and boom assembly, using the custom Python-based generation, verification, and nesting pipeline already built for laser-cutting the wood/composite airframe parts.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Integrate and bench-test the hybrid gas-electric powertrain (GX35 generator, battery management, ESCs, ten motors) before it goes into the airframe.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Program and tune the flight controller for stable VTOL hover, transition, and forward-flight cruise on a twin-boom airframe.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Design, build, and test the payload bay and one-gallon drop mechanism.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Ground-test and flight-test the aircraft to validate structural integrity, hybrid-powertrain endurance gains over a battery-only baseline, and reliable payload release.</w:t>
      </w:r>
    </w:p>
    <w:p>
      <w:pPr>
        <w:pStyle w:val="Heading2"/>
        <w:spacing w:after="120" w:before="240"/>
      </w:pPr>
      <w:r>
        <w:t xml:space="preserve">Potential Technical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Weight and balance across six lift motors, four tractor motors, the gas generator, fuel, and the payload — all on a lightweight built-up wood/carbon airframe.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Hybrid power management: coordinating generator output, battery buffering, and instantaneous draw across ten motors.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Flight control and stability through the VTOL-to-forward-flight transition on a twin-boom configuration.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Vibration and EMI isolation between the gas engine/generator and the flight electronics and GPS/RF systems.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Structural fabrication precision — the airframe is being produced through a self-developed laser-cutting pipeline (part generation, geometry verification, and nesting onto stock) rather than off-the-shelf kits.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Regulatory compliance (FAA Part 107) for flight testing, and safety systems for fuel handling and payload release.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2026-09-11T18:12:39.691Z</dcterms:created>
  <dcterms:modified xsi:type="dcterms:W3CDTF">2026-09-11T18:12:39.698Z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