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3210c3d22360f8e334bec5621af6c5bbad9cf8"/>
    <w:p>
      <w:pPr>
        <w:pStyle w:val="Heading1"/>
      </w:pPr>
      <w:r>
        <w:t xml:space="preserve">Angelina Crooker — The School Failed. Here’s the Proof.</w:t>
      </w:r>
    </w:p>
    <w:p>
      <w:pPr>
        <w:pStyle w:val="FirstParagraph"/>
      </w:pPr>
      <w:r>
        <w:rPr>
          <w:bCs/>
          <w:b/>
        </w:rPr>
        <w:t xml:space="preserve">June 24, 2026 | Sarah Crooker | For hand-delivery</w:t>
      </w:r>
    </w:p>
    <w:p>
      <w:r>
        <w:pict>
          <v:rect style="width:0;height:1.5pt" o:hralign="center" o:hrstd="t" o:hr="t"/>
        </w:pict>
      </w:r>
    </w:p>
    <w:bookmarkStart w:id="20" w:name="X2210b4a3b23bae88d1617bc5b3fdcd60bfff149"/>
    <w:p>
      <w:pPr>
        <w:pStyle w:val="Heading2"/>
      </w:pPr>
      <w:r>
        <w:t xml:space="preserve">The Numbers (from the school’s own PowerSchool)</w:t>
      </w:r>
    </w:p>
    <w:p>
      <w:pPr>
        <w:pStyle w:val="FirstParagraph"/>
      </w:pPr>
      <w:r>
        <w:t xml:space="preserve">Angelina missed 16 days this year:</w:t>
      </w:r>
      <w:r>
        <w:t xml:space="preserve"> </w:t>
      </w:r>
      <w:r>
        <w:rPr>
          <w:bCs/>
          <w:b/>
        </w:rPr>
        <w:t xml:space="preserve">11 unexcused (A), 5 excused (X).</w:t>
      </w:r>
      <w:r>
        <w:t xml:space="preserve"> </w:t>
      </w:r>
      <w:r>
        <w:t xml:space="preserve">She made honor roll in 2 of 4 quarters. She earned As and Bs.</w:t>
      </w:r>
      <w:r>
        <w:t xml:space="preserve"> </w:t>
      </w:r>
      <w:r>
        <w:t xml:space="preserve">Her Q4 attendance was nearly perfect — 1 excused absence all quarter.</w:t>
      </w:r>
    </w:p>
    <w:p>
      <w:r>
        <w:pict>
          <v:rect style="width:0;height:1.5pt" o:hralign="center" o:hrstd="t" o:hr="t"/>
        </w:pict>
      </w:r>
    </w:p>
    <w:bookmarkEnd w:id="20"/>
    <w:bookmarkStart w:id="21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The school wants to send Angelina to summer school and take away course credit.</w:t>
      </w:r>
      <w:r>
        <w:t xml:space="preserve"> </w:t>
      </w:r>
      <w:r>
        <w:t xml:space="preserve">But the school never did the one thing its own handbook says it must do.</w:t>
      </w:r>
    </w:p>
    <w:p>
      <w:r>
        <w:pict>
          <v:rect style="width:0;height:1.5pt" o:hralign="center" o:hrstd="t" o:hr="t"/>
        </w:pict>
      </w:r>
    </w:p>
    <w:bookmarkEnd w:id="21"/>
    <w:bookmarkStart w:id="22" w:name="Xf8edfd50dca3d16179c9c44ff991c7c5cb13a8d"/>
    <w:p>
      <w:pPr>
        <w:pStyle w:val="Heading2"/>
      </w:pPr>
      <w:r>
        <w:t xml:space="preserve">What the Handbook Requires — and What the School Ignored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Upon reaching the fifth unexcused absence… parents/guardians will be notified. Students will be required to develop an action plan… The Principal shall make a reasonable effort to meet with the parent.</w:t>
      </w:r>
      <w:r>
        <w:rPr>
          <w:iCs/>
          <w:i/>
        </w:rPr>
        <w:t xml:space="preserve">”</w:t>
      </w:r>
      <w:r>
        <w:t xml:space="preserve"> </w:t>
      </w:r>
      <w:r>
        <w:t xml:space="preserve">— Handbook, Page 44</w:t>
      </w:r>
    </w:p>
    <w:p>
      <w:pPr>
        <w:pStyle w:val="FirstParagraph"/>
      </w:pPr>
      <w:r>
        <w:t xml:space="preserve">Angelina reached her</w:t>
      </w:r>
      <w:r>
        <w:t xml:space="preserve"> </w:t>
      </w:r>
      <w:r>
        <w:rPr>
          <w:bCs/>
          <w:b/>
        </w:rPr>
        <w:t xml:space="preserve">5th unexcused absence on October 27, 2025.</w:t>
      </w:r>
    </w:p>
    <w:p>
      <w:pPr>
        <w:pStyle w:val="BodyText"/>
      </w:pPr>
      <w:r>
        <w:t xml:space="preserve">The school was required to do three things that day: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the parent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an action plan with parent + student + Principal + Guidance Counselor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reasonable effort to meet with parent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p>
      <w:pPr>
        <w:pStyle w:val="BodyText"/>
      </w:pPr>
      <w:r>
        <w:t xml:space="preserve">Then Angelina reached her 7th, 8th, 9th, 10th, and 11th unexcused absence.</w:t>
      </w:r>
      <w:r>
        <w:t xml:space="preserve"> </w:t>
      </w:r>
      <w:r>
        <w:t xml:space="preserve">Still nothing. Not one phone call. Not one email. Not one letter.</w:t>
      </w:r>
    </w:p>
    <w:p>
      <w:pPr>
        <w:pStyle w:val="BodyText"/>
      </w:pPr>
      <w:r>
        <w:rPr>
          <w:bCs/>
          <w:b/>
        </w:rPr>
        <w:t xml:space="preserve">Eight months of silence. Then, in the last week of school — surprise penalty.</w:t>
      </w:r>
    </w:p>
    <w:p>
      <w:r>
        <w:pict>
          <v:rect style="width:0;height:1.5pt" o:hralign="center" o:hrstd="t" o:hr="t"/>
        </w:pict>
      </w:r>
    </w:p>
    <w:bookmarkEnd w:id="22"/>
    <w:bookmarkStart w:id="23" w:name="Xada566ffe33a1d510ff57ea37c92e2f01d85fa4"/>
    <w:p>
      <w:pPr>
        <w:pStyle w:val="Heading2"/>
      </w:pPr>
      <w:r>
        <w:t xml:space="preserve">Angelina Does Not Meet Any Legal Definition of a Problem Student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Habitual Truancy (MGL Ch.119)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unexcused in one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Q1=5, Q2=2, Q3=4, Q4=0 —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Liability (MGL Ch.76)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unexcused in 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S1=7, S2=4 —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Absenteeism (DESE)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days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days (8.9%) —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</w:p>
        </w:tc>
      </w:tr>
    </w:tbl>
    <w:p>
      <w:pPr>
        <w:pStyle w:val="BodyText"/>
      </w:pPr>
      <w:r>
        <w:t xml:space="preserve">She is not a truant. She is not chronically absent. The state says so.</w:t>
      </w:r>
    </w:p>
    <w:p>
      <w:r>
        <w:pict>
          <v:rect style="width:0;height:1.5pt" o:hralign="center" o:hrstd="t" o:hr="t"/>
        </w:pict>
      </w:r>
    </w:p>
    <w:bookmarkEnd w:id="23"/>
    <w:bookmarkStart w:id="24" w:name="why-the-penalty-is-invalid"/>
    <w:p>
      <w:pPr>
        <w:pStyle w:val="Heading2"/>
      </w:pPr>
      <w:r>
        <w:t xml:space="preserve">Why the Penalty Is Invalid</w:t>
      </w:r>
    </w:p>
    <w:p>
      <w:pPr>
        <w:pStyle w:val="FirstParagraph"/>
      </w:pPr>
      <w:r>
        <w:t xml:space="preserve">The school skipped every step designed to help a student fix attendance problems early. Then it wants to punish her at the finish line for problems it allowed to accumulate.</w:t>
      </w:r>
    </w:p>
    <w:p>
      <w:pPr>
        <w:pStyle w:val="BodyText"/>
      </w:pPr>
      <w:r>
        <w:t xml:space="preserve">That’s a sentence without a trial. It violates the 14th Amendment, Massachusetts law, DESE policy, and the school’s own handbook.</w:t>
      </w:r>
    </w:p>
    <w:p>
      <w:r>
        <w:pict>
          <v:rect style="width:0;height:1.5pt" o:hralign="center" o:hrstd="t" o:hr="t"/>
        </w:pict>
      </w:r>
    </w:p>
    <w:bookmarkEnd w:id="24"/>
    <w:bookmarkStart w:id="25" w:name="the-handbook-contradicts-itself"/>
    <w:p>
      <w:pPr>
        <w:pStyle w:val="Heading2"/>
      </w:pPr>
      <w:r>
        <w:t xml:space="preserve">The Handbook Contradicts Itself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 43:</w:t>
      </w:r>
      <w:r>
        <w:t xml:space="preserve"> </w:t>
      </w:r>
      <w:r>
        <w:t xml:space="preserve">“</w:t>
      </w:r>
      <w:r>
        <w:t xml:space="preserve">No differentiation between excused and unexcused absences.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 44:</w:t>
      </w:r>
      <w:r>
        <w:t xml:space="preserve"> </w:t>
      </w:r>
      <w:r>
        <w:t xml:space="preserve">Every notification applies only to</w:t>
      </w:r>
      <w:r>
        <w:t xml:space="preserve"> </w:t>
      </w:r>
      <w:r>
        <w:t xml:space="preserve">“</w:t>
      </w:r>
      <w:r>
        <w:t xml:space="preserve">unexcused</w:t>
      </w:r>
      <w:r>
        <w:t xml:space="preserve">”</w:t>
      </w:r>
      <w:r>
        <w:t xml:space="preserve"> </w:t>
      </w:r>
      <w:r>
        <w:t xml:space="preserve">absences.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 45:</w:t>
      </w:r>
      <w:r>
        <w:t xml:space="preserve"> </w:t>
      </w:r>
      <w:r>
        <w:t xml:space="preserve">Credit retrieval is barred at 20+</w:t>
      </w:r>
      <w:r>
        <w:t xml:space="preserve"> </w:t>
      </w:r>
      <w:r>
        <w:t xml:space="preserve">“</w:t>
      </w:r>
      <w:r>
        <w:t xml:space="preserve">unexcused</w:t>
      </w:r>
      <w:r>
        <w:t xml:space="preserve">”</w:t>
      </w:r>
      <w:r>
        <w:t xml:space="preserve"> </w:t>
      </w:r>
      <w:r>
        <w:t xml:space="preserve">absences — but NC is imposed at 9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 </w:t>
      </w:r>
      <w:r>
        <w:t xml:space="preserve">absences.</w:t>
      </w:r>
      <w:r>
        <w:t xml:space="preserve"> </w:t>
      </w:r>
      <w:r>
        <w:t xml:space="preserve">The school can’t claim all absences are the same AND different at the same time. Pick one.</w:t>
      </w:r>
    </w:p>
    <w:p>
      <w:r>
        <w:pict>
          <v:rect style="width:0;height:1.5pt" o:hralign="center" o:hrstd="t" o:hr="t"/>
        </w:pict>
      </w:r>
    </w:p>
    <w:bookmarkEnd w:id="25"/>
    <w:bookmarkStart w:id="26" w:name="demand-by-june-26-2026"/>
    <w:p>
      <w:pPr>
        <w:pStyle w:val="Heading2"/>
      </w:pPr>
      <w:r>
        <w:t xml:space="preserve">Demand — By June 26, 2026</w:t>
      </w:r>
    </w:p>
    <w:p>
      <w:pPr>
        <w:numPr>
          <w:ilvl w:val="0"/>
          <w:numId w:val="1002"/>
        </w:numPr>
        <w:pStyle w:val="Compact"/>
      </w:pPr>
      <w:r>
        <w:t xml:space="preserve">Rescind summer school and any NC/CP designation.</w:t>
      </w:r>
    </w:p>
    <w:p>
      <w:pPr>
        <w:numPr>
          <w:ilvl w:val="0"/>
          <w:numId w:val="1002"/>
        </w:numPr>
        <w:pStyle w:val="Compact"/>
      </w:pPr>
      <w:r>
        <w:t xml:space="preserve">Acknowledge in writing that the school failed to follow Page 44.</w:t>
      </w:r>
    </w:p>
    <w:p>
      <w:pPr>
        <w:numPr>
          <w:ilvl w:val="0"/>
          <w:numId w:val="1002"/>
        </w:numPr>
        <w:pStyle w:val="Compact"/>
      </w:pPr>
      <w:r>
        <w:t xml:space="preserve">Preserve Angelina’s grades and honor roll status.</w:t>
      </w:r>
    </w:p>
    <w:p>
      <w:pPr>
        <w:numPr>
          <w:ilvl w:val="0"/>
          <w:numId w:val="1002"/>
        </w:numPr>
        <w:pStyle w:val="Compact"/>
      </w:pPr>
      <w:r>
        <w:t xml:space="preserve">Amend her student record under 603 CMR 23.00.</w:t>
      </w:r>
    </w:p>
    <w:p>
      <w:pPr>
        <w:numPr>
          <w:ilvl w:val="0"/>
          <w:numId w:val="1002"/>
        </w:numPr>
        <w:pStyle w:val="Compact"/>
      </w:pPr>
      <w:r>
        <w:t xml:space="preserve">Schedule the Attendance Review Committee hearing.</w:t>
      </w:r>
    </w:p>
    <w:p>
      <w:pPr>
        <w:pStyle w:val="FirstParagraph"/>
      </w:pPr>
      <w:r>
        <w:t xml:space="preserve">If denied: DESE complaint, FERPA complaint, School Committee hearing, and Plymouth Juvenile Court motion will be filed immediately. No further notice.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Sarah Crooker</w:t>
      </w:r>
      <w:r>
        <w:t xml:space="preserve"> </w:t>
      </w:r>
      <w:r>
        <w:t xml:space="preserve">Parent of Angelina Karima Crooker (Grade 9)</w:t>
      </w:r>
    </w:p>
    <w:p>
      <w:pPr>
        <w:pStyle w:val="BodyText"/>
      </w:pPr>
      <w:r>
        <w:rPr>
          <w:iCs/>
          <w:i/>
        </w:rPr>
        <w:t xml:space="preserve">Cc: Matt D’Andrea, LP.D., Superintendent | Wareham School Committee | Christine Cinelli, Dean</w:t>
      </w:r>
      <w:r>
        <w:t xml:space="preserve"> </w:t>
      </w:r>
      <w:r>
        <w:rPr>
          <w:iCs/>
          <w:i/>
        </w:rPr>
        <w:t xml:space="preserve">Enclosures: PowerSchool records, Dean Cinelli email (6/23/26), Handbook pp.42-45, Honor Roll certificates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2026-07-10T17:03:42Z</dcterms:created>
  <dcterms:modified xsi:type="dcterms:W3CDTF">2026-07-10T17:03:42Z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