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formal-appeal-angelina-karima-crooker"/>
    <w:p>
      <w:pPr>
        <w:pStyle w:val="Heading1"/>
      </w:pPr>
      <w:r>
        <w:t xml:space="preserve">Formal Appeal — Angelina Karima Crooker</w:t>
      </w:r>
    </w:p>
    <w:p>
      <w:pPr>
        <w:pStyle w:val="FirstParagraph"/>
      </w:pPr>
      <w:r>
        <w:rPr>
          <w:bCs/>
          <w:b/>
        </w:rPr>
        <w:t xml:space="preserve">Date:</w:t>
      </w:r>
      <w:r>
        <w:t xml:space="preserve"> </w:t>
      </w:r>
      <w:r>
        <w:t xml:space="preserve">July 1, 2026</w:t>
      </w:r>
      <w:r>
        <w:t xml:space="preserve"> </w:t>
      </w:r>
      <w:r>
        <w:rPr>
          <w:bCs/>
          <w:b/>
        </w:rPr>
        <w:t xml:space="preserve">From:</w:t>
      </w:r>
      <w:r>
        <w:t xml:space="preserve"> </w:t>
      </w:r>
      <w:r>
        <w:t xml:space="preserve">Sarah Crooker, parent (sarahcrooker586@yahoo.com)</w:t>
      </w:r>
      <w:r>
        <w:t xml:space="preserve"> </w:t>
      </w:r>
      <w:r>
        <w:rPr>
          <w:bCs/>
          <w:b/>
        </w:rPr>
        <w:t xml:space="preserve">To:</w:t>
      </w:r>
      <w:r>
        <w:t xml:space="preserve"> </w:t>
      </w:r>
      <w:r>
        <w:t xml:space="preserve">Matthew D’Andrea, LP.D., Superintendent of Schools; Wareham School Committee; Principal Scott Palladino</w:t>
      </w:r>
      <w:r>
        <w:t xml:space="preserve"> </w:t>
      </w:r>
      <w:r>
        <w:rPr>
          <w:bCs/>
          <w:b/>
        </w:rPr>
        <w:t xml:space="preserve">Re:</w:t>
      </w:r>
      <w:r>
        <w:t xml:space="preserve"> </w:t>
      </w:r>
      <w:r>
        <w:t xml:space="preserve">Formal Appeal of NC/CP Credit Designations, Summer Credit-Recovery Requirement, and</w:t>
      </w:r>
      <w:r>
        <w:t xml:space="preserve"> </w:t>
      </w:r>
      <w:r>
        <w:t xml:space="preserve">“</w:t>
      </w:r>
      <w:r>
        <w:t xml:space="preserve">Truancy</w:t>
      </w:r>
      <w:r>
        <w:t xml:space="preserve">”</w:t>
      </w:r>
      <w:r>
        <w:t xml:space="preserve"> </w:t>
      </w:r>
      <w:r>
        <w:t xml:space="preserve">Label — Angelina Karima Crooker (Grade 9, Wareham High School, SY 2025–2026)</w:t>
      </w:r>
    </w:p>
    <w:p>
      <w:r>
        <w:pict>
          <v:rect style="width:0;height:1.5pt" o:hralign="center" o:hrstd="t" o:hr="t"/>
        </w:pict>
      </w:r>
    </w:p>
    <w:bookmarkStart w:id="20" w:name="introduction"/>
    <w:p>
      <w:pPr>
        <w:pStyle w:val="Heading2"/>
      </w:pPr>
      <w:r>
        <w:t xml:space="preserve">1. Introduction</w:t>
      </w:r>
    </w:p>
    <w:p>
      <w:pPr>
        <w:pStyle w:val="FirstParagraph"/>
      </w:pPr>
      <w:r>
        <w:t xml:space="preserve">I am writing to formally appeal all decisions made by Wareham High School that have penalized my daughter, Angelina Karima Crooker, at the close of the 2025–2026 school year. This appeal is made pursuant to:</w:t>
      </w:r>
    </w:p>
    <w:p>
      <w:pPr>
        <w:numPr>
          <w:ilvl w:val="0"/>
          <w:numId w:val="1001"/>
        </w:numPr>
        <w:pStyle w:val="Compact"/>
      </w:pPr>
      <w:r>
        <w:t xml:space="preserve">The Individuals with Disabilities Education Act (IDEA), 20 U.S.C. § 1400 et seq., and 34 CFR Part 300 (including §§ 300.300, 300.321, 300.322, 300.501, 300.503)</w:t>
      </w:r>
    </w:p>
    <w:p>
      <w:pPr>
        <w:numPr>
          <w:ilvl w:val="0"/>
          <w:numId w:val="1001"/>
        </w:numPr>
        <w:pStyle w:val="Compact"/>
      </w:pPr>
      <w:r>
        <w:t xml:space="preserve">Section 504 of the Rehabilitation Act, 29 U.S.C. § 794</w:t>
      </w:r>
    </w:p>
    <w:p>
      <w:pPr>
        <w:numPr>
          <w:ilvl w:val="0"/>
          <w:numId w:val="1001"/>
        </w:numPr>
        <w:pStyle w:val="Compact"/>
      </w:pPr>
      <w:r>
        <w:t xml:space="preserve">The Family Educational Rights and Privacy Act (FERPA), 20 U.S.C. § 1232g; 34 CFR Part 99 (including §§ 99.7, 99.10, 99.20, 99.21)</w:t>
      </w:r>
    </w:p>
    <w:p>
      <w:pPr>
        <w:numPr>
          <w:ilvl w:val="0"/>
          <w:numId w:val="1001"/>
        </w:numPr>
        <w:pStyle w:val="Compact"/>
      </w:pPr>
      <w:r>
        <w:t xml:space="preserve">Massachusetts General Laws: c. 71B; c. 71 §§ 28, 37H, 37H½; c. 76 §§ 1B, 2; c. 119 § 21</w:t>
      </w:r>
    </w:p>
    <w:p>
      <w:pPr>
        <w:numPr>
          <w:ilvl w:val="0"/>
          <w:numId w:val="1001"/>
        </w:numPr>
        <w:pStyle w:val="Compact"/>
      </w:pPr>
      <w:r>
        <w:t xml:space="preserve">603 CMR 28.00 (Special Education)</w:t>
      </w:r>
    </w:p>
    <w:p>
      <w:pPr>
        <w:numPr>
          <w:ilvl w:val="0"/>
          <w:numId w:val="1001"/>
        </w:numPr>
        <w:pStyle w:val="Compact"/>
      </w:pPr>
      <w:r>
        <w:t xml:space="preserve">603 CMR 23.00 (Student Records)</w:t>
      </w:r>
    </w:p>
    <w:p>
      <w:pPr>
        <w:numPr>
          <w:ilvl w:val="0"/>
          <w:numId w:val="1001"/>
        </w:numPr>
        <w:pStyle w:val="Compact"/>
      </w:pPr>
      <w:r>
        <w:t xml:space="preserve">Wareham High School Student &amp; Family Handbook, pp. 42–45 (Attendance and Credit)</w:t>
      </w:r>
    </w:p>
    <w:p>
      <w:pPr>
        <w:numPr>
          <w:ilvl w:val="0"/>
          <w:numId w:val="1001"/>
        </w:numPr>
        <w:pStyle w:val="Compact"/>
      </w:pPr>
      <w:r>
        <w:t xml:space="preserve">14th Amendment, U.S. Constitution (procedural due process)</w:t>
      </w:r>
    </w:p>
    <w:bookmarkEnd w:id="20"/>
    <w:bookmarkStart w:id="21" w:name="decisions-being-appealed"/>
    <w:p>
      <w:pPr>
        <w:pStyle w:val="Heading2"/>
      </w:pPr>
      <w:r>
        <w:t xml:space="preserve">2. Decisions Being Appealed</w:t>
      </w:r>
    </w:p>
    <w:p>
      <w:pPr>
        <w:pStyle w:val="FirstParagraph"/>
      </w:pPr>
      <w:r>
        <w:t xml:space="preserve">I am appealing each of the following decisions, all communicated on or about June 23, 2026 — the last week of the school year — and constituting the</w:t>
      </w:r>
      <w:r>
        <w:t xml:space="preserve"> </w:t>
      </w:r>
      <w:r>
        <w:rPr>
          <w:bCs/>
          <w:b/>
        </w:rPr>
        <w:t xml:space="preserve">first</w:t>
      </w:r>
      <w:r>
        <w:t xml:space="preserve"> </w:t>
      </w:r>
      <w:r>
        <w:t xml:space="preserve">contact from the school regarding attendance in the entire 2025–2026 school year:</w:t>
      </w:r>
    </w:p>
    <w:p>
      <w:pPr>
        <w:numPr>
          <w:ilvl w:val="0"/>
          <w:numId w:val="1002"/>
        </w:numPr>
        <w:pStyle w:val="Compact"/>
      </w:pPr>
      <w:r>
        <w:t xml:space="preserve">The designation of multiple courses as</w:t>
      </w:r>
      <w:r>
        <w:t xml:space="preserve"> </w:t>
      </w:r>
      <w:r>
        <w:t xml:space="preserve">“</w:t>
      </w:r>
      <w:r>
        <w:t xml:space="preserve">No Credit</w:t>
      </w:r>
      <w:r>
        <w:t xml:space="preserve">”</w:t>
      </w:r>
      <w:r>
        <w:t xml:space="preserve"> </w:t>
      </w:r>
      <w:r>
        <w:t xml:space="preserve">(NC) and</w:t>
      </w:r>
      <w:r>
        <w:t xml:space="preserve"> </w:t>
      </w:r>
      <w:r>
        <w:t xml:space="preserve">“</w:t>
      </w:r>
      <w:r>
        <w:t xml:space="preserve">Credit Pending</w:t>
      </w:r>
      <w:r>
        <w:t xml:space="preserve">”</w:t>
      </w:r>
      <w:r>
        <w:t xml:space="preserve"> </w:t>
      </w:r>
      <w:r>
        <w:t xml:space="preserve">(CP) on Angelina’s transcript for SY 2025–2026.</w:t>
      </w:r>
    </w:p>
    <w:p>
      <w:pPr>
        <w:numPr>
          <w:ilvl w:val="0"/>
          <w:numId w:val="1002"/>
        </w:numPr>
        <w:pStyle w:val="Compact"/>
      </w:pPr>
      <w:r>
        <w:t xml:space="preserve">The requirement that Angelina enroll in summer credit recovery.</w:t>
      </w:r>
    </w:p>
    <w:p>
      <w:pPr>
        <w:numPr>
          <w:ilvl w:val="0"/>
          <w:numId w:val="1002"/>
        </w:numPr>
        <w:pStyle w:val="Compact"/>
      </w:pPr>
      <w:r>
        <w:t xml:space="preserve">The requirement that Angelina enroll in summer school programming.</w:t>
      </w:r>
    </w:p>
    <w:p>
      <w:pPr>
        <w:numPr>
          <w:ilvl w:val="0"/>
          <w:numId w:val="1002"/>
        </w:numPr>
        <w:pStyle w:val="Compact"/>
      </w:pPr>
      <w:r>
        <w:t xml:space="preserve">The school’s characterization of absences as</w:t>
      </w:r>
      <w:r>
        <w:t xml:space="preserve"> </w:t>
      </w:r>
      <w:r>
        <w:t xml:space="preserve">“</w:t>
      </w:r>
      <w:r>
        <w:t xml:space="preserve">unexcused</w:t>
      </w:r>
      <w:r>
        <w:t xml:space="preserve">”</w:t>
      </w:r>
      <w:r>
        <w:t xml:space="preserve"> </w:t>
      </w:r>
      <w:r>
        <w:t xml:space="preserve">or</w:t>
      </w:r>
      <w:r>
        <w:t xml:space="preserve"> </w:t>
      </w:r>
      <w:r>
        <w:t xml:space="preserve">“</w:t>
      </w:r>
      <w:r>
        <w:t xml:space="preserve">truancy.</w:t>
      </w:r>
      <w:r>
        <w:t xml:space="preserve">”</w:t>
      </w:r>
    </w:p>
    <w:p>
      <w:pPr>
        <w:numPr>
          <w:ilvl w:val="0"/>
          <w:numId w:val="1002"/>
        </w:numPr>
        <w:pStyle w:val="Compact"/>
      </w:pPr>
      <w:r>
        <w:t xml:space="preserve">The school’s failure to convene an IEP Team meeting to consider whether absences were disability-related before imposing the credit penalty.</w:t>
      </w:r>
    </w:p>
    <w:p>
      <w:pPr>
        <w:numPr>
          <w:ilvl w:val="0"/>
          <w:numId w:val="1002"/>
        </w:numPr>
        <w:pStyle w:val="Compact"/>
      </w:pPr>
      <w:r>
        <w:t xml:space="preserve">The school’s failure to provide prior written notice before changing Angelina’s placement.</w:t>
      </w:r>
    </w:p>
    <w:p>
      <w:pPr>
        <w:numPr>
          <w:ilvl w:val="0"/>
          <w:numId w:val="1002"/>
        </w:numPr>
        <w:pStyle w:val="Compact"/>
      </w:pPr>
      <w:r>
        <w:t xml:space="preserve">The school’s failure to obtain parental consent for any change in placement or program.</w:t>
      </w:r>
    </w:p>
    <w:p>
      <w:pPr>
        <w:numPr>
          <w:ilvl w:val="0"/>
          <w:numId w:val="1002"/>
        </w:numPr>
        <w:pStyle w:val="Compact"/>
      </w:pPr>
      <w:r>
        <w:t xml:space="preserve">The school’s failure to respond to the records-amendment request submitted on June 24, 2026.</w:t>
      </w:r>
    </w:p>
    <w:bookmarkEnd w:id="21"/>
    <w:bookmarkStart w:id="22" w:name="factual-background-canonical-numbers"/>
    <w:p>
      <w:pPr>
        <w:pStyle w:val="Heading2"/>
      </w:pPr>
      <w:r>
        <w:t xml:space="preserve">3. Factual Background (Canonical Numbers)</w:t>
      </w:r>
    </w:p>
    <w:p>
      <w:pPr>
        <w:pStyle w:val="FirstParagraph"/>
      </w:pPr>
      <w:r>
        <w:rPr>
          <w:bCs/>
          <w:b/>
        </w:rPr>
        <w:t xml:space="preserve">Student.</w:t>
      </w:r>
      <w:r>
        <w:t xml:space="preserve"> </w:t>
      </w:r>
      <w:r>
        <w:t xml:space="preserve">Angelina Karima Crooker, 9th-grade student at Wareham High School during SY 2025–2026.</w:t>
      </w:r>
      <w:r>
        <w:t xml:space="preserve"> </w:t>
      </w:r>
      <w:r>
        <w:rPr>
          <w:bCs/>
          <w:b/>
        </w:rPr>
        <w:t xml:space="preserve">Angelina has an active IEP that was in effect throughout the school year.</w:t>
      </w:r>
      <w:r>
        <w:t xml:space="preserve"> </w:t>
      </w:r>
      <w:r>
        <w:t xml:space="preserve">The school therefore had a heightened federal obligation to engage the IEP Team before changing her placement or program.</w:t>
      </w:r>
    </w:p>
    <w:p>
      <w:pPr>
        <w:pStyle w:val="BodyText"/>
      </w:pPr>
      <w:r>
        <w:rPr>
          <w:bCs/>
          <w:b/>
        </w:rPr>
        <w:t xml:space="preserve">Attendance (PowerSchool system of record, confirmed by Dean Christine Cinelli’s email of 6/23/26):</w:t>
      </w:r>
      <w:r>
        <w:t xml:space="preserve"> </w:t>
      </w:r>
      <w:r>
        <w:t xml:space="preserve">-</w:t>
      </w:r>
      <w:r>
        <w:t xml:space="preserve"> </w:t>
      </w:r>
      <w:r>
        <w:rPr>
          <w:bCs/>
          <w:b/>
        </w:rPr>
        <w:t xml:space="preserve">16 total absences</w:t>
      </w:r>
      <w:r>
        <w:t xml:space="preserve"> </w:t>
      </w:r>
      <w:r>
        <w:t xml:space="preserve">— 11 unexcused (A), 5 excused (X).</w:t>
      </w:r>
      <w:r>
        <w:t xml:space="preserve"> </w:t>
      </w:r>
      <w:r>
        <w:t xml:space="preserve">- Quarterly distribution: Q1 = 7 (5 A / 2 X); Q2 = 2 (2 A / 0 X); Q3 = 6 (4 A / 2 X); Q4 = 1 (0 A / 1 X).</w:t>
      </w:r>
      <w:r>
        <w:t xml:space="preserve"> </w:t>
      </w:r>
      <w:r>
        <w:t xml:space="preserve">- Tardies: 27.</w:t>
      </w:r>
      <w:r>
        <w:t xml:space="preserve"> </w:t>
      </w:r>
      <w:r>
        <w:rPr>
          <w:bCs/>
          <w:b/>
        </w:rPr>
        <w:t xml:space="preserve">Tardies are not addressed in the published handbook pp. 42–45 and cannot lawfully form the basis of any credit penalty.</w:t>
      </w:r>
    </w:p>
    <w:p>
      <w:pPr>
        <w:pStyle w:val="BodyText"/>
      </w:pPr>
      <w:r>
        <w:rPr>
          <w:bCs/>
          <w:b/>
        </w:rPr>
        <w:t xml:space="preserve">Complete absence record (per Dean Cinelli, 6/23/26):</w:t>
      </w:r>
      <w:r>
        <w:t xml:space="preserve"> </w:t>
      </w:r>
      <w:r>
        <w:t xml:space="preserve">09/02/25 A · 09/11/25 A · 09/16/25 X · 09/17/25 X · 10/01/25 A · 10/21/25 A · 10/27/25 A · 11/14/25 A · 01/08/26 A · 02/11/26 A · 02/23/26 A · 03/06/26 X · 03/09/26 A · 03/17/26 A · 03/19/26 X · 04/08/26 X</w:t>
      </w:r>
    </w:p>
    <w:p>
      <w:pPr>
        <w:pStyle w:val="BodyText"/>
      </w:pPr>
      <w:r>
        <w:rPr>
          <w:bCs/>
          <w:b/>
        </w:rPr>
        <w:t xml:space="preserve">5th unexcused absence — intervention trigger</w:t>
      </w:r>
      <w:r>
        <w:t xml:space="preserve"> </w:t>
      </w:r>
      <w:r>
        <w:t xml:space="preserve">was reached on</w:t>
      </w:r>
      <w:r>
        <w:t xml:space="preserve"> </w:t>
      </w:r>
      <w:r>
        <w:rPr>
          <w:bCs/>
          <w:b/>
        </w:rPr>
        <w:t xml:space="preserve">10/27/25</w:t>
      </w:r>
      <w:r>
        <w:t xml:space="preserve">. Under Handbook p. 44, the school was required on that date to: (a) notify the parent, (b) require the student to develop an action plan, and (c) make a reasonable effort to convene a meeting. The school did none of these.</w:t>
      </w:r>
      <w:r>
        <w:t xml:space="preserve"> </w:t>
      </w:r>
      <w:r>
        <w:rPr>
          <w:bCs/>
          <w:b/>
        </w:rPr>
        <w:t xml:space="preserve">For the next 239 calendar days — through 6/23/26 — the school was completely silent on attendance.</w:t>
      </w:r>
    </w:p>
    <w:p>
      <w:pPr>
        <w:pStyle w:val="BodyText"/>
      </w:pPr>
      <w:r>
        <w:rPr>
          <w:bCs/>
          <w:b/>
        </w:rPr>
        <w:t xml:space="preserve">The June 26, 2026 progress report.</w:t>
      </w:r>
      <w:r>
        <w:t xml:space="preserve"> </w:t>
      </w:r>
      <w:r>
        <w:t xml:space="preserve">The school issued a written progress report dated</w:t>
      </w:r>
      <w:r>
        <w:t xml:space="preserve"> </w:t>
      </w:r>
      <w:r>
        <w:rPr>
          <w:bCs/>
          <w:b/>
        </w:rPr>
        <w:t xml:space="preserve">June 26, 2026 — three days after first imposing the credit penalty and the summer-school requirement</w:t>
      </w:r>
      <w:r>
        <w:t xml:space="preserve">. That progress report</w:t>
      </w:r>
      <w:r>
        <w:t xml:space="preserve"> </w:t>
      </w:r>
      <w:r>
        <w:rPr>
          <w:bCs/>
          <w:b/>
        </w:rPr>
        <w:t xml:space="preserve">made no reference whatsoever to summer school, to NC/CP credit designations, or to any attendance-based consequence.</w:t>
      </w:r>
      <w:r>
        <w:t xml:space="preserve"> </w:t>
      </w:r>
      <w:r>
        <w:t xml:space="preserve">The school did not provide prior written notice of the placement change to the parent, to the student, or to the IEP Team, and the June 26 progress report is direct documentary evidence that the placement change was not communicated through the student’s normal progress-reporting channel. The penalty was imposed by the building administration unilaterally, not through the IEP Team.</w:t>
      </w:r>
    </w:p>
    <w:p>
      <w:pPr>
        <w:pStyle w:val="BodyText"/>
      </w:pPr>
      <w:r>
        <w:rPr>
          <w:bCs/>
          <w:b/>
        </w:rPr>
        <w:t xml:space="preserve">Disputed school claim of</w:t>
      </w:r>
      <w:r>
        <w:rPr>
          <w:bCs/>
          <w:b/>
        </w:rPr>
        <w:t xml:space="preserve"> </w:t>
      </w:r>
      <w:r>
        <w:rPr>
          <w:bCs/>
          <w:b/>
        </w:rPr>
        <w:t xml:space="preserve">“</w:t>
      </w:r>
      <w:r>
        <w:rPr>
          <w:bCs/>
          <w:b/>
        </w:rPr>
        <w:t xml:space="preserve">30 days / 48 periods.</w:t>
      </w:r>
      <w:r>
        <w:rPr>
          <w:bCs/>
          <w:b/>
        </w:rPr>
        <w:t xml:space="preserve">”</w:t>
      </w:r>
      <w:r>
        <w:t xml:space="preserve"> </w:t>
      </w:r>
      <w:r>
        <w:t xml:space="preserve">In a separate 6/23/26 communication, the school asserted 30 days / 48 periods. PowerSchool — the system of record — shows 16. The 14-day gap (and 96-period gap) is unexplained and is itself a procedural defect: the school cannot impose consequences on the basis of data it has not reconciled to its own system of record.</w:t>
      </w:r>
    </w:p>
    <w:p>
      <w:pPr>
        <w:pStyle w:val="BodyText"/>
      </w:pPr>
      <w:r>
        <w:rPr>
          <w:bCs/>
          <w:b/>
        </w:rPr>
        <w:t xml:space="preserve">Academic standing.</w:t>
      </w:r>
      <w:r>
        <w:t xml:space="preserve"> </w:t>
      </w:r>
      <w:r>
        <w:t xml:space="preserve">Angelina earned grades of B+ or better across year-long core courses (Algebra 1 CP, Applied Biology, World History CP, English 9 CP), and was on track at term 4 to finish at a B+ average. She earned Honor Roll in 2 of 4 completed quarters. She has</w:t>
      </w:r>
      <w:r>
        <w:t xml:space="preserve"> </w:t>
      </w:r>
      <w:r>
        <w:rPr>
          <w:bCs/>
          <w:b/>
        </w:rPr>
        <w:t xml:space="preserve">zero</w:t>
      </w:r>
      <w:r>
        <w:t xml:space="preserve"> </w:t>
      </w:r>
      <w:r>
        <w:t xml:space="preserve">suspensions, detentions, or office referrals. The school’s own data shows her absences are concentrated in afternoon periods 6–8, not morning — a pattern consistent with documented bullying and disability-related barriers, not truancy.</w:t>
      </w:r>
    </w:p>
    <w:p>
      <w:pPr>
        <w:pStyle w:val="BodyText"/>
      </w:pPr>
      <w:r>
        <w:rPr>
          <w:bCs/>
          <w:b/>
        </w:rPr>
        <w:t xml:space="preserve">Communication history.</w:t>
      </w:r>
      <w:r>
        <w:t xml:space="preserve"> </w:t>
      </w:r>
      <w:r>
        <w:t xml:space="preserve">Three contact persons are on file with the school: Sarah Crooker (mother), Kristen (aunt), and the maternal grandmother (also Sarah Crooker). The school contacted all three on</w:t>
      </w:r>
      <w:r>
        <w:t xml:space="preserve"> </w:t>
      </w:r>
      <w:r>
        <w:rPr>
          <w:bCs/>
          <w:b/>
        </w:rPr>
        <w:t xml:space="preserve">unrelated matters</w:t>
      </w:r>
      <w:r>
        <w:t xml:space="preserve"> </w:t>
      </w:r>
      <w:r>
        <w:t xml:space="preserve">within the last three months, confirming the contact information is current and functional. A search of the family Gmail account confirms</w:t>
      </w:r>
      <w:r>
        <w:t xml:space="preserve"> </w:t>
      </w:r>
      <w:r>
        <w:rPr>
          <w:bCs/>
          <w:b/>
        </w:rPr>
        <w:t xml:space="preserve">zero emails from Wareham High School about attendance for the entire 2025–2026 school year.</w:t>
      </w:r>
    </w:p>
    <w:p>
      <w:pPr>
        <w:pStyle w:val="BodyText"/>
      </w:pPr>
      <w:r>
        <w:rPr>
          <w:bCs/>
          <w:b/>
        </w:rPr>
        <w:t xml:space="preserve">Prior filings (parent → school/district):</w:t>
      </w:r>
      <w:r>
        <w:t xml:space="preserve"> </w:t>
      </w:r>
      <w:r>
        <w:t xml:space="preserve">-</w:t>
      </w:r>
      <w:r>
        <w:t xml:space="preserve"> </w:t>
      </w:r>
      <w:r>
        <w:rPr>
          <w:bCs/>
          <w:b/>
        </w:rPr>
        <w:t xml:space="preserve">June 23, 2026:</w:t>
      </w:r>
      <w:r>
        <w:t xml:space="preserve"> </w:t>
      </w:r>
      <w:r>
        <w:t xml:space="preserve">Letter to Principal Palladino requesting reconciliation of the 16-vs-30 attendance dispute and citing MGL c. 71 § 28.</w:t>
      </w:r>
      <w:r>
        <w:t xml:space="preserve"> </w:t>
      </w:r>
      <w:r>
        <w:t xml:space="preserve">-</w:t>
      </w:r>
      <w:r>
        <w:t xml:space="preserve"> </w:t>
      </w:r>
      <w:r>
        <w:rPr>
          <w:bCs/>
          <w:b/>
        </w:rPr>
        <w:t xml:space="preserve">June 24, 2026:</w:t>
      </w:r>
      <w:r>
        <w:t xml:space="preserve"> </w:t>
      </w:r>
      <w:r>
        <w:t xml:space="preserve">Comprehensive appeal to Superintendent/School Committee (18 violations); Final Demand to principal (rescind by COB 6/26/26); DESE complaint; FERPA complaint; School Committee Fair Hearing request; Plymouth Juvenile Court motion.</w:t>
      </w:r>
      <w:r>
        <w:t xml:space="preserve"> </w:t>
      </w:r>
      <w:r>
        <w:t xml:space="preserve">-</w:t>
      </w:r>
      <w:r>
        <w:t xml:space="preserve"> </w:t>
      </w:r>
      <w:r>
        <w:rPr>
          <w:bCs/>
          <w:b/>
        </w:rPr>
        <w:t xml:space="preserve">June 24, 2026:</w:t>
      </w:r>
      <w:r>
        <w:t xml:space="preserve"> </w:t>
      </w:r>
      <w:r>
        <w:t xml:space="preserve">603 CMR 23.07 records-amendment request.</w:t>
      </w:r>
    </w:p>
    <w:p>
      <w:pPr>
        <w:pStyle w:val="BodyText"/>
      </w:pPr>
      <w:r>
        <w:rPr>
          <w:bCs/>
          <w:b/>
        </w:rPr>
        <w:t xml:space="preserve">As of the date of this appeal:</w:t>
      </w:r>
      <w:r>
        <w:t xml:space="preserve"> </w:t>
      </w:r>
      <w:r>
        <w:t xml:space="preserve">the school has not rescinded the credit designations, has not acknowledged any violation, has not scheduled the Attendance Review Committee hearing required by Handbook p. 45, has not convened an IEP Team meeting, and has not responded to the records-amendment request. The principal’s statutory response deadline under 603 CMR 23.07 is</w:t>
      </w:r>
      <w:r>
        <w:t xml:space="preserve"> </w:t>
      </w:r>
      <w:r>
        <w:rPr>
          <w:bCs/>
          <w:b/>
        </w:rPr>
        <w:t xml:space="preserve">July 1, 2026</w:t>
      </w:r>
      <w:r>
        <w:t xml:space="preserve">.</w:t>
      </w:r>
    </w:p>
    <w:bookmarkEnd w:id="22"/>
    <w:bookmarkStart w:id="23" w:name="X504c117566ae1170afe2aa224a5646095b1fedd"/>
    <w:p>
      <w:pPr>
        <w:pStyle w:val="Heading2"/>
      </w:pPr>
      <w:r>
        <w:t xml:space="preserve">4. Threshold Analysis — Angelina Does Not Meet Any Statutory Trigger for the Penalty Imposed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Threshold</w:t>
            </w:r>
          </w:p>
        </w:tc>
        <w:tc>
          <w:tcPr/>
          <w:p>
            <w:pPr>
              <w:pStyle w:val="Compact"/>
              <w:jc w:val="left"/>
            </w:pPr>
            <w:r>
              <w:t xml:space="preserve">Source</w:t>
            </w:r>
          </w:p>
        </w:tc>
        <w:tc>
          <w:tcPr/>
          <w:p>
            <w:pPr>
              <w:pStyle w:val="Compact"/>
              <w:jc w:val="left"/>
            </w:pPr>
            <w:r>
              <w:t xml:space="preserve">Required</w:t>
            </w:r>
          </w:p>
        </w:tc>
        <w:tc>
          <w:tcPr/>
          <w:p>
            <w:pPr>
              <w:pStyle w:val="Compact"/>
              <w:jc w:val="left"/>
            </w:pPr>
            <w:r>
              <w:t xml:space="preserve">Angelina’s number</w:t>
            </w:r>
          </w:p>
        </w:tc>
        <w:tc>
          <w:tcPr/>
          <w:p>
            <w:pPr>
              <w:pStyle w:val="Compact"/>
              <w:jc w:val="left"/>
            </w:pPr>
            <w:r>
              <w:t xml:space="preserve">Met?</w:t>
            </w:r>
          </w:p>
        </w:tc>
      </w:tr>
      <w:tr>
        <w:tc>
          <w:tcPr/>
          <w:p>
            <w:pPr>
              <w:pStyle w:val="Compact"/>
              <w:jc w:val="left"/>
            </w:pPr>
            <w:r>
              <w:t xml:space="preserve">Habitual truancy</w:t>
            </w:r>
          </w:p>
        </w:tc>
        <w:tc>
          <w:tcPr/>
          <w:p>
            <w:pPr>
              <w:pStyle w:val="Compact"/>
              <w:jc w:val="left"/>
            </w:pPr>
            <w:r>
              <w:t xml:space="preserve">MGL c. 119 § 21</w:t>
            </w:r>
          </w:p>
        </w:tc>
        <w:tc>
          <w:tcPr/>
          <w:p>
            <w:pPr>
              <w:pStyle w:val="Compact"/>
              <w:jc w:val="left"/>
            </w:pPr>
            <w:r>
              <w:t xml:space="preserve">8 unexcused/quarter</w:t>
            </w:r>
          </w:p>
        </w:tc>
        <w:tc>
          <w:tcPr/>
          <w:p>
            <w:pPr>
              <w:pStyle w:val="Compact"/>
              <w:jc w:val="left"/>
            </w:pPr>
            <w:r>
              <w:t xml:space="preserve">Max in any quarter = 5 (Q1)</w:t>
            </w:r>
          </w:p>
        </w:tc>
        <w:tc>
          <w:tcPr/>
          <w:p>
            <w:pPr>
              <w:pStyle w:val="Compact"/>
              <w:jc w:val="left"/>
            </w:pPr>
            <w:r>
              <w:rPr>
                <w:bCs/>
                <w:b/>
              </w:rPr>
              <w:t xml:space="preserve">NO</w:t>
            </w:r>
          </w:p>
        </w:tc>
      </w:tr>
      <w:tr>
        <w:tc>
          <w:tcPr/>
          <w:p>
            <w:pPr>
              <w:pStyle w:val="Compact"/>
              <w:jc w:val="left"/>
            </w:pPr>
            <w:r>
              <w:t xml:space="preserve">Parental criminal liability</w:t>
            </w:r>
          </w:p>
        </w:tc>
        <w:tc>
          <w:tcPr/>
          <w:p>
            <w:pPr>
              <w:pStyle w:val="Compact"/>
              <w:jc w:val="left"/>
            </w:pPr>
            <w:r>
              <w:t xml:space="preserve">MGL c. 76 § 2</w:t>
            </w:r>
          </w:p>
        </w:tc>
        <w:tc>
          <w:tcPr/>
          <w:p>
            <w:pPr>
              <w:pStyle w:val="Compact"/>
              <w:jc w:val="left"/>
            </w:pPr>
            <w:r>
              <w:t xml:space="preserve">7+ unexcused in 6 months</w:t>
            </w:r>
          </w:p>
        </w:tc>
        <w:tc>
          <w:tcPr/>
          <w:p>
            <w:pPr>
              <w:pStyle w:val="Compact"/>
              <w:jc w:val="left"/>
            </w:pPr>
            <w:r>
              <w:t xml:space="preserve">S1 = 7 (at, not above); S2 = 4</w:t>
            </w:r>
          </w:p>
        </w:tc>
        <w:tc>
          <w:tcPr/>
          <w:p>
            <w:pPr>
              <w:pStyle w:val="Compact"/>
              <w:jc w:val="left"/>
            </w:pPr>
            <w:r>
              <w:rPr>
                <w:bCs/>
                <w:b/>
              </w:rPr>
              <w:t xml:space="preserve">NO</w:t>
            </w:r>
            <w:r>
              <w:t xml:space="preserve"> </w:t>
            </w:r>
            <w:r>
              <w:t xml:space="preserve">(borderline)</w:t>
            </w:r>
          </w:p>
        </w:tc>
      </w:tr>
      <w:tr>
        <w:tc>
          <w:tcPr/>
          <w:p>
            <w:pPr>
              <w:pStyle w:val="Compact"/>
              <w:jc w:val="left"/>
            </w:pPr>
            <w:r>
              <w:t xml:space="preserve">Chronic absenteeism</w:t>
            </w:r>
          </w:p>
        </w:tc>
        <w:tc>
          <w:tcPr/>
          <w:p>
            <w:pPr>
              <w:pStyle w:val="Compact"/>
              <w:jc w:val="left"/>
            </w:pPr>
            <w:r>
              <w:t xml:space="preserve">DESE (10% of 180)</w:t>
            </w:r>
          </w:p>
        </w:tc>
        <w:tc>
          <w:tcPr/>
          <w:p>
            <w:pPr>
              <w:pStyle w:val="Compact"/>
              <w:jc w:val="left"/>
            </w:pPr>
            <w:r>
              <w:t xml:space="preserve">18 days</w:t>
            </w:r>
          </w:p>
        </w:tc>
        <w:tc>
          <w:tcPr/>
          <w:p>
            <w:pPr>
              <w:pStyle w:val="Compact"/>
              <w:jc w:val="left"/>
            </w:pPr>
            <w:r>
              <w:t xml:space="preserve">16 (8.9%)</w:t>
            </w:r>
          </w:p>
        </w:tc>
        <w:tc>
          <w:tcPr/>
          <w:p>
            <w:pPr>
              <w:pStyle w:val="Compact"/>
              <w:jc w:val="left"/>
            </w:pPr>
            <w:r>
              <w:rPr>
                <w:bCs/>
                <w:b/>
              </w:rPr>
              <w:t xml:space="preserve">NO</w:t>
            </w:r>
          </w:p>
        </w:tc>
      </w:tr>
      <w:tr>
        <w:tc>
          <w:tcPr/>
          <w:p>
            <w:pPr>
              <w:pStyle w:val="Compact"/>
              <w:jc w:val="left"/>
            </w:pPr>
            <w:r>
              <w:t xml:space="preserve">20-unexcused credit-retrieval bar</w:t>
            </w:r>
          </w:p>
        </w:tc>
        <w:tc>
          <w:tcPr/>
          <w:p>
            <w:pPr>
              <w:pStyle w:val="Compact"/>
              <w:jc w:val="left"/>
            </w:pPr>
            <w:r>
              <w:t xml:space="preserve">Handbook p. 45</w:t>
            </w:r>
          </w:p>
        </w:tc>
        <w:tc>
          <w:tcPr/>
          <w:p>
            <w:pPr>
              <w:pStyle w:val="Compact"/>
              <w:jc w:val="left"/>
            </w:pPr>
            <w:r>
              <w:t xml:space="preserve">20 unexcused</w:t>
            </w:r>
          </w:p>
        </w:tc>
        <w:tc>
          <w:tcPr/>
          <w:p>
            <w:pPr>
              <w:pStyle w:val="Compact"/>
              <w:jc w:val="left"/>
            </w:pPr>
            <w:r>
              <w:t xml:space="preserve">11 unexcused</w:t>
            </w:r>
          </w:p>
        </w:tc>
        <w:tc>
          <w:tcPr/>
          <w:p>
            <w:pPr>
              <w:pStyle w:val="Compact"/>
              <w:jc w:val="left"/>
            </w:pPr>
            <w:r>
              <w:rPr>
                <w:bCs/>
                <w:b/>
              </w:rPr>
              <w:t xml:space="preserve">NO</w:t>
            </w:r>
          </w:p>
        </w:tc>
      </w:tr>
      <w:tr>
        <w:tc>
          <w:tcPr/>
          <w:p>
            <w:pPr>
              <w:pStyle w:val="Compact"/>
              <w:jc w:val="left"/>
            </w:pPr>
            <w:r>
              <w:t xml:space="preserve">5-unexcused intervention trigger</w:t>
            </w:r>
          </w:p>
        </w:tc>
        <w:tc>
          <w:tcPr/>
          <w:p>
            <w:pPr>
              <w:pStyle w:val="Compact"/>
              <w:jc w:val="left"/>
            </w:pPr>
            <w:r>
              <w:t xml:space="preserve">Handbook p. 44 / § 1B</w:t>
            </w:r>
          </w:p>
        </w:tc>
        <w:tc>
          <w:tcPr/>
          <w:p>
            <w:pPr>
              <w:pStyle w:val="Compact"/>
              <w:jc w:val="left"/>
            </w:pPr>
            <w:r>
              <w:t xml:space="preserve">5 unexcused</w:t>
            </w:r>
          </w:p>
        </w:tc>
        <w:tc>
          <w:tcPr/>
          <w:p>
            <w:pPr>
              <w:pStyle w:val="Compact"/>
              <w:jc w:val="left"/>
            </w:pPr>
            <w:r>
              <w:t xml:space="preserve">5 on 10/27/25</w:t>
            </w:r>
          </w:p>
        </w:tc>
        <w:tc>
          <w:tcPr/>
          <w:p>
            <w:pPr>
              <w:pStyle w:val="Compact"/>
              <w:jc w:val="left"/>
            </w:pPr>
            <w:r>
              <w:rPr>
                <w:bCs/>
                <w:b/>
              </w:rPr>
              <w:t xml:space="preserve">MET</w:t>
            </w:r>
            <w:r>
              <w:t xml:space="preserve"> </w:t>
            </w:r>
            <w:r>
              <w:t xml:space="preserve">— but intervention never executed</w:t>
            </w:r>
          </w:p>
        </w:tc>
      </w:tr>
      <w:tr>
        <w:tc>
          <w:tcPr/>
          <w:p>
            <w:pPr>
              <w:pStyle w:val="Compact"/>
              <w:jc w:val="left"/>
            </w:pPr>
            <w:r>
              <w:t xml:space="preserve">9-total-days NC trigger</w:t>
            </w:r>
          </w:p>
        </w:tc>
        <w:tc>
          <w:tcPr/>
          <w:p>
            <w:pPr>
              <w:pStyle w:val="Compact"/>
              <w:jc w:val="left"/>
            </w:pPr>
            <w:r>
              <w:t xml:space="preserve">Handbook p. 45</w:t>
            </w:r>
          </w:p>
        </w:tc>
        <w:tc>
          <w:tcPr/>
          <w:p>
            <w:pPr>
              <w:pStyle w:val="Compact"/>
              <w:jc w:val="left"/>
            </w:pPr>
            <w:r>
              <w:t xml:space="preserve">9 total absent</w:t>
            </w:r>
          </w:p>
        </w:tc>
        <w:tc>
          <w:tcPr/>
          <w:p>
            <w:pPr>
              <w:pStyle w:val="Compact"/>
              <w:jc w:val="left"/>
            </w:pPr>
            <w:r>
              <w:t xml:space="preserve">16 total</w:t>
            </w:r>
          </w:p>
        </w:tc>
        <w:tc>
          <w:tcPr/>
          <w:p>
            <w:pPr>
              <w:pStyle w:val="Compact"/>
              <w:jc w:val="left"/>
            </w:pPr>
            <w:r>
              <w:rPr>
                <w:bCs/>
                <w:b/>
              </w:rPr>
              <w:t xml:space="preserve">MET</w:t>
            </w:r>
            <w:r>
              <w:t xml:space="preserve"> </w:t>
            </w:r>
            <w:r>
              <w:t xml:space="preserve">— only because the ignored intervention allowed it to occur</w:t>
            </w:r>
          </w:p>
        </w:tc>
      </w:tr>
    </w:tbl>
    <w:p>
      <w:pPr>
        <w:pStyle w:val="BodyText"/>
      </w:pPr>
      <w:r>
        <w:t xml:space="preserve">The school is using its internal handbook to impose a consequence that Massachusetts statutes do not authorize.</w:t>
      </w:r>
    </w:p>
    <w:bookmarkEnd w:id="23"/>
    <w:bookmarkStart w:id="26" w:name="procedural-violations"/>
    <w:p>
      <w:pPr>
        <w:pStyle w:val="Heading2"/>
      </w:pPr>
      <w:r>
        <w:t xml:space="preserve">5. Procedural Violations</w:t>
      </w:r>
    </w:p>
    <w:p>
      <w:pPr>
        <w:pStyle w:val="FirstParagraph"/>
      </w:pPr>
      <w:r>
        <w:t xml:space="preserve">The school committed the following distinct procedural violations:</w:t>
      </w:r>
    </w:p>
    <w:bookmarkStart w:id="24" w:name="state-law"/>
    <w:p>
      <w:pPr>
        <w:pStyle w:val="Heading3"/>
      </w:pPr>
      <w:r>
        <w:t xml:space="preserve">State Law</w:t>
      </w:r>
    </w:p>
    <w:p>
      <w:pPr>
        <w:numPr>
          <w:ilvl w:val="0"/>
          <w:numId w:val="1003"/>
        </w:numPr>
        <w:pStyle w:val="Compact"/>
      </w:pPr>
      <w:r>
        <w:rPr>
          <w:bCs/>
          <w:b/>
        </w:rPr>
        <w:t xml:space="preserve">MGL c. 76, § 1B</w:t>
      </w:r>
      <w:r>
        <w:t xml:space="preserve"> </w:t>
      </w:r>
      <w:r>
        <w:t xml:space="preserve">— Failure to provide reasonable-effort notification, meeting-and-plan for repeated absence, and meeting-and-plan for habitual absence.</w:t>
      </w:r>
    </w:p>
    <w:p>
      <w:pPr>
        <w:numPr>
          <w:ilvl w:val="0"/>
          <w:numId w:val="1003"/>
        </w:numPr>
        <w:pStyle w:val="Compact"/>
      </w:pPr>
      <w:r>
        <w:rPr>
          <w:bCs/>
          <w:b/>
        </w:rPr>
        <w:t xml:space="preserve">MGL c. 71, § 37H</w:t>
      </w:r>
      <w:r>
        <w:t xml:space="preserve"> </w:t>
      </w:r>
      <w:r>
        <w:t xml:space="preserve">— Failure to provide school-committee policy publication, due process, written notice, 10-day appeal window, right to counsel, continued educational services, and DESE data reporting before imposing a credit-penalty</w:t>
      </w:r>
      <w:r>
        <w:t xml:space="preserve"> </w:t>
      </w:r>
      <w:r>
        <w:t xml:space="preserve">“</w:t>
      </w:r>
      <w:r>
        <w:t xml:space="preserve">removal from educational privileges.</w:t>
      </w:r>
      <w:r>
        <w:t xml:space="preserve">”</w:t>
      </w:r>
    </w:p>
    <w:p>
      <w:pPr>
        <w:numPr>
          <w:ilvl w:val="0"/>
          <w:numId w:val="1003"/>
        </w:numPr>
        <w:pStyle w:val="Compact"/>
      </w:pPr>
      <w:r>
        <w:rPr>
          <w:bCs/>
          <w:b/>
        </w:rPr>
        <w:t xml:space="preserve">MGL c. 71, § 37H½</w:t>
      </w:r>
      <w:r>
        <w:t xml:space="preserve"> </w:t>
      </w:r>
      <w:r>
        <w:t xml:space="preserve">— Failure to provide the 5/3/5-day appeal timeline, written notice of charges, superintendent hearing, right to counsel, right to present evidence, and right to cross-examine.</w:t>
      </w:r>
    </w:p>
    <w:p>
      <w:pPr>
        <w:numPr>
          <w:ilvl w:val="0"/>
          <w:numId w:val="1003"/>
        </w:numPr>
        <w:pStyle w:val="Compact"/>
      </w:pPr>
      <w:r>
        <w:rPr>
          <w:bCs/>
          <w:b/>
        </w:rPr>
        <w:t xml:space="preserve">MGL c. 71, § 28</w:t>
      </w:r>
      <w:r>
        <w:t xml:space="preserve"> </w:t>
      </w:r>
      <w:r>
        <w:t xml:space="preserve">— Imposing a compulsory summer school requirement in a statutory framework that makes summer school voluntary.</w:t>
      </w:r>
    </w:p>
    <w:p>
      <w:pPr>
        <w:numPr>
          <w:ilvl w:val="0"/>
          <w:numId w:val="1003"/>
        </w:numPr>
        <w:pStyle w:val="Compact"/>
      </w:pPr>
      <w:r>
        <w:rPr>
          <w:bCs/>
          <w:b/>
        </w:rPr>
        <w:t xml:space="preserve">MGL c. 76, § 2 / MGL c. 119, § 21</w:t>
      </w:r>
      <w:r>
        <w:t xml:space="preserve"> </w:t>
      </w:r>
      <w:r>
        <w:t xml:space="preserve">— Applying truancy and parental-liability consequences without meeting the statutory thresholds.</w:t>
      </w:r>
    </w:p>
    <w:p>
      <w:pPr>
        <w:numPr>
          <w:ilvl w:val="0"/>
          <w:numId w:val="1003"/>
        </w:numPr>
        <w:pStyle w:val="Compact"/>
      </w:pPr>
      <w:r>
        <w:rPr>
          <w:bCs/>
          <w:b/>
        </w:rPr>
        <w:t xml:space="preserve">603 CMR 23.07</w:t>
      </w:r>
      <w:r>
        <w:t xml:space="preserve"> </w:t>
      </w:r>
      <w:r>
        <w:t xml:space="preserve">— Failing to respond to the records-amendment request within the statutory window (deadline 7/1/26).</w:t>
      </w:r>
    </w:p>
    <w:p>
      <w:pPr>
        <w:numPr>
          <w:ilvl w:val="0"/>
          <w:numId w:val="1003"/>
        </w:numPr>
        <w:pStyle w:val="Compact"/>
      </w:pPr>
      <w:r>
        <w:rPr>
          <w:bCs/>
          <w:b/>
        </w:rPr>
        <w:t xml:space="preserve">603 CMR 23.09</w:t>
      </w:r>
      <w:r>
        <w:t xml:space="preserve"> </w:t>
      </w:r>
      <w:r>
        <w:t xml:space="preserve">— Failing to schedule the Fair Hearing within 4 weeks of the 6/24/26 hearing request (deadline 7/24/26).</w:t>
      </w:r>
    </w:p>
    <w:p>
      <w:pPr>
        <w:numPr>
          <w:ilvl w:val="0"/>
          <w:numId w:val="1003"/>
        </w:numPr>
        <w:pStyle w:val="Compact"/>
      </w:pPr>
      <w:r>
        <w:rPr>
          <w:bCs/>
          <w:b/>
        </w:rPr>
        <w:t xml:space="preserve">603 CMR 23.00 (general)</w:t>
      </w:r>
      <w:r>
        <w:t xml:space="preserve"> </w:t>
      </w:r>
      <w:r>
        <w:t xml:space="preserve">— Maintaining and relying upon records reflecting procedurally invalid NC/CP designations based on unreconciled data and absent intervention.</w:t>
      </w:r>
    </w:p>
    <w:p>
      <w:pPr>
        <w:numPr>
          <w:ilvl w:val="0"/>
          <w:numId w:val="1003"/>
        </w:numPr>
        <w:pStyle w:val="Compact"/>
      </w:pPr>
      <w:r>
        <w:rPr>
          <w:bCs/>
          <w:b/>
        </w:rPr>
        <w:t xml:space="preserve">Handbook p. 43 vs. pp. 44–45</w:t>
      </w:r>
      <w:r>
        <w:t xml:space="preserve"> </w:t>
      </w:r>
      <w:r>
        <w:t xml:space="preserve">— Internal contradiction: p. 43 states there is</w:t>
      </w:r>
      <w:r>
        <w:t xml:space="preserve"> </w:t>
      </w:r>
      <w:r>
        <w:t xml:space="preserve">“</w:t>
      </w:r>
      <w:r>
        <w:t xml:space="preserve">no differentiation between excused and unexcused absences</w:t>
      </w:r>
      <w:r>
        <w:t xml:space="preserve">”</w:t>
      </w:r>
      <w:r>
        <w:t xml:space="preserve"> </w:t>
      </w:r>
      <w:r>
        <w:t xml:space="preserve">while pp. 44–45 operate entirely on that distinction. The handbook is void for vagueness / unenforceable as applied.</w:t>
      </w:r>
    </w:p>
    <w:p>
      <w:pPr>
        <w:numPr>
          <w:ilvl w:val="0"/>
          <w:numId w:val="1003"/>
        </w:numPr>
        <w:pStyle w:val="Compact"/>
      </w:pPr>
      <w:r>
        <w:rPr>
          <w:bCs/>
          <w:b/>
        </w:rPr>
        <w:t xml:space="preserve">Handbook p. 44</w:t>
      </w:r>
      <w:r>
        <w:t xml:space="preserve"> </w:t>
      </w:r>
      <w:r>
        <w:t xml:space="preserve">— Failure to notify parent, create an action plan, or convene a meeting on the 5th unexcused absence (10/27/25) — the</w:t>
      </w:r>
      <w:r>
        <w:t xml:space="preserve"> </w:t>
      </w:r>
      <w:r>
        <w:t xml:space="preserve">“</w:t>
      </w:r>
      <w:r>
        <w:t xml:space="preserve">shall</w:t>
      </w:r>
      <w:r>
        <w:t xml:space="preserve">”</w:t>
      </w:r>
      <w:r>
        <w:t xml:space="preserve"> </w:t>
      </w:r>
      <w:r>
        <w:t xml:space="preserve">language is mandatory.</w:t>
      </w:r>
    </w:p>
    <w:p>
      <w:pPr>
        <w:numPr>
          <w:ilvl w:val="0"/>
          <w:numId w:val="1003"/>
        </w:numPr>
        <w:pStyle w:val="Compact"/>
      </w:pPr>
      <w:r>
        <w:rPr>
          <w:bCs/>
          <w:b/>
        </w:rPr>
        <w:t xml:space="preserve">Handbook p. 45</w:t>
      </w:r>
      <w:r>
        <w:t xml:space="preserve"> </w:t>
      </w:r>
      <w:r>
        <w:t xml:space="preserve">— Failure to schedule the Attendance Review Committee hearing before imposing the credit penalty.</w:t>
      </w:r>
    </w:p>
    <w:bookmarkEnd w:id="24"/>
    <w:bookmarkStart w:id="25" w:name="federal-law"/>
    <w:p>
      <w:pPr>
        <w:pStyle w:val="Heading3"/>
      </w:pPr>
      <w:r>
        <w:t xml:space="preserve">Federal Law</w:t>
      </w:r>
    </w:p>
    <w:p>
      <w:pPr>
        <w:numPr>
          <w:ilvl w:val="0"/>
          <w:numId w:val="1004"/>
        </w:numPr>
        <w:pStyle w:val="Compact"/>
      </w:pPr>
      <w:r>
        <w:rPr>
          <w:bCs/>
          <w:b/>
        </w:rPr>
        <w:t xml:space="preserve">14th Amendment, U.S. Constitution — Procedural Due Process</w:t>
      </w:r>
      <w:r>
        <w:t xml:space="preserve"> </w:t>
      </w:r>
      <w:r>
        <w:t xml:space="preserve">(</w:t>
      </w:r>
      <w:r>
        <w:rPr>
          <w:iCs/>
          <w:i/>
        </w:rPr>
        <w:t xml:space="preserve">Goss v. Lopez</w:t>
      </w:r>
      <w:r>
        <w:t xml:space="preserve">, 419 U.S. 565 (1975)). A credit designation on a transcript is a property interest in educational benefits. The school provided neither notice nor an opportunity to be heard before imposing the penalty.</w:t>
      </w:r>
    </w:p>
    <w:p>
      <w:pPr>
        <w:numPr>
          <w:ilvl w:val="0"/>
          <w:numId w:val="1004"/>
        </w:numPr>
        <w:pStyle w:val="Compact"/>
      </w:pPr>
      <w:r>
        <w:rPr>
          <w:bCs/>
          <w:b/>
        </w:rPr>
        <w:t xml:space="preserve">FERPA, 34 CFR § 99.10</w:t>
      </w:r>
      <w:r>
        <w:t xml:space="preserve"> </w:t>
      </w:r>
      <w:r>
        <w:t xml:space="preserve">— Records used to impose penalties were never disclosed to the parent before penalty imposition.</w:t>
      </w:r>
    </w:p>
    <w:p>
      <w:pPr>
        <w:numPr>
          <w:ilvl w:val="0"/>
          <w:numId w:val="1004"/>
        </w:numPr>
        <w:pStyle w:val="Compact"/>
      </w:pPr>
      <w:r>
        <w:rPr>
          <w:bCs/>
          <w:b/>
        </w:rPr>
        <w:t xml:space="preserve">FERPA, 34 CFR § 99.20</w:t>
      </w:r>
      <w:r>
        <w:t xml:space="preserve"> </w:t>
      </w:r>
      <w:r>
        <w:t xml:space="preserve">— Records-amendment request submitted 6/24/26; statutory clock running.</w:t>
      </w:r>
    </w:p>
    <w:p>
      <w:pPr>
        <w:numPr>
          <w:ilvl w:val="0"/>
          <w:numId w:val="1004"/>
        </w:numPr>
        <w:pStyle w:val="Compact"/>
      </w:pPr>
      <w:r>
        <w:rPr>
          <w:bCs/>
          <w:b/>
        </w:rPr>
        <w:t xml:space="preserve">FERPA, 34 CFR § 99.21</w:t>
      </w:r>
      <w:r>
        <w:t xml:space="preserve"> </w:t>
      </w:r>
      <w:r>
        <w:t xml:space="preserve">— No hearing offered; no opportunity to place a statement of disagreement in the record.</w:t>
      </w:r>
    </w:p>
    <w:p>
      <w:pPr>
        <w:numPr>
          <w:ilvl w:val="0"/>
          <w:numId w:val="1004"/>
        </w:numPr>
        <w:pStyle w:val="Compact"/>
      </w:pPr>
      <w:r>
        <w:rPr>
          <w:bCs/>
          <w:b/>
        </w:rPr>
        <w:t xml:space="preserve">FERPA, 34 CFR § 99.7</w:t>
      </w:r>
      <w:r>
        <w:t xml:space="preserve"> </w:t>
      </w:r>
      <w:r>
        <w:t xml:space="preserve">— No annual notification of FERPA rights in the context of the pending penalties.</w:t>
      </w:r>
    </w:p>
    <w:p>
      <w:pPr>
        <w:numPr>
          <w:ilvl w:val="0"/>
          <w:numId w:val="1004"/>
        </w:numPr>
        <w:pStyle w:val="Compact"/>
      </w:pPr>
      <w:r>
        <w:rPr>
          <w:bCs/>
          <w:b/>
        </w:rPr>
        <w:t xml:space="preserve">IDEA, 34 CFR § 300.503 — Prior Written Notice.</w:t>
      </w:r>
      <w:r>
        <w:t xml:space="preserve"> </w:t>
      </w:r>
      <w:r>
        <w:t xml:space="preserve">The school changed Angelina’s placement (summer school / NC-CP) without providing the 10-day prior written notice the IDEA requires. The June 26, 2026 progress report, issued three days after the penalty, made no reference to the placement change — direct documentary evidence that no PWN was issued through normal channels.</w:t>
      </w:r>
    </w:p>
    <w:p>
      <w:pPr>
        <w:numPr>
          <w:ilvl w:val="0"/>
          <w:numId w:val="1004"/>
        </w:numPr>
        <w:pStyle w:val="Compact"/>
      </w:pPr>
      <w:r>
        <w:rPr>
          <w:bCs/>
          <w:b/>
        </w:rPr>
        <w:t xml:space="preserve">IDEA, 34 CFR § 300.300(d)(3) — Parental Consent.</w:t>
      </w:r>
      <w:r>
        <w:t xml:space="preserve"> </w:t>
      </w:r>
      <w:r>
        <w:t xml:space="preserve">No parental consent was obtained for the change in placement.</w:t>
      </w:r>
    </w:p>
    <w:p>
      <w:pPr>
        <w:numPr>
          <w:ilvl w:val="0"/>
          <w:numId w:val="1004"/>
        </w:numPr>
        <w:pStyle w:val="Compact"/>
      </w:pPr>
      <w:r>
        <w:rPr>
          <w:bCs/>
          <w:b/>
        </w:rPr>
        <w:t xml:space="preserve">IDEA, 34 CFR §§ 300.321, 300.322 — IEP Team / Parent Participation.</w:t>
      </w:r>
      <w:r>
        <w:t xml:space="preserve"> </w:t>
      </w:r>
      <w:r>
        <w:t xml:space="preserve">No IEP Team meeting was convened; the parent was not afforded the opportunity to participate in any placement decision affecting Angelina, despite her active IEP.</w:t>
      </w:r>
    </w:p>
    <w:p>
      <w:pPr>
        <w:numPr>
          <w:ilvl w:val="0"/>
          <w:numId w:val="1004"/>
        </w:numPr>
        <w:pStyle w:val="Compact"/>
      </w:pPr>
      <w:r>
        <w:rPr>
          <w:bCs/>
          <w:b/>
        </w:rPr>
        <w:t xml:space="preserve">IDEA, 34 CFR § 300.501 — Procedural Safeguards Notice.</w:t>
      </w:r>
      <w:r>
        <w:t xml:space="preserve"> </w:t>
      </w:r>
      <w:r>
        <w:t xml:space="preserve">Procedural safeguards notice was not provided to the parent in connection with the placement change.</w:t>
      </w:r>
    </w:p>
    <w:p>
      <w:pPr>
        <w:numPr>
          <w:ilvl w:val="0"/>
          <w:numId w:val="1004"/>
        </w:numPr>
        <w:pStyle w:val="Compact"/>
      </w:pPr>
      <w:r>
        <w:rPr>
          <w:bCs/>
          <w:b/>
        </w:rPr>
        <w:t xml:space="preserve">IDEA, 34 CFR § 300.324(a)(2)(i) — Behavior Intervention Plan.</w:t>
      </w:r>
      <w:r>
        <w:t xml:space="preserve"> </w:t>
      </w:r>
      <w:r>
        <w:t xml:space="preserve">The school’s awareness of bullying and the disability-related attendance pattern triggered the obligation to consider and develop a behavior intervention plan. None was developed.</w:t>
      </w:r>
    </w:p>
    <w:bookmarkEnd w:id="25"/>
    <w:bookmarkEnd w:id="26"/>
    <w:bookmarkStart w:id="27" w:name="Xe80da6891be59ffaa4c8968aac06188165e6f18"/>
    <w:p>
      <w:pPr>
        <w:pStyle w:val="Heading2"/>
      </w:pPr>
      <w:r>
        <w:t xml:space="preserve">6. Argument — The Penalty Is the Direct Product of the School’s Own Procedural Failure</w:t>
      </w:r>
    </w:p>
    <w:p>
      <w:pPr>
        <w:pStyle w:val="FirstParagraph"/>
      </w:pPr>
      <w:r>
        <w:t xml:space="preserve">The only reason Angelina reached 9 total absences is that the school suppressed the 10/27/25 intervention required by Handbook p. 44 and MGL c. 76 § 1B.</w:t>
      </w:r>
      <w:r>
        <w:t xml:space="preserve"> </w:t>
      </w:r>
      <w:r>
        <w:rPr>
          <w:bCs/>
          <w:b/>
        </w:rPr>
        <w:t xml:space="preserve">For 239 days, the school did nothing — and then penalized the student for the condition its own silence created.</w:t>
      </w:r>
      <w:r>
        <w:t xml:space="preserve"> </w:t>
      </w:r>
      <w:r>
        <w:t xml:space="preserve">Equity will not permit a party to benefit from its own procedural failure. The school cannot create the condition it then penalizes and call the penalty</w:t>
      </w:r>
      <w:r>
        <w:t xml:space="preserve"> </w:t>
      </w:r>
      <w:r>
        <w:t xml:space="preserve">“</w:t>
      </w:r>
      <w:r>
        <w:t xml:space="preserve">within policy.</w:t>
      </w:r>
      <w:r>
        <w:t xml:space="preserve">”</w:t>
      </w:r>
    </w:p>
    <w:bookmarkEnd w:id="27"/>
    <w:bookmarkStart w:id="28" w:name="Xca71698702de21a7965fad3261894de98594abc"/>
    <w:p>
      <w:pPr>
        <w:pStyle w:val="Heading2"/>
      </w:pPr>
      <w:r>
        <w:t xml:space="preserve">7. Argument — The Handbook Is Void for Vagueness / Unenforceable as Applied</w:t>
      </w:r>
    </w:p>
    <w:p>
      <w:pPr>
        <w:pStyle w:val="FirstParagraph"/>
      </w:pPr>
      <w:r>
        <w:t xml:space="preserve">Page 43 declares that there is no differentiation between excused and unexcused absences. Pages 44 and 45 rely entirely on that distinction. The school cannot simultaneously claim the distinction does not exist and rely on it. Ambiguity in school-imposed rules is construed against the school. The published policy does not authorize the penalty the school seeks to impose.</w:t>
      </w:r>
    </w:p>
    <w:bookmarkEnd w:id="28"/>
    <w:bookmarkStart w:id="29" w:name="X04cf30d6ae244346ce228779b9a636bc00e0f9e"/>
    <w:p>
      <w:pPr>
        <w:pStyle w:val="Heading2"/>
      </w:pPr>
      <w:r>
        <w:t xml:space="preserve">8. Argument — The School Exceeded Its Statutory Authority</w:t>
      </w:r>
    </w:p>
    <w:p>
      <w:pPr>
        <w:pStyle w:val="FirstParagraph"/>
      </w:pPr>
      <w:r>
        <w:t xml:space="preserve">The Massachusetts Legislature has drawn specific lines for truancy (8 unexcused/quarter — § 21), parental liability (7+ unexcused in 6 months — § 2), and chronic absenteeism (10% of 180 days — DESE). Angelina meets none of these thresholds. The school cannot use its internal handbook to impose a consequence the legislature did not authorize.</w:t>
      </w:r>
    </w:p>
    <w:bookmarkEnd w:id="29"/>
    <w:bookmarkStart w:id="30" w:name="Xd1e31a39b54ca575a143b162e20c376d5ff16de"/>
    <w:p>
      <w:pPr>
        <w:pStyle w:val="Heading2"/>
      </w:pPr>
      <w:r>
        <w:t xml:space="preserve">9. Argument — The 14-Day Data Gap Must Be Reconciled Before Any Penalty Is Valid</w:t>
      </w:r>
    </w:p>
    <w:p>
      <w:pPr>
        <w:pStyle w:val="FirstParagraph"/>
      </w:pPr>
      <w:r>
        <w:t xml:space="preserve">PowerSchool (the system of record) and Dean Cinelli’s 6/23/26 email both show 16 absences. The school’s separate 6/23/26 communication claims 30 days / 48 periods.</w:t>
      </w:r>
      <w:r>
        <w:t xml:space="preserve"> </w:t>
      </w:r>
      <w:r>
        <w:rPr>
          <w:bCs/>
          <w:b/>
        </w:rPr>
        <w:t xml:space="preserve">The 14-day gap is unexplained.</w:t>
      </w:r>
      <w:r>
        <w:t xml:space="preserve"> </w:t>
      </w:r>
      <w:r>
        <w:t xml:space="preserve">The burden of proof on data accuracy is on the school, not on the parent. Until the school reconciles the gap, no penalty premised on the higher figure can stand. At 16 days, the chronic-absenteeism argument is decisive (8.9% &lt; 10%).</w:t>
      </w:r>
    </w:p>
    <w:bookmarkEnd w:id="30"/>
    <w:bookmarkStart w:id="31" w:name="X69529963cf6a752c355493d9cb69c27cbe0ccbf"/>
    <w:p>
      <w:pPr>
        <w:pStyle w:val="Heading2"/>
      </w:pPr>
      <w:r>
        <w:t xml:space="preserve">10. Argument — The Active IEP Required Team-Based Decision-Making</w:t>
      </w:r>
    </w:p>
    <w:p>
      <w:pPr>
        <w:pStyle w:val="FirstParagraph"/>
      </w:pPr>
      <w:r>
        <w:t xml:space="preserve">Because Angelina has an active IEP, the building administration did not have unilateral authority to change her placement. The change required an IEP Team meeting with all required participants (34 CFR § 300.321), prior written notice to the parent (34 CFR § 300.503), and parental consent (34 CFR § 300.300). None of these steps occurred. The June 26, 2026 progress report confirms that the placement change was not communicated through the normal IEP/progress-reporting channel, and the penalty was therefore imposed outside the IEP framework altogether.</w:t>
      </w:r>
    </w:p>
    <w:bookmarkEnd w:id="31"/>
    <w:bookmarkStart w:id="32" w:name="requested-relief"/>
    <w:p>
      <w:pPr>
        <w:pStyle w:val="Heading2"/>
      </w:pPr>
      <w:r>
        <w:t xml:space="preserve">11. Requested Relief</w:t>
      </w:r>
    </w:p>
    <w:p>
      <w:pPr>
        <w:pStyle w:val="FirstParagraph"/>
      </w:pPr>
      <w:r>
        <w:t xml:space="preserve">I respectfully request that the district:</w:t>
      </w:r>
    </w:p>
    <w:p>
      <w:pPr>
        <w:numPr>
          <w:ilvl w:val="0"/>
          <w:numId w:val="1005"/>
        </w:numPr>
        <w:pStyle w:val="Compact"/>
      </w:pPr>
      <w:r>
        <w:rPr>
          <w:bCs/>
          <w:b/>
        </w:rPr>
        <w:t xml:space="preserve">Immediately convene an IEP Team meeting</w:t>
      </w:r>
      <w:r>
        <w:t xml:space="preserve"> </w:t>
      </w:r>
      <w:r>
        <w:t xml:space="preserve">to determine whether the absences are disability-related, to review the credit designations, and to determine compensatory education.</w:t>
      </w:r>
    </w:p>
    <w:p>
      <w:pPr>
        <w:numPr>
          <w:ilvl w:val="0"/>
          <w:numId w:val="1005"/>
        </w:numPr>
        <w:pStyle w:val="Compact"/>
      </w:pPr>
      <w:r>
        <w:rPr>
          <w:bCs/>
          <w:b/>
        </w:rPr>
        <w:t xml:space="preserve">Rescind the NC/CP credit designations</w:t>
      </w:r>
      <w:r>
        <w:t xml:space="preserve"> </w:t>
      </w:r>
      <w:r>
        <w:t xml:space="preserve">on Angelina’s transcript for SY 2025–2026.</w:t>
      </w:r>
    </w:p>
    <w:p>
      <w:pPr>
        <w:numPr>
          <w:ilvl w:val="0"/>
          <w:numId w:val="1005"/>
        </w:numPr>
        <w:pStyle w:val="Compact"/>
      </w:pPr>
      <w:r>
        <w:rPr>
          <w:bCs/>
          <w:b/>
        </w:rPr>
        <w:t xml:space="preserve">Rescind the summer credit-recovery requirement.</w:t>
      </w:r>
    </w:p>
    <w:p>
      <w:pPr>
        <w:numPr>
          <w:ilvl w:val="0"/>
          <w:numId w:val="1005"/>
        </w:numPr>
        <w:pStyle w:val="Compact"/>
      </w:pPr>
      <w:r>
        <w:rPr>
          <w:bCs/>
          <w:b/>
        </w:rPr>
        <w:t xml:space="preserve">Rescind the summer school enrollment requirement.</w:t>
      </w:r>
    </w:p>
    <w:p>
      <w:pPr>
        <w:numPr>
          <w:ilvl w:val="0"/>
          <w:numId w:val="1005"/>
        </w:numPr>
        <w:pStyle w:val="Compact"/>
      </w:pPr>
      <w:r>
        <w:rPr>
          <w:bCs/>
          <w:b/>
        </w:rPr>
        <w:t xml:space="preserve">Reclassify all 16 absences</w:t>
      </w:r>
      <w:r>
        <w:t xml:space="preserve"> </w:t>
      </w:r>
      <w:r>
        <w:t xml:space="preserve">in accordance with their actual A/X coding and remove any</w:t>
      </w:r>
      <w:r>
        <w:t xml:space="preserve"> </w:t>
      </w:r>
      <w:r>
        <w:t xml:space="preserve">“</w:t>
      </w:r>
      <w:r>
        <w:t xml:space="preserve">truancy</w:t>
      </w:r>
      <w:r>
        <w:t xml:space="preserve">”</w:t>
      </w:r>
      <w:r>
        <w:t xml:space="preserve"> </w:t>
      </w:r>
      <w:r>
        <w:t xml:space="preserve">label.</w:t>
      </w:r>
    </w:p>
    <w:p>
      <w:pPr>
        <w:numPr>
          <w:ilvl w:val="0"/>
          <w:numId w:val="1005"/>
        </w:numPr>
        <w:pStyle w:val="Compact"/>
      </w:pPr>
      <w:r>
        <w:rPr>
          <w:bCs/>
          <w:b/>
        </w:rPr>
        <w:t xml:space="preserve">Provide prior written notice</w:t>
      </w:r>
      <w:r>
        <w:t xml:space="preserve"> </w:t>
      </w:r>
      <w:r>
        <w:t xml:space="preserve">in compliance with 34 CFR § 300.503 for any future decision affecting Angelina’s placement, and issue a retroactive PWN explaining the basis of the credit-penalty decision to date.</w:t>
      </w:r>
    </w:p>
    <w:p>
      <w:pPr>
        <w:numPr>
          <w:ilvl w:val="0"/>
          <w:numId w:val="1005"/>
        </w:numPr>
        <w:pStyle w:val="Compact"/>
      </w:pPr>
      <w:r>
        <w:rPr>
          <w:bCs/>
          <w:b/>
        </w:rPr>
        <w:t xml:space="preserve">Provide the procedural safeguards notice</w:t>
      </w:r>
      <w:r>
        <w:t xml:space="preserve"> </w:t>
      </w:r>
      <w:r>
        <w:t xml:space="preserve">required by 34 CFR § 300.501.</w:t>
      </w:r>
    </w:p>
    <w:p>
      <w:pPr>
        <w:numPr>
          <w:ilvl w:val="0"/>
          <w:numId w:val="1005"/>
        </w:numPr>
        <w:pStyle w:val="Compact"/>
      </w:pPr>
      <w:r>
        <w:rPr>
          <w:bCs/>
          <w:b/>
        </w:rPr>
        <w:t xml:space="preserve">Provide compensatory education</w:t>
      </w:r>
      <w:r>
        <w:t xml:space="preserve"> </w:t>
      </w:r>
      <w:r>
        <w:t xml:space="preserve">for the educational opportunities Angelina has been denied.</w:t>
      </w:r>
    </w:p>
    <w:p>
      <w:pPr>
        <w:numPr>
          <w:ilvl w:val="0"/>
          <w:numId w:val="1005"/>
        </w:numPr>
        <w:pStyle w:val="Compact"/>
      </w:pPr>
      <w:r>
        <w:rPr>
          <w:bCs/>
          <w:b/>
        </w:rPr>
        <w:t xml:space="preserve">Respond in writing to the records-amendment request</w:t>
      </w:r>
      <w:r>
        <w:t xml:space="preserve"> </w:t>
      </w:r>
      <w:r>
        <w:t xml:space="preserve">submitted on June 24, 2026, no later than July 1, 2026 (603 CMR 23.07).</w:t>
      </w:r>
    </w:p>
    <w:p>
      <w:pPr>
        <w:numPr>
          <w:ilvl w:val="0"/>
          <w:numId w:val="1005"/>
        </w:numPr>
        <w:pStyle w:val="Compact"/>
      </w:pPr>
      <w:r>
        <w:rPr>
          <w:bCs/>
          <w:b/>
        </w:rPr>
        <w:t xml:space="preserve">Schedule the Fair Hearing</w:t>
      </w:r>
      <w:r>
        <w:t xml:space="preserve"> </w:t>
      </w:r>
      <w:r>
        <w:t xml:space="preserve">required by 603 CMR 23.09 no later than July 24, 2026.</w:t>
      </w:r>
    </w:p>
    <w:p>
      <w:pPr>
        <w:numPr>
          <w:ilvl w:val="0"/>
          <w:numId w:val="1005"/>
        </w:numPr>
        <w:pStyle w:val="Compact"/>
      </w:pPr>
      <w:r>
        <w:rPr>
          <w:bCs/>
          <w:b/>
        </w:rPr>
        <w:t xml:space="preserve">Reconcile the 16-vs-30 attendance discrepancy</w:t>
      </w:r>
      <w:r>
        <w:t xml:space="preserve"> </w:t>
      </w:r>
      <w:r>
        <w:t xml:space="preserve">in writing, citing the specific source of each date.</w:t>
      </w:r>
    </w:p>
    <w:p>
      <w:pPr>
        <w:numPr>
          <w:ilvl w:val="0"/>
          <w:numId w:val="1005"/>
        </w:numPr>
        <w:pStyle w:val="Compact"/>
      </w:pPr>
      <w:r>
        <w:rPr>
          <w:bCs/>
          <w:b/>
        </w:rPr>
        <w:t xml:space="preserve">Issue a written apology</w:t>
      </w:r>
      <w:r>
        <w:t xml:space="preserve"> </w:t>
      </w:r>
      <w:r>
        <w:t xml:space="preserve">for the procedural violations identified in Section 5.</w:t>
      </w:r>
    </w:p>
    <w:bookmarkEnd w:id="32"/>
    <w:bookmarkStart w:id="33" w:name="deadline-for-response"/>
    <w:p>
      <w:pPr>
        <w:pStyle w:val="Heading2"/>
      </w:pPr>
      <w:r>
        <w:t xml:space="preserve">12. Deadline for Response</w:t>
      </w:r>
    </w:p>
    <w:p>
      <w:pPr>
        <w:pStyle w:val="FirstParagraph"/>
      </w:pPr>
      <w:r>
        <w:t xml:space="preserve">I request a written, substantive response to this appeal no later than</w:t>
      </w:r>
      <w:r>
        <w:t xml:space="preserve"> </w:t>
      </w:r>
      <w:r>
        <w:rPr>
          <w:bCs/>
          <w:b/>
        </w:rPr>
        <w:t xml:space="preserve">July 15, 2026</w:t>
      </w:r>
      <w:r>
        <w:t xml:space="preserve">. If I do not receive a substantive response by that date, I will pursue all available remedies, including:</w:t>
      </w:r>
    </w:p>
    <w:p>
      <w:pPr>
        <w:numPr>
          <w:ilvl w:val="0"/>
          <w:numId w:val="1006"/>
        </w:numPr>
        <w:pStyle w:val="Compact"/>
      </w:pPr>
      <w:r>
        <w:t xml:space="preserve">Complaint to the Massachusetts Department of Elementary and Secondary Education (DESE) — already filed 6/24/26; this appeal supplements it.</w:t>
      </w:r>
    </w:p>
    <w:p>
      <w:pPr>
        <w:numPr>
          <w:ilvl w:val="0"/>
          <w:numId w:val="1006"/>
        </w:numPr>
        <w:pStyle w:val="Compact"/>
      </w:pPr>
      <w:r>
        <w:t xml:space="preserve">Hearing request with the Bureau of Special Education Appeals (BSEA).</w:t>
      </w:r>
    </w:p>
    <w:p>
      <w:pPr>
        <w:numPr>
          <w:ilvl w:val="0"/>
          <w:numId w:val="1006"/>
        </w:numPr>
        <w:pStyle w:val="Compact"/>
      </w:pPr>
      <w:r>
        <w:t xml:space="preserve">FERPA complaint with the Student Privacy Policy Office (SPPO) — already filed 6/24/26.</w:t>
      </w:r>
    </w:p>
    <w:p>
      <w:pPr>
        <w:numPr>
          <w:ilvl w:val="0"/>
          <w:numId w:val="1006"/>
        </w:numPr>
        <w:pStyle w:val="Compact"/>
      </w:pPr>
      <w:r>
        <w:t xml:space="preserve">Judicial review of the school’s actions in the Plymouth Superior Court.</w:t>
      </w:r>
    </w:p>
    <w:p>
      <w:pPr>
        <w:numPr>
          <w:ilvl w:val="0"/>
          <w:numId w:val="1006"/>
        </w:numPr>
        <w:pStyle w:val="Compact"/>
      </w:pPr>
      <w:r>
        <w:t xml:space="preserve">Complaint to the U.S. Department of Education, Office for Civil Rights (if disability/civil-rights dimensions are developed).</w:t>
      </w:r>
    </w:p>
    <w:bookmarkEnd w:id="33"/>
    <w:bookmarkStart w:id="34" w:name="conclusion"/>
    <w:p>
      <w:pPr>
        <w:pStyle w:val="Heading2"/>
      </w:pPr>
      <w:r>
        <w:t xml:space="preserve">13. Conclusion</w:t>
      </w:r>
    </w:p>
    <w:p>
      <w:pPr>
        <w:pStyle w:val="FirstParagraph"/>
      </w:pPr>
      <w:r>
        <w:t xml:space="preserve">The school’s actions have denied Angelina Karima Crooker her right to a free appropriate public education (FAPE), her procedural due process rights under the 14th Amendment, her rights under IDEA, Section 504, and FERPA, and her rights under Massachusetts law. The penalty was imposed at the end of the school year, after</w:t>
      </w:r>
      <w:r>
        <w:t xml:space="preserve"> </w:t>
      </w:r>
      <w:r>
        <w:rPr>
          <w:bCs/>
          <w:b/>
        </w:rPr>
        <w:t xml:space="preserve">239 days of silence</w:t>
      </w:r>
      <w:r>
        <w:t xml:space="preserve"> </w:t>
      </w:r>
      <w:r>
        <w:t xml:space="preserve">during which every mandatory intervention step was skipped. The penalty is the product of the school’s own procedural failure, exceeds its statutory authority, and rests on attendance data the school has not reconciled. The June 26, 2026 progress report, issued three days after the penalty, made no reference to the placement change — direct evidence that the building administration acted unilaterally outside the IEP framework. I am prepared to pursue every available remedy to protect my daughter’s rights.</w:t>
      </w:r>
    </w:p>
    <w:p>
      <w:pPr>
        <w:pStyle w:val="BodyText"/>
      </w:pPr>
      <w:r>
        <w:t xml:space="preserve">Sincerely,</w:t>
      </w:r>
    </w:p>
    <w:p>
      <w:pPr>
        <w:pStyle w:val="BodyText"/>
      </w:pPr>
      <w:r>
        <w:rPr>
          <w:bCs/>
          <w:b/>
        </w:rPr>
        <w:t xml:space="preserve">Sarah Crooker</w:t>
      </w:r>
      <w:r>
        <w:t xml:space="preserve"> </w:t>
      </w:r>
      <w:r>
        <w:t xml:space="preserve">Parent of Angelina Karima Crooker</w:t>
      </w:r>
      <w:r>
        <w:t xml:space="preserve"> </w:t>
      </w:r>
      <w:r>
        <w:t xml:space="preserve">sarahcrooker586@yahoo.com</w:t>
      </w:r>
    </w:p>
    <w:p>
      <w:pPr>
        <w:pStyle w:val="BodyText"/>
      </w:pPr>
      <w:r>
        <w:t xml:space="preserve">cc:</w:t>
      </w:r>
      <w:r>
        <w:t xml:space="preserve"> </w:t>
      </w:r>
      <w:r>
        <w:t xml:space="preserve">- Principal Scott Palladino, Wareham High School</w:t>
      </w:r>
      <w:r>
        <w:t xml:space="preserve"> </w:t>
      </w:r>
      <w:r>
        <w:t xml:space="preserve">- Dean Christine Cinelli, Wareham High School</w:t>
      </w:r>
      <w:r>
        <w:t xml:space="preserve"> </w:t>
      </w:r>
      <w:r>
        <w:t xml:space="preserve">- IEP Director / Special Education Director, Wareham Public Schools</w:t>
      </w:r>
      <w:r>
        <w:t xml:space="preserve"> </w:t>
      </w:r>
      <w:r>
        <w:t xml:space="preserve">- Massachusetts Department of Elementary and Secondary Education (DESE)</w:t>
      </w:r>
      <w:r>
        <w:t xml:space="preserve"> </w:t>
      </w:r>
      <w:r>
        <w:t xml:space="preserve">- Bureau of Special Education Appeals (BSEA)</w:t>
      </w:r>
      <w:r>
        <w:t xml:space="preserve"> </w:t>
      </w:r>
      <w:r>
        <w:t xml:space="preserve">- U.S. Department of Education, Student Privacy Policy Office (SPPO)</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2026-07-08T06:05:34Z</dcterms:created>
  <dcterms:modified xsi:type="dcterms:W3CDTF">2026-07-08T06:05:34Z</dcterms:modified>
</cp:coreProperties>
</file>

<file path=docProps/custom.xml><?xml version="1.0" encoding="utf-8"?>
<Properties xmlns="http://schemas.openxmlformats.org/officeDocument/2006/custom-properties" xmlns:vt="http://schemas.openxmlformats.org/officeDocument/2006/docPropsVTypes"/>
</file>