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wnba-live-backtest-june-11-2026"/>
    <w:p>
      <w:pPr>
        <w:pStyle w:val="Heading1"/>
      </w:pPr>
      <w:r>
        <w:t xml:space="preserve">WNBA Live Backtest — June 11, 2026</w:t>
      </w:r>
    </w:p>
    <w:p>
      <w:pPr>
        <w:pStyle w:val="FirstParagraph"/>
      </w:pPr>
      <w:r>
        <w:rPr>
          <w:bCs/>
          <w:b/>
        </w:rPr>
        <w:t xml:space="preserve">Grade time:</w:t>
      </w:r>
      <w:r>
        <w:t xml:space="preserve"> </w:t>
      </w:r>
      <w:r>
        <w:t xml:space="preserve">2026-06-12 01:00 ET</w:t>
      </w:r>
      <w:r>
        <w:t xml:space="preserve"> </w:t>
      </w:r>
      <w:r>
        <w:rPr>
          <w:bCs/>
          <w:b/>
        </w:rPr>
        <w:t xml:space="preserve">Games:</w:t>
      </w:r>
      <w:r>
        <w:t xml:space="preserve"> </w:t>
      </w:r>
      <w:r>
        <w:t xml:space="preserve">CHI@IND (114-106) | NY@ATL (104-90) | PHX@DAL (70-85) | LV@POR (105-89)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69</w:t>
      </w:r>
      <w:r>
        <w:t xml:space="preserve"> </w:t>
      </w:r>
      <w:r>
        <w:rPr>
          <w:bCs/>
          <w:b/>
        </w:rPr>
        <w:t xml:space="preserve">Overall hit rate: 50.0%</w:t>
      </w:r>
      <w:r>
        <w:t xml:space="preserve"> </w:t>
      </w:r>
      <w:r>
        <w:t xml:space="preserve">(28H/28M/13P)</w:t>
      </w:r>
    </w:p>
    <w:bookmarkStart w:id="20" w:name="by-stat"/>
    <w:p>
      <w:pPr>
        <w:pStyle w:val="Heading2"/>
      </w:pPr>
      <w:r>
        <w:t xml:space="preserve">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35.0%</w:t>
            </w:r>
          </w:p>
        </w:tc>
      </w:tr>
    </w:tbl>
    <w:bookmarkEnd w:id="20"/>
    <w:bookmarkStart w:id="21" w:name="by-team"/>
    <w:p>
      <w:pPr>
        <w:pStyle w:val="Heading2"/>
      </w:pPr>
      <w:r>
        <w:t xml:space="preserve">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Graded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</w:tbl>
    <w:bookmarkEnd w:id="21"/>
    <w:bookmarkStart w:id="22" w:name="individual-picks-all-69"/>
    <w:p>
      <w:pPr>
        <w:pStyle w:val="Heading2"/>
      </w:pPr>
      <w:r>
        <w:t xml:space="preserve">Individual Picks (all 69)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 Proj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Aliyah 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Chelsea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Caitlin 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Paige Bueckers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A’ja Wilson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Rhyne Howard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Chelsea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Jackie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Satou Sabally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Alyssa 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Jonquel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Jonquel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Alyssa 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Jonquel Jones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DeWanna Bonner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Kahleah 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Jewell Loyd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Bridget Carleton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Williams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Paige Bueckers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Breanna Stewart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Aliyah 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Kahleah Copper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Skylar Diggins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Breanna Stewart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 Reese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Jackie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Azura Stevens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Arike Ogunbowale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Jewell Loyd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DeWanna Bonner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 Reese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Arike Ogunbowale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Rachel Banham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Caitlin 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DeWanna Bonner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Natasha Mack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Alanna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Chelsea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Natasha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Azura Stevens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Satou Sabally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Rebecca Allen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Noemie Brochant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Luisa Geiselsoder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Karlie Samuelson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Natasha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Tyasha Harris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Leonie Fiebich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Jovana Nogic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Alysha Clark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Alanna 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Brianna Turner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Teja Oblak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Kamilla Cardoso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Breanna Stewart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Gabriela Jaquez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Jacy Sheldon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Aliyah 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Jackie Young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Kamilla Cardoso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Skylar Diggins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Aicha Coulibaly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Kelsey Mitchell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Allisha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Te-Hina Paopao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Paige Bueckers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Azzi Fudd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A’ja Wilson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PUSH</w:t>
            </w:r>
          </w:p>
        </w:tc>
      </w:tr>
    </w:tbl>
    <w:bookmarkEnd w:id="22"/>
    <w:bookmarkStart w:id="23" w:name="key-takeaways"/>
    <w:p>
      <w:pPr>
        <w:pStyle w:val="Heading2"/>
      </w:pPr>
      <w:r>
        <w:t xml:space="preserve">Key Takeaways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 is the standout:</w:t>
      </w:r>
      <w:r>
        <w:t xml:space="preserve"> </w:t>
      </w:r>
      <w:r>
        <w:t xml:space="preserve">11/14 = 79% — these are the most reliable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3PM is the weakest:</w:t>
      </w:r>
      <w:r>
        <w:t xml:space="preserve"> </w:t>
      </w:r>
      <w:r>
        <w:t xml:space="preserve">7/20 = 35% — fade or tighten CONS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STL/BLK are noisy</w:t>
      </w:r>
      <w:r>
        <w:t xml:space="preserve"> </w:t>
      </w:r>
      <w:r>
        <w:t xml:space="preserve">(40-44%) — expected, these stats are volatile in single games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13 PUSHES</w:t>
      </w:r>
      <w:r>
        <w:t xml:space="preserve"> </w:t>
      </w:r>
      <w:r>
        <w:t xml:space="preserve">— indicates the TC margin is tight; 0.1 tolerance may be too sensitive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rPr>
          <w:rStyle w:val="VerbatimChar"/>
        </w:rPr>
        <w:t xml:space="preserve">Daily_Log/2026-06-11/wnba_live_actuals.json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wnba_backtest_graded.json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wnba_live_backtest.md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wnba_live_backtest_summary.json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2026-06-12T05:04:37Z</dcterms:created>
  <dcterms:modified xsi:type="dcterms:W3CDTF">2026-06-12T05:04:37Z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