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5c209e3f8f15efcc2684de5fd1ab5dc837f297"/>
    <w:p>
      <w:pPr>
        <w:pStyle w:val="Heading1"/>
      </w:pPr>
      <w:r>
        <w:t xml:space="preserve">FORMAL APPEAL — Angelina Karima Crooker (Grade 9)</w:t>
      </w:r>
    </w:p>
    <w:bookmarkStart w:id="20" w:name="Xd66fec8879a4a5596b62d028d8e7a22a3886dba"/>
    <w:p>
      <w:pPr>
        <w:pStyle w:val="Heading2"/>
      </w:pPr>
      <w:r>
        <w:t xml:space="preserve">Wareham High School Summer School / Credit Loss Determination</w:t>
      </w:r>
    </w:p>
    <w:bookmarkEnd w:id="20"/>
    <w:bookmarkStart w:id="21" w:name="X17e3cc40132b66940f07d7d9cb0eab261a9ab33"/>
    <w:p>
      <w:pPr>
        <w:pStyle w:val="Heading2"/>
      </w:pPr>
      <w:r>
        <w:t xml:space="preserve">Appeal to the Superintendent of Schools, School Committee, and Chairman of the Board</w:t>
      </w:r>
    </w:p>
    <w:p>
      <w:pPr>
        <w:pStyle w:val="FirstParagraph"/>
      </w:pPr>
      <w:r>
        <w:rPr>
          <w:bCs/>
          <w:b/>
        </w:rPr>
        <w:t xml:space="preserve">DATE:</w:t>
      </w:r>
      <w:r>
        <w:t xml:space="preserve"> </w:t>
      </w:r>
      <w:r>
        <w:t xml:space="preserve">July 1, 2026</w:t>
      </w:r>
    </w:p>
    <w:p>
      <w:pPr>
        <w:pStyle w:val="BodyText"/>
      </w:pPr>
      <w:r>
        <w:rPr>
          <w:bCs/>
          <w:b/>
        </w:rPr>
        <w:t xml:space="preserve">TO:</w:t>
      </w:r>
      <w:r>
        <w:t xml:space="preserve"> </w:t>
      </w:r>
      <w:r>
        <w:t xml:space="preserve">Matthew</w:t>
      </w:r>
      <w:r>
        <w:t xml:space="preserve"> </w:t>
      </w:r>
      <w:r>
        <w:t xml:space="preserve">“</w:t>
      </w:r>
      <w:r>
        <w:t xml:space="preserve">Matt</w:t>
      </w:r>
      <w:r>
        <w:t xml:space="preserve">”</w:t>
      </w:r>
      <w:r>
        <w:t xml:space="preserve"> </w:t>
      </w:r>
      <w:r>
        <w:t xml:space="preserve">D’Andrea, Ed.D., Superintendent of Schools</w:t>
      </w:r>
    </w:p>
    <w:p>
      <w:pPr>
        <w:pStyle w:val="BodyText"/>
      </w:pPr>
      <w:r>
        <w:rPr>
          <w:bCs/>
          <w:b/>
        </w:rPr>
        <w:t xml:space="preserve">CC:</w:t>
      </w:r>
      <w:r>
        <w:t xml:space="preserve"> </w:t>
      </w:r>
      <w:r>
        <w:t xml:space="preserve">Wareham Public Schools School Committee</w:t>
      </w:r>
      <w:r>
        <w:t xml:space="preserve"> </w:t>
      </w:r>
      <w:r>
        <w:rPr>
          <w:bCs/>
          <w:b/>
        </w:rPr>
        <w:t xml:space="preserve">CC:</w:t>
      </w:r>
      <w:r>
        <w:t xml:space="preserve"> </w:t>
      </w:r>
      <w:r>
        <w:t xml:space="preserve">Chairman of the Board, Wareham Public Schools</w:t>
      </w:r>
      <w:r>
        <w:t xml:space="preserve"> </w:t>
      </w:r>
      <w:r>
        <w:rPr>
          <w:bCs/>
          <w:b/>
        </w:rPr>
        <w:t xml:space="preserve">CC:</w:t>
      </w:r>
      <w:r>
        <w:t xml:space="preserve"> </w:t>
      </w:r>
      <w:r>
        <w:t xml:space="preserve">Principal Scott Palladino, Wareham High School (Out of Office until July 7, 2026)</w:t>
      </w:r>
      <w:r>
        <w:t xml:space="preserve"> </w:t>
      </w:r>
      <w:r>
        <w:rPr>
          <w:bCs/>
          <w:b/>
        </w:rPr>
        <w:t xml:space="preserve">CC:</w:t>
      </w:r>
      <w:r>
        <w:t xml:space="preserve"> </w:t>
      </w:r>
      <w:r>
        <w:t xml:space="preserve">Acting Principal, Wareham High School</w:t>
      </w:r>
      <w:r>
        <w:t xml:space="preserve"> </w:t>
      </w:r>
      <w:r>
        <w:rPr>
          <w:bCs/>
          <w:b/>
        </w:rPr>
        <w:t xml:space="preserve">CC:</w:t>
      </w:r>
      <w:r>
        <w:t xml:space="preserve"> </w:t>
      </w:r>
      <w:r>
        <w:t xml:space="preserve">Christine Cinelli, Dean, Wareham High School</w:t>
      </w:r>
      <w:r>
        <w:t xml:space="preserve"> </w:t>
      </w:r>
      <w:r>
        <w:rPr>
          <w:bCs/>
          <w:b/>
        </w:rPr>
        <w:t xml:space="preserve">CC:</w:t>
      </w:r>
      <w:r>
        <w:t xml:space="preserve"> </w:t>
      </w:r>
      <w:r>
        <w:t xml:space="preserve">Director of Student Services / IEP Director</w:t>
      </w:r>
      <w:r>
        <w:t xml:space="preserve"> </w:t>
      </w:r>
      <w:r>
        <w:rPr>
          <w:bCs/>
          <w:b/>
        </w:rPr>
        <w:t xml:space="preserve">CC:</w:t>
      </w:r>
      <w:r>
        <w:t xml:space="preserve"> </w:t>
      </w:r>
      <w:r>
        <w:t xml:space="preserve">Summer School Coordinator, Wareham High School</w:t>
      </w:r>
      <w:r>
        <w:t xml:space="preserve"> </w:t>
      </w:r>
      <w:r>
        <w:rPr>
          <w:bCs/>
          <w:b/>
        </w:rPr>
        <w:t xml:space="preserve">CC:</w:t>
      </w:r>
      <w:r>
        <w:t xml:space="preserve"> </w:t>
      </w:r>
      <w:r>
        <w:t xml:space="preserve">Massachusetts Department of Elementary and Secondary Education</w:t>
      </w:r>
      <w:r>
        <w:t xml:space="preserve"> </w:t>
      </w:r>
      <w:r>
        <w:rPr>
          <w:bCs/>
          <w:b/>
        </w:rPr>
        <w:t xml:space="preserve">CC:</w:t>
      </w:r>
      <w:r>
        <w:t xml:space="preserve"> </w:t>
      </w:r>
      <w:r>
        <w:t xml:space="preserve">Bureau of Special Education Appeals</w:t>
      </w:r>
    </w:p>
    <w:p>
      <w:pPr>
        <w:pStyle w:val="BodyText"/>
      </w:pPr>
      <w:r>
        <w:rPr>
          <w:bCs/>
          <w:b/>
        </w:rPr>
        <w:t xml:space="preserve">FROM:</w:t>
      </w:r>
      <w:r>
        <w:t xml:space="preserve"> </w:t>
      </w:r>
      <w:r>
        <w:t xml:space="preserve">Sarah Crooker, Parent of Angelina Karima Crooker (Grade 9)</w:t>
      </w:r>
    </w:p>
    <w:p>
      <w:pPr>
        <w:pStyle w:val="BodyText"/>
      </w:pPr>
      <w:r>
        <w:rPr>
          <w:bCs/>
          <w:b/>
        </w:rPr>
        <w:t xml:space="preserve">RE:</w:t>
      </w:r>
      <w:r>
        <w:t xml:space="preserve"> </w:t>
      </w:r>
      <w:r>
        <w:t xml:space="preserve">FORMAL APPEAL — ANGELINA KARIMA CROOKER (GRADE 9) — SUMMER SCHOOL / CREDIT LOSS DETERMINATION — 18 VIOLATIONS — IEP AND M.G.L. c. 76, § 37H½ INTEGRATED</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I am writing to formally appeal the decision by Wareham High School to require my daughter, Angelina Karima Crooker (Grade 9), to attend summer school and/or to impose Credit Pending (CP) or No Credit (NC) designations on her academic record.</w:t>
      </w:r>
    </w:p>
    <w:p>
      <w:pPr>
        <w:pStyle w:val="BodyText"/>
      </w:pPr>
      <w:r>
        <w:t xml:space="preserve">This appeal is made to you, Superintendent D’Andrea, the School Committee, and the Chairman of the Board as the authorities with oversight over Wareham High School policy, and the power to correct a decision that is:</w:t>
      </w:r>
    </w:p>
    <w:p>
      <w:pPr>
        <w:numPr>
          <w:ilvl w:val="0"/>
          <w:numId w:val="1001"/>
        </w:numPr>
        <w:pStyle w:val="Compact"/>
      </w:pPr>
      <w:r>
        <w:rPr>
          <w:bCs/>
          <w:b/>
        </w:rPr>
        <w:t xml:space="preserve">Procedurally invalid</w:t>
      </w:r>
      <w:r>
        <w:t xml:space="preserve"> </w:t>
      </w:r>
      <w:r>
        <w:t xml:space="preserve">— the school violated its own handbook, state law, and federal regulations</w:t>
      </w:r>
    </w:p>
    <w:p>
      <w:pPr>
        <w:numPr>
          <w:ilvl w:val="0"/>
          <w:numId w:val="1001"/>
        </w:numPr>
        <w:pStyle w:val="Compact"/>
      </w:pPr>
      <w:r>
        <w:rPr>
          <w:bCs/>
          <w:b/>
        </w:rPr>
        <w:t xml:space="preserve">Internally contradictory</w:t>
      </w:r>
      <w:r>
        <w:t xml:space="preserve"> </w:t>
      </w:r>
      <w:r>
        <w:t xml:space="preserve">— the handbook cannot be enforced as written</w:t>
      </w:r>
    </w:p>
    <w:p>
      <w:pPr>
        <w:numPr>
          <w:ilvl w:val="0"/>
          <w:numId w:val="1001"/>
        </w:numPr>
        <w:pStyle w:val="Compact"/>
      </w:pPr>
      <w:r>
        <w:rPr>
          <w:bCs/>
          <w:b/>
        </w:rPr>
        <w:t xml:space="preserve">Profoundly unfair</w:t>
      </w:r>
      <w:r>
        <w:t xml:space="preserve"> </w:t>
      </w:r>
      <w:r>
        <w:t xml:space="preserve">— Angelina has done everything asked of her despite being failed by the adults responsible</w:t>
      </w:r>
    </w:p>
    <w:p>
      <w:pPr>
        <w:pStyle w:val="FirstParagraph"/>
      </w:pPr>
      <w:r>
        <w:t xml:space="preserve">I will be direct: Angelina has 16 total absences this school year. That is a serious number. I, as her parent, accept responsibility for my share of this. I should have been more diligent. I should have tracked every absence. I concede this without reservation.</w:t>
      </w:r>
    </w:p>
    <w:p>
      <w:pPr>
        <w:pStyle w:val="BodyText"/>
      </w:pPr>
      <w:r>
        <w:rPr>
          <w:bCs/>
          <w:b/>
        </w:rPr>
        <w:t xml:space="preserve">But I was never given the opportunity.</w:t>
      </w:r>
    </w:p>
    <w:p>
      <w:pPr>
        <w:pStyle w:val="BodyText"/>
      </w:pPr>
      <w:r>
        <w:t xml:space="preserve">The school never told me. Not once. Not by phone. Not by email. Not by letter. Not by progress report. Not by a note sent home with my daughter. The first communication I received about Angelina’s attendance occurred on approximately June 23, 2026 — the final week of the school year — after eight months of complete silence.</w:t>
      </w:r>
    </w:p>
    <w:p>
      <w:pPr>
        <w:pStyle w:val="BodyText"/>
      </w:pPr>
      <w:r>
        <w:t xml:space="preserve">When the school finally did communicate, it was not to collaborate. It was not to intervene. It was not to create an action plan or to meet with me, as the school’s own policy requires. It was to impose a penalty. At the endpoint. After every mandatory step in between had been skipped.</w:t>
      </w:r>
    </w:p>
    <w:p>
      <w:r>
        <w:pict>
          <v:rect style="width:0;height:1.5pt" o:hralign="center" o:hrstd="t" o:hr="t"/>
        </w:pict>
      </w:r>
    </w:p>
    <w:bookmarkEnd w:id="22"/>
    <w:bookmarkStart w:id="23" w:name="X5789998b1a0c14ffd1713422f2091acdbd72609"/>
    <w:p>
      <w:pPr>
        <w:pStyle w:val="Heading2"/>
      </w:pPr>
      <w:r>
        <w:t xml:space="preserve">II. CONTACTS ON FILE — THE SCHOOL HAD THREE</w:t>
      </w:r>
    </w:p>
    <w:p>
      <w:pPr>
        <w:pStyle w:val="FirstParagraph"/>
      </w:pPr>
      <w:r>
        <w:t xml:space="preserve">The school has three contacts on file for Angelina Crooker:</w:t>
      </w:r>
    </w:p>
    <w:p>
      <w:pPr>
        <w:numPr>
          <w:ilvl w:val="0"/>
          <w:numId w:val="1002"/>
        </w:numPr>
        <w:pStyle w:val="Compact"/>
      </w:pPr>
      <w:r>
        <w:t xml:space="preserve">Sarah Crooker (Mother) — sarahcrooker586@yahoo.com</w:t>
      </w:r>
    </w:p>
    <w:p>
      <w:pPr>
        <w:numPr>
          <w:ilvl w:val="0"/>
          <w:numId w:val="1002"/>
        </w:numPr>
        <w:pStyle w:val="Compact"/>
      </w:pPr>
      <w:r>
        <w:t xml:space="preserve">Kristen [Last Name] (Aunt) — [email on file]</w:t>
      </w:r>
    </w:p>
    <w:p>
      <w:pPr>
        <w:numPr>
          <w:ilvl w:val="0"/>
          <w:numId w:val="1002"/>
        </w:numPr>
        <w:pStyle w:val="Compact"/>
      </w:pPr>
      <w:r>
        <w:t xml:space="preserve">Sarah Crooker (Grandmother) — [email on file]</w:t>
      </w:r>
    </w:p>
    <w:p>
      <w:pPr>
        <w:pStyle w:val="FirstParagraph"/>
      </w:pPr>
      <w:r>
        <w:t xml:space="preserve">All three contacts have been contacted by the school within the last three months regarding other matters, confirming that the contact information on file is current and functional. Yet no one received a phone call, email, letter, or notification of any kind regarding Angelina’s attendance for the entire 2025-2026 school year.</w:t>
      </w:r>
    </w:p>
    <w:p>
      <w:pPr>
        <w:pStyle w:val="BodyText"/>
      </w:pPr>
      <w:r>
        <w:rPr>
          <w:bCs/>
          <w:b/>
        </w:rPr>
        <w:t xml:space="preserve">The school has no difficulty contacting me about other matters. When there is any other issue involving Angelina, the phone rings. But for eight months of absences that now threaten her credit? Complete silence.</w:t>
      </w:r>
    </w:p>
    <w:p>
      <w:r>
        <w:pict>
          <v:rect style="width:0;height:1.5pt" o:hralign="center" o:hrstd="t" o:hr="t"/>
        </w:pict>
      </w:r>
    </w:p>
    <w:bookmarkEnd w:id="23"/>
    <w:bookmarkStart w:id="24" w:name="iii.-the-student"/>
    <w:p>
      <w:pPr>
        <w:pStyle w:val="Heading2"/>
      </w:pPr>
      <w:r>
        <w:t xml:space="preserve">III. THE STUDENT</w:t>
      </w:r>
    </w:p>
    <w:p>
      <w:pPr>
        <w:pStyle w:val="FirstParagraph"/>
      </w:pPr>
      <w:r>
        <w:rPr>
          <w:bCs/>
          <w:b/>
        </w:rPr>
        <w:t xml:space="preserve">Angelina Crooker is not the student the school’s attendance records suggest.</w:t>
      </w:r>
    </w:p>
    <w:p>
      <w:pPr>
        <w:pStyle w:val="BodyText"/>
      </w:pPr>
      <w:r>
        <w:t xml:space="preserve">The school’s records depict a student facing credit loss. The school’s own grading system tells a different story — one of a student who maintained her academic standing throughout the year, earned recognition for it, and did so without a single disciplinary incident or any intervention from the school.</w:t>
      </w:r>
    </w:p>
    <w:p>
      <w:pPr>
        <w:pStyle w:val="BodyText"/>
      </w:pPr>
      <w:r>
        <w:rPr>
          <w:bCs/>
          <w:b/>
        </w:rPr>
        <w:t xml:space="preserve">Academic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Course</w:t>
            </w:r>
          </w:p>
        </w:tc>
        <w:tc>
          <w:tcPr/>
          <w:p>
            <w:pPr>
              <w:pStyle w:val="Compact"/>
              <w:jc w:val="left"/>
            </w:pPr>
            <w:r>
              <w:rPr>
                <w:bCs/>
                <w:b/>
              </w:rPr>
              <w:t xml:space="preserve">Term 1</w:t>
            </w:r>
          </w:p>
        </w:tc>
        <w:tc>
          <w:tcPr/>
          <w:p>
            <w:pPr>
              <w:pStyle w:val="Compact"/>
              <w:jc w:val="left"/>
            </w:pPr>
            <w:r>
              <w:rPr>
                <w:bCs/>
                <w:b/>
              </w:rPr>
              <w:t xml:space="preserve">Term 2</w:t>
            </w:r>
          </w:p>
        </w:tc>
        <w:tc>
          <w:tcPr/>
          <w:p>
            <w:pPr>
              <w:pStyle w:val="Compact"/>
              <w:jc w:val="left"/>
            </w:pPr>
            <w:r>
              <w:rPr>
                <w:bCs/>
                <w:b/>
              </w:rPr>
              <w:t xml:space="preserve">Term 3</w:t>
            </w:r>
          </w:p>
        </w:tc>
        <w:tc>
          <w:tcPr/>
          <w:p>
            <w:pPr>
              <w:pStyle w:val="Compact"/>
              <w:jc w:val="left"/>
            </w:pPr>
            <w:r>
              <w:rPr>
                <w:bCs/>
                <w:b/>
              </w:rPr>
              <w:t xml:space="preserve">Term 4</w:t>
            </w:r>
          </w:p>
        </w:tc>
      </w:tr>
      <w:tr>
        <w:tc>
          <w:tcPr/>
          <w:p>
            <w:pPr>
              <w:pStyle w:val="Compact"/>
              <w:jc w:val="left"/>
            </w:pPr>
            <w:r>
              <w:t xml:space="preserve">Algebra 1 CP</w:t>
            </w:r>
          </w:p>
        </w:tc>
        <w:tc>
          <w:tcPr/>
          <w:p>
            <w:pPr>
              <w:pStyle w:val="Compact"/>
              <w:jc w:val="left"/>
            </w:pPr>
            <w:r>
              <w:t xml:space="preserve">B+</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r>
      <w:tr>
        <w:tc>
          <w:tcPr/>
          <w:p>
            <w:pPr>
              <w:pStyle w:val="Compact"/>
              <w:jc w:val="left"/>
            </w:pPr>
            <w:r>
              <w:t xml:space="preserve">Applied Biology</w:t>
            </w:r>
          </w:p>
        </w:tc>
        <w:tc>
          <w:tcPr/>
          <w:p>
            <w:pPr>
              <w:pStyle w:val="Compact"/>
              <w:jc w:val="left"/>
            </w:pPr>
            <w:r>
              <w:t xml:space="preserve">B+</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r>
      <w:tr>
        <w:tc>
          <w:tcPr/>
          <w:p>
            <w:pPr>
              <w:pStyle w:val="Compact"/>
              <w:jc w:val="left"/>
            </w:pPr>
            <w:r>
              <w:t xml:space="preserve">World History CP</w:t>
            </w:r>
          </w:p>
        </w:tc>
        <w:tc>
          <w:tcPr/>
          <w:p>
            <w:pPr>
              <w:pStyle w:val="Compact"/>
              <w:jc w:val="left"/>
            </w:pPr>
            <w:r>
              <w:t xml:space="preserve">B-</w:t>
            </w:r>
          </w:p>
        </w:tc>
        <w:tc>
          <w:tcPr/>
          <w:p>
            <w:pPr>
              <w:pStyle w:val="Compact"/>
              <w:jc w:val="left"/>
            </w:pPr>
            <w:r>
              <w:t xml:space="preserve">A-</w:t>
            </w:r>
          </w:p>
        </w:tc>
        <w:tc>
          <w:tcPr/>
          <w:p>
            <w:pPr>
              <w:pStyle w:val="Compact"/>
              <w:jc w:val="left"/>
            </w:pPr>
            <w:r>
              <w:t xml:space="preserve">C</w:t>
            </w:r>
          </w:p>
        </w:tc>
        <w:tc>
          <w:tcPr/>
          <w:p>
            <w:pPr>
              <w:pStyle w:val="Compact"/>
              <w:jc w:val="left"/>
            </w:pPr>
            <w:r>
              <w:t xml:space="preserve">B+</w:t>
            </w:r>
          </w:p>
        </w:tc>
      </w:tr>
      <w:tr>
        <w:tc>
          <w:tcPr/>
          <w:p>
            <w:pPr>
              <w:pStyle w:val="Compact"/>
              <w:jc w:val="left"/>
            </w:pPr>
            <w:r>
              <w:t xml:space="preserve">English 9 CP</w:t>
            </w:r>
          </w:p>
        </w:tc>
        <w:tc>
          <w:tcPr/>
          <w:p>
            <w:pPr>
              <w:pStyle w:val="Compact"/>
              <w:jc w:val="left"/>
            </w:pPr>
            <w:r>
              <w:t xml:space="preserve">B+</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r>
    </w:tbl>
    <w:p>
      <w:pPr>
        <w:pStyle w:val="BodyText"/>
      </w:pPr>
      <w:r>
        <w:rPr>
          <w:bCs/>
          <w:b/>
        </w:rPr>
        <w:t xml:space="preserve">Honor Roll:</w:t>
      </w:r>
      <w:r>
        <w:t xml:space="preserve"> </w:t>
      </w:r>
      <w:r>
        <w:t xml:space="preserve">2 of 4 quarters (certificates awarded)</w:t>
      </w:r>
    </w:p>
    <w:p>
      <w:pPr>
        <w:pStyle w:val="BodyText"/>
      </w:pPr>
      <w:r>
        <w:rPr>
          <w:bCs/>
          <w:b/>
        </w:rPr>
        <w:t xml:space="preserve">Disciplinary Record:</w:t>
      </w:r>
      <w:r>
        <w:t xml:space="preserve"> </w:t>
      </w:r>
      <w:r>
        <w:t xml:space="preserve">Clean. No suspensions, no detentions, no classroom disruptions, no office referrals.</w:t>
      </w:r>
    </w:p>
    <w:p>
      <w:pPr>
        <w:pStyle w:val="BodyText"/>
      </w:pPr>
      <w:r>
        <w:rPr>
          <w:bCs/>
          <w:b/>
        </w:rPr>
        <w:t xml:space="preserve">Bullying:</w:t>
      </w:r>
      <w:r>
        <w:t xml:space="preserve"> </w:t>
      </w:r>
      <w:r>
        <w:t xml:space="preserve">Angelina has experienced bullying this school year, of which the school is aware. She did not allow it to affect her grades, her attendance in the later quarters, or her conduct.</w:t>
      </w:r>
    </w:p>
    <w:p>
      <w:pPr>
        <w:pStyle w:val="BodyText"/>
      </w:pPr>
      <w:r>
        <w:rPr>
          <w:bCs/>
          <w:b/>
        </w:rPr>
        <w:t xml:space="preserve">By the fourth quarter,</w:t>
      </w:r>
      <w:r>
        <w:t xml:space="preserve"> </w:t>
      </w:r>
      <w:r>
        <w:t xml:space="preserve">she had reduced her absences to a single excused day, and her tardies declined as well. The trajectory was correcting itself — the kind of correction the Page 44 action plan is designed to produce, achieved by the student alone.</w:t>
      </w:r>
    </w:p>
    <w:p>
      <w:pPr>
        <w:pStyle w:val="BodyText"/>
      </w:pPr>
      <w:r>
        <w:rPr>
          <w:bCs/>
          <w:b/>
        </w:rPr>
        <w:t xml:space="preserve">The school’s policy exists for students who need intervention. Angelina intervened on herself. The school was supposed to intervene too, and it did not.</w:t>
      </w:r>
    </w:p>
    <w:p>
      <w:r>
        <w:pict>
          <v:rect style="width:0;height:1.5pt" o:hralign="center" o:hrstd="t" o:hr="t"/>
        </w:pict>
      </w:r>
    </w:p>
    <w:bookmarkEnd w:id="24"/>
    <w:bookmarkStart w:id="30" w:name="X90d72b50d251d6c7b3776085bf4dabf8979eb25"/>
    <w:p>
      <w:pPr>
        <w:pStyle w:val="Heading2"/>
      </w:pPr>
      <w:r>
        <w:t xml:space="preserve">IV. THE IEP — THE SCHOOL’S FAILURE TO INVOLVE THE IEP TEAM</w:t>
      </w:r>
    </w:p>
    <w:p>
      <w:pPr>
        <w:pStyle w:val="FirstParagraph"/>
      </w:pPr>
      <w:r>
        <w:rPr>
          <w:bCs/>
          <w:b/>
        </w:rPr>
        <w:t xml:space="preserve">Angelina is an active IEP student. The school was aware of this status and was required to follow enhanced procedural protections under state and federal law.</w:t>
      </w:r>
    </w:p>
    <w:bookmarkStart w:id="25" w:name="X5a7ece69d5278f0aa5f878fd3b23e5e6f94b8ae"/>
    <w:p>
      <w:pPr>
        <w:pStyle w:val="Heading3"/>
      </w:pPr>
      <w:r>
        <w:t xml:space="preserve">A. The Parent is a Required Member of the IEP Team</w:t>
      </w:r>
    </w:p>
    <w:p>
      <w:pPr>
        <w:pStyle w:val="FirstParagraph"/>
      </w:pPr>
      <w:r>
        <w:t xml:space="preserve">Under</w:t>
      </w:r>
      <w:r>
        <w:t xml:space="preserve"> </w:t>
      </w:r>
      <w:r>
        <w:rPr>
          <w:bCs/>
          <w:b/>
        </w:rPr>
        <w:t xml:space="preserve">603 CMR 28.02(21)</w:t>
      </w:r>
      <w:r>
        <w:t xml:space="preserve"> </w:t>
      </w:r>
      <w:r>
        <w:t xml:space="preserve">and</w:t>
      </w:r>
      <w:r>
        <w:t xml:space="preserve"> </w:t>
      </w:r>
      <w:r>
        <w:rPr>
          <w:bCs/>
          <w:b/>
        </w:rPr>
        <w:t xml:space="preserve">34 C.F.R. § 300.321(a)</w:t>
      </w:r>
      <w:r>
        <w:t xml:space="preserve">, the IEP Team for each child with a disability</w:t>
      </w:r>
      <w:r>
        <w:t xml:space="preserve"> </w:t>
      </w:r>
      <w:r>
        <w:rPr>
          <w:bCs/>
          <w:b/>
        </w:rPr>
        <w:t xml:space="preserve">must include the parents of the child.</w:t>
      </w:r>
    </w:p>
    <w:p>
      <w:pPr>
        <w:pStyle w:val="BodyText"/>
      </w:pPr>
      <w:r>
        <w:rPr>
          <w:bCs/>
          <w:b/>
        </w:rPr>
        <w:t xml:space="preserve">The parent is not optional. The parent is not an observer. The parent is a required, equal member of the Team.</w:t>
      </w:r>
    </w:p>
    <w:bookmarkEnd w:id="25"/>
    <w:bookmarkStart w:id="26" w:name="Xcec3aa9012f551f448d3dea7bce2b579df72323"/>
    <w:p>
      <w:pPr>
        <w:pStyle w:val="Heading3"/>
      </w:pPr>
      <w:r>
        <w:t xml:space="preserve">B. The School Must Convene the IEP Team Before Making Significant Educational Decisions</w:t>
      </w:r>
    </w:p>
    <w:p>
      <w:pPr>
        <w:pStyle w:val="FirstParagraph"/>
      </w:pPr>
      <w:r>
        <w:t xml:space="preserve">Under</w:t>
      </w:r>
      <w:r>
        <w:t xml:space="preserve"> </w:t>
      </w:r>
      <w:r>
        <w:rPr>
          <w:bCs/>
          <w:b/>
        </w:rPr>
        <w:t xml:space="preserve">603 CMR 28.05(1)</w:t>
      </w:r>
      <w:r>
        <w:t xml:space="preserve">, the school district shall convene a Team meeting to develop an IEP and determine placement.</w:t>
      </w:r>
    </w:p>
    <w:p>
      <w:pPr>
        <w:pStyle w:val="BodyText"/>
      </w:pPr>
      <w:r>
        <w:rPr>
          <w:bCs/>
          <w:b/>
        </w:rPr>
        <w:t xml:space="preserve">Withholding credits, mandating summer school, and threatening retention are significant educational decisions. The school was required to convene the IEP Team before making these decisions.</w:t>
      </w:r>
    </w:p>
    <w:bookmarkEnd w:id="26"/>
    <w:bookmarkStart w:id="27" w:name="X3fea3f77f3d4a62066c8a9b98a115ad5a7abee0"/>
    <w:p>
      <w:pPr>
        <w:pStyle w:val="Heading3"/>
      </w:pPr>
      <w:r>
        <w:t xml:space="preserve">C. The School Failed to Include the Parent</w:t>
      </w:r>
    </w:p>
    <w:p>
      <w:pPr>
        <w:pStyle w:val="FirstParagraph"/>
      </w:pPr>
      <w:r>
        <w:t xml:space="preserve">The school made these decisions without:</w:t>
      </w:r>
      <w:r>
        <w:t xml:space="preserve"> </w:t>
      </w:r>
      <w:r>
        <w:t xml:space="preserve">- Convening an IEP Team meeting</w:t>
      </w:r>
      <w:r>
        <w:t xml:space="preserve"> </w:t>
      </w:r>
      <w:r>
        <w:t xml:space="preserve">- Notifying the parent</w:t>
      </w:r>
      <w:r>
        <w:t xml:space="preserve"> </w:t>
      </w:r>
      <w:r>
        <w:t xml:space="preserve">- Including the parent in the decision-making process</w:t>
      </w:r>
      <w:r>
        <w:t xml:space="preserve"> </w:t>
      </w:r>
      <w:r>
        <w:t xml:space="preserve">- Obtaining parental consent</w:t>
      </w:r>
    </w:p>
    <w:p>
      <w:pPr>
        <w:pStyle w:val="BodyText"/>
      </w:pPr>
      <w:r>
        <w:rPr>
          <w:bCs/>
          <w:b/>
        </w:rPr>
        <w:t xml:space="preserve">This is a violation of 603 CMR 28.07(1)(a), 603 CMR 28.02(21), 34 C.F.R. § 300.321(a), and the school’s own IEP obligations.</w:t>
      </w:r>
    </w:p>
    <w:bookmarkEnd w:id="27"/>
    <w:bookmarkStart w:id="28" w:name="Xc86cd43d477f025a06962009ef8b9e1e2e7a331"/>
    <w:p>
      <w:pPr>
        <w:pStyle w:val="Heading3"/>
      </w:pPr>
      <w:r>
        <w:t xml:space="preserve">D. The School Cannot Use Its Own Failure as a Defense</w:t>
      </w:r>
    </w:p>
    <w:p>
      <w:pPr>
        <w:pStyle w:val="FirstParagraph"/>
      </w:pPr>
      <w:r>
        <w:t xml:space="preserve">The 2017 BSEA</w:t>
      </w:r>
      <w:r>
        <w:t xml:space="preserve"> </w:t>
      </w:r>
      <w:r>
        <w:rPr>
          <w:iCs/>
          <w:i/>
        </w:rPr>
        <w:t xml:space="preserve">Hampden</w:t>
      </w:r>
      <w:r>
        <w:t xml:space="preserve"> </w:t>
      </w:r>
      <w:r>
        <w:t xml:space="preserve">ruling — which the school’s legal team may cite — does not apply. That ruling held that the BSEA lacks jurisdiction over credit restoration when the IEP does not reference attendance.</w:t>
      </w:r>
    </w:p>
    <w:p>
      <w:pPr>
        <w:pStyle w:val="BodyText"/>
      </w:pPr>
      <w:r>
        <w:rPr>
          <w:bCs/>
          <w:b/>
        </w:rPr>
        <w:t xml:space="preserve">But here, the school never convened an IEP meeting to determine whether attendance should be addressed in the IEP. The school cannot now use its own procedural failure as a defense.</w:t>
      </w:r>
    </w:p>
    <w:bookmarkEnd w:id="28"/>
    <w:bookmarkStart w:id="29" w:name="e.-the-iep-violations-are-cumulative"/>
    <w:p>
      <w:pPr>
        <w:pStyle w:val="Heading3"/>
      </w:pPr>
      <w:r>
        <w:t xml:space="preserve">E. The IEP Violations Are Cumulative</w:t>
      </w:r>
    </w:p>
    <w:p>
      <w:pPr>
        <w:pStyle w:val="FirstParagraph"/>
      </w:pPr>
      <w:r>
        <w:t xml:space="preserve">The school’s failure to involve the IEP Team is not a separate issue from the attendance policy violations. It is the same issue:</w:t>
      </w:r>
      <w:r>
        <w:t xml:space="preserve"> </w:t>
      </w:r>
      <w:r>
        <w:rPr>
          <w:bCs/>
          <w:b/>
        </w:rPr>
        <w:t xml:space="preserve">the school made a significant educational decision without following the legally required process.</w:t>
      </w:r>
    </w:p>
    <w:p>
      <w:r>
        <w:pict>
          <v:rect style="width:0;height:1.5pt" o:hralign="center" o:hrstd="t" o:hr="t"/>
        </w:pict>
      </w:r>
    </w:p>
    <w:bookmarkEnd w:id="29"/>
    <w:bookmarkEnd w:id="30"/>
    <w:bookmarkStart w:id="35" w:name="Xb6097d6bc99bcff90eca5d079d3e35a7b6da759"/>
    <w:p>
      <w:pPr>
        <w:pStyle w:val="Heading2"/>
      </w:pPr>
      <w:r>
        <w:t xml:space="preserve">V. M.G.L. c. 76, § 37H½ — THE</w:t>
      </w:r>
      <w:r>
        <w:t xml:space="preserve"> </w:t>
      </w:r>
      <w:r>
        <w:t xml:space="preserve">“</w:t>
      </w:r>
      <w:r>
        <w:t xml:space="preserve">NOTWITHSTANDING</w:t>
      </w:r>
      <w:r>
        <w:t xml:space="preserve">”</w:t>
      </w:r>
      <w:r>
        <w:t xml:space="preserve"> </w:t>
      </w:r>
      <w:r>
        <w:t xml:space="preserve">PROVISION DOES NOT APPLY</w:t>
      </w:r>
    </w:p>
    <w:bookmarkStart w:id="31" w:name="a.-the-text-of-m.g.l.-c.-76-37h½"/>
    <w:p>
      <w:pPr>
        <w:pStyle w:val="Heading3"/>
      </w:pPr>
      <w:r>
        <w:t xml:space="preserve">A. The Text of M.G.L. c. 76, § 37H½</w:t>
      </w:r>
    </w:p>
    <w:p>
      <w:pPr>
        <w:pStyle w:val="FirstParagraph"/>
      </w:pPr>
      <w:r>
        <w:t xml:space="preserve">Massachusetts General Laws Chapter 76, § 37H½ states:</w:t>
      </w:r>
    </w:p>
    <w:p>
      <w:pPr>
        <w:pStyle w:val="BlockText"/>
      </w:pPr>
      <w:r>
        <w:rPr>
          <w:iCs/>
          <w:i/>
        </w:rPr>
        <w:t xml:space="preserve">“Notwithstanding the provisions of section eighty-four and sections sixteen and seventeen of chapter seventy-six:</w:t>
      </w:r>
    </w:p>
    <w:p>
      <w:pPr>
        <w:pStyle w:val="BlockText"/>
      </w:pPr>
      <w:r>
        <w:rPr>
          <w:iCs/>
          <w:i/>
        </w:rPr>
        <w:t xml:space="preserve">(1) Upon the issuance of a criminal complaint charging a student with a felony or upon the issuance of a felony delinquency complaint against a student, the principal or headmaster of a school in which the student is enrolled may suspend such student for a period of time determined appropriate by said principal or headmaster if said principal or headmaster determines that the student’s continued presence in school would have a substantial detrimental effect on the general welfare of the school. The student shall receive written notification of the charges and the reasons for such suspension prior to such suspension taking effect.”</w:t>
      </w:r>
    </w:p>
    <w:bookmarkEnd w:id="31"/>
    <w:bookmarkStart w:id="32" w:name="X06583d305578360aa90229d72a0d9047ca27c5f"/>
    <w:p>
      <w:pPr>
        <w:pStyle w:val="Heading3"/>
      </w:pPr>
      <w:r>
        <w:t xml:space="preserve">B. The Statute Does Not Apply to This Case</w:t>
      </w:r>
    </w:p>
    <w:p>
      <w:pPr>
        <w:pStyle w:val="FirstParagraph"/>
      </w:pPr>
      <w:r>
        <w:rPr>
          <w:bCs/>
          <w:b/>
        </w:rPr>
        <w:t xml:space="preserve">The statute is explicitly limited to students charged with a felony.</w:t>
      </w:r>
      <w:r>
        <w:t xml:space="preserve"> </w:t>
      </w:r>
      <w:r>
        <w:t xml:space="preserve">The</w:t>
      </w:r>
      <w:r>
        <w:t xml:space="preserve"> </w:t>
      </w:r>
      <w:r>
        <w:t xml:space="preserve">“</w:t>
      </w:r>
      <w:r>
        <w:t xml:space="preserve">notwithstanding</w:t>
      </w:r>
      <w:r>
        <w:t xml:space="preserve">”</w:t>
      </w:r>
      <w:r>
        <w:t xml:space="preserve"> </w:t>
      </w:r>
      <w:r>
        <w:t xml:space="preserve">clause applies only to the felony suspension/expulsion process, not to attendance policies or credit determinations.</w:t>
      </w:r>
    </w:p>
    <w:p>
      <w:pPr>
        <w:pStyle w:val="BodyText"/>
      </w:pPr>
      <w:r>
        <w:rPr>
          <w:bCs/>
          <w:b/>
        </w:rPr>
        <w:t xml:space="preserve">Angelina has not been charged with a felony. This statute has no application to this case.</w:t>
      </w:r>
    </w:p>
    <w:bookmarkEnd w:id="32"/>
    <w:bookmarkStart w:id="33" w:name="X711612cac9ffeb7b8fb2c3d3559a55a7ed93d5a"/>
    <w:p>
      <w:pPr>
        <w:pStyle w:val="Heading3"/>
      </w:pPr>
      <w:r>
        <w:t xml:space="preserve">C. The School Cannot Use</w:t>
      </w:r>
      <w:r>
        <w:t xml:space="preserve"> </w:t>
      </w:r>
      <w:r>
        <w:t xml:space="preserve">“</w:t>
      </w:r>
      <w:r>
        <w:t xml:space="preserve">Notwithstanding</w:t>
      </w:r>
      <w:r>
        <w:t xml:space="preserve">”</w:t>
      </w:r>
      <w:r>
        <w:t xml:space="preserve"> </w:t>
      </w:r>
      <w:r>
        <w:t xml:space="preserve">to Bypass Procedural Protections</w:t>
      </w:r>
    </w:p>
    <w:p>
      <w:pPr>
        <w:pStyle w:val="FirstParagraph"/>
      </w:pPr>
      <w:r>
        <w:t xml:space="preserve">The word</w:t>
      </w:r>
      <w:r>
        <w:t xml:space="preserve"> </w:t>
      </w:r>
      <w:r>
        <w:t xml:space="preserve">“</w:t>
      </w:r>
      <w:r>
        <w:t xml:space="preserve">notwithstanding</w:t>
      </w:r>
      <w:r>
        <w:t xml:space="preserve">”</w:t>
      </w:r>
      <w:r>
        <w:t xml:space="preserve"> </w:t>
      </w:r>
      <w:r>
        <w:t xml:space="preserve">in § 37H½ operates as a</w:t>
      </w:r>
      <w:r>
        <w:t xml:space="preserve"> </w:t>
      </w:r>
      <w:r>
        <w:rPr>
          <w:bCs/>
          <w:b/>
        </w:rPr>
        <w:t xml:space="preserve">limited exception</w:t>
      </w:r>
      <w:r>
        <w:t xml:space="preserve"> </w:t>
      </w:r>
      <w:r>
        <w:t xml:space="preserve">to the otherwise applicable provisions of G.L. c. 76, §§ 16 and 17 for</w:t>
      </w:r>
      <w:r>
        <w:t xml:space="preserve"> </w:t>
      </w:r>
      <w:r>
        <w:rPr>
          <w:bCs/>
          <w:b/>
        </w:rPr>
        <w:t xml:space="preserve">felony suspensions.</w:t>
      </w:r>
    </w:p>
    <w:p>
      <w:pPr>
        <w:pStyle w:val="BodyText"/>
      </w:pPr>
      <w:r>
        <w:rPr>
          <w:bCs/>
          <w:b/>
        </w:rPr>
        <w:t xml:space="preserve">The school cannot invoke a felony suspension statute to justify its failure to follow procedural protections in an attendance/credit case.</w:t>
      </w:r>
    </w:p>
    <w:bookmarkEnd w:id="33"/>
    <w:bookmarkStart w:id="34" w:name="X2d5077d277514e043b69229b5cdb33c34f6e16a"/>
    <w:p>
      <w:pPr>
        <w:pStyle w:val="Heading3"/>
      </w:pPr>
      <w:r>
        <w:t xml:space="preserve">D. The Goodwin Case Establishes the Limits of § 37H½</w:t>
      </w:r>
    </w:p>
    <w:p>
      <w:pPr>
        <w:pStyle w:val="FirstParagraph"/>
      </w:pPr>
      <w:r>
        <w:t xml:space="preserve">In</w:t>
      </w:r>
      <w:r>
        <w:t xml:space="preserve"> </w:t>
      </w:r>
      <w:r>
        <w:rPr>
          <w:bCs/>
          <w:b/>
        </w:rPr>
        <w:t xml:space="preserve">Goodwin v. Lee Public Schools, 475 Mass. 280 (2016)</w:t>
      </w:r>
      <w:r>
        <w:t xml:space="preserve">, the Supreme Judicial Court held:</w:t>
      </w:r>
    </w:p>
    <w:p>
      <w:pPr>
        <w:numPr>
          <w:ilvl w:val="0"/>
          <w:numId w:val="1003"/>
        </w:numPr>
        <w:pStyle w:val="Compact"/>
      </w:pPr>
      <w:r>
        <w:t xml:space="preserve">A student who was suspended under § 37H½</w:t>
      </w:r>
      <w:r>
        <w:t xml:space="preserve"> </w:t>
      </w:r>
      <w:r>
        <w:rPr>
          <w:bCs/>
          <w:b/>
        </w:rPr>
        <w:t xml:space="preserve">without a felony complaint issuing</w:t>
      </w:r>
      <w:r>
        <w:t xml:space="preserve"> </w:t>
      </w:r>
      <w:r>
        <w:t xml:space="preserve">did not need to exhaust administrative remedies before pursuing a tort claim for unlawful exclusion.</w:t>
      </w:r>
    </w:p>
    <w:p>
      <w:pPr>
        <w:numPr>
          <w:ilvl w:val="0"/>
          <w:numId w:val="1003"/>
        </w:numPr>
        <w:pStyle w:val="Compact"/>
      </w:pPr>
      <w:r>
        <w:t xml:space="preserve">The felony suspension statute is</w:t>
      </w:r>
      <w:r>
        <w:t xml:space="preserve"> </w:t>
      </w:r>
      <w:r>
        <w:rPr>
          <w:bCs/>
          <w:b/>
        </w:rPr>
        <w:t xml:space="preserve">only triggered</w:t>
      </w:r>
      <w:r>
        <w:t xml:space="preserve"> </w:t>
      </w:r>
      <w:r>
        <w:rPr>
          <w:iCs/>
          <w:i/>
        </w:rPr>
        <w:t xml:space="preserve">“</w:t>
      </w:r>
      <w:r>
        <w:rPr>
          <w:iCs/>
          <w:i/>
        </w:rPr>
        <w:t xml:space="preserve">upon the issuance of a criminal complaint charging a student with a felony.</w:t>
      </w:r>
      <w:r>
        <w:rPr>
          <w:iCs/>
          <w:i/>
        </w:rPr>
        <w:t xml:space="preserve">”</w:t>
      </w:r>
      <w:r>
        <w:t xml:space="preserve"> </w:t>
      </w:r>
      <w:r>
        <w:t xml:space="preserve">Because the principal suspended the student without any felony complaint issuing, the suspension violated § 37H½.</w:t>
      </w:r>
    </w:p>
    <w:p>
      <w:pPr>
        <w:numPr>
          <w:ilvl w:val="0"/>
          <w:numId w:val="1003"/>
        </w:numPr>
        <w:pStyle w:val="Compact"/>
      </w:pPr>
      <w:r>
        <w:t xml:space="preserve">The Court reasoned that § 37H½ provides an</w:t>
      </w:r>
      <w:r>
        <w:t xml:space="preserve"> </w:t>
      </w:r>
      <w:r>
        <w:rPr>
          <w:iCs/>
          <w:i/>
        </w:rPr>
        <w:t xml:space="preserve">“</w:t>
      </w:r>
      <w:r>
        <w:rPr>
          <w:iCs/>
          <w:i/>
        </w:rPr>
        <w:t xml:space="preserve">additional, immediate, review of a decision to exclude them from school, with the goal of readmission,</w:t>
      </w:r>
      <w:r>
        <w:rPr>
          <w:iCs/>
          <w:i/>
        </w:rPr>
        <w:t xml:space="preserve">”</w:t>
      </w:r>
      <w:r>
        <w:t xml:space="preserve"> </w:t>
      </w:r>
      <w:r>
        <w:t xml:space="preserve">and does not preclude a separate tort remedy.</w:t>
      </w:r>
    </w:p>
    <w:p>
      <w:pPr>
        <w:pStyle w:val="FirstParagraph"/>
      </w:pPr>
      <w:r>
        <w:rPr>
          <w:bCs/>
          <w:b/>
        </w:rPr>
        <w:t xml:space="preserve">The Goodwin case teaches us: when a school invokes a statute that does not apply, the school’s actions are unlawful, and the student is not required to exhaust administrative remedies before seeking relief.</w:t>
      </w:r>
    </w:p>
    <w:p>
      <w:pPr>
        <w:pStyle w:val="BodyText"/>
      </w:pPr>
      <w:r>
        <w:rPr>
          <w:bCs/>
          <w:b/>
        </w:rPr>
        <w:t xml:space="preserve">Here, the school is trying to impose penalties through the attendance-policy process while bypassing the procedural protections of § 37H½. The Goodwin analysis applies in reverse: the school is using a non-applicable procedural framework to justify penalties that would otherwise require § 37H½ protections.</w:t>
      </w:r>
    </w:p>
    <w:p>
      <w:r>
        <w:pict>
          <v:rect style="width:0;height:1.5pt" o:hralign="center" o:hrstd="t" o:hr="t"/>
        </w:pict>
      </w:r>
    </w:p>
    <w:bookmarkEnd w:id="34"/>
    <w:bookmarkEnd w:id="35"/>
    <w:bookmarkStart w:id="38" w:name="X1c5dd535dac914da8104cda9ec4c095592bbf0b"/>
    <w:p>
      <w:pPr>
        <w:pStyle w:val="Heading2"/>
      </w:pPr>
      <w:r>
        <w:t xml:space="preserve">VI. M.G.L. c. 71, § 37H — FAILED ATTENDANCE INTERVENTION PROCESS</w:t>
      </w:r>
    </w:p>
    <w:bookmarkStart w:id="36" w:name="a.-the-text-of-m.g.l.-c.-71-37h"/>
    <w:p>
      <w:pPr>
        <w:pStyle w:val="Heading3"/>
      </w:pPr>
      <w:r>
        <w:t xml:space="preserve">A. The Text of M.G.L. c. 71, § 37H</w:t>
      </w:r>
    </w:p>
    <w:p>
      <w:pPr>
        <w:pStyle w:val="FirstParagraph"/>
      </w:pPr>
      <w:r>
        <w:t xml:space="preserve">M.G.L. c. 71, § 37H requires that the superintendent publish a district policy pertaining to the conduct of students, including:</w:t>
      </w:r>
      <w:r>
        <w:t xml:space="preserve"> </w:t>
      </w:r>
      <w:r>
        <w:t xml:space="preserve">1. Procedures for the notification of parents of any violation of school rules</w:t>
      </w:r>
      <w:r>
        <w:t xml:space="preserve"> </w:t>
      </w:r>
      <w:r>
        <w:t xml:space="preserve">2. Procedures for the holding of a hearing prior to the imposition of any sanction</w:t>
      </w:r>
      <w:r>
        <w:t xml:space="preserve"> </w:t>
      </w:r>
      <w:r>
        <w:t xml:space="preserve">3. Procedures for the appeal of any sanction to the superintendent and the school committee</w:t>
      </w:r>
    </w:p>
    <w:bookmarkEnd w:id="36"/>
    <w:bookmarkStart w:id="37" w:name="Xf03112ac9dafdf7bb52dc3a5f6bb20c624e9e2d"/>
    <w:p>
      <w:pPr>
        <w:pStyle w:val="Heading3"/>
      </w:pPr>
      <w:r>
        <w:t xml:space="preserve">B. The School Followed None of These Procedures</w:t>
      </w:r>
    </w:p>
    <w:p>
      <w:pPr>
        <w:pStyle w:val="FirstParagraph"/>
      </w:pPr>
      <w:r>
        <w:t xml:space="preserve">The school did not:</w:t>
      </w:r>
      <w:r>
        <w:t xml:space="preserve"> </w:t>
      </w:r>
      <w:r>
        <w:t xml:space="preserve">- Notify the parent of any violation of school rules prior to imposing the penalty</w:t>
      </w:r>
      <w:r>
        <w:t xml:space="preserve"> </w:t>
      </w:r>
      <w:r>
        <w:t xml:space="preserve">- Hold a hearing prior to the imposition of the summer school requirement or the NC/CP designations</w:t>
      </w:r>
      <w:r>
        <w:t xml:space="preserve"> </w:t>
      </w:r>
      <w:r>
        <w:t xml:space="preserve">- Provide an appeal procedure to the superintendent and the school committee</w:t>
      </w:r>
    </w:p>
    <w:p>
      <w:pPr>
        <w:pStyle w:val="BodyText"/>
      </w:pPr>
      <w:r>
        <w:rPr>
          <w:bCs/>
          <w:b/>
        </w:rPr>
        <w:t xml:space="preserve">The school violated M.G.L. c. 71, § 37H in three distinct ways.</w:t>
      </w:r>
    </w:p>
    <w:p>
      <w:r>
        <w:pict>
          <v:rect style="width:0;height:1.5pt" o:hralign="center" o:hrstd="t" o:hr="t"/>
        </w:pict>
      </w:r>
    </w:p>
    <w:bookmarkEnd w:id="37"/>
    <w:bookmarkEnd w:id="38"/>
    <w:bookmarkStart w:id="41" w:name="X1854cef5495c0893680becbcc1119ca3c316dfa"/>
    <w:p>
      <w:pPr>
        <w:pStyle w:val="Heading2"/>
      </w:pPr>
      <w:r>
        <w:t xml:space="preserve">VII. M.G.L. c. 76, § 1B — THE UNIFORM APPLICATION REQUIREMENT</w:t>
      </w:r>
    </w:p>
    <w:bookmarkStart w:id="39" w:name="a.-the-text-of-m.g.l.-c.-76-1b"/>
    <w:p>
      <w:pPr>
        <w:pStyle w:val="Heading3"/>
      </w:pPr>
      <w:r>
        <w:t xml:space="preserve">A. The Text of M.G.L. c. 76, § 1B</w:t>
      </w:r>
    </w:p>
    <w:p>
      <w:pPr>
        <w:pStyle w:val="FirstParagraph"/>
      </w:pPr>
      <w:r>
        <w:t xml:space="preserve">M.G.L. c. 76, § 1B requires each school committee to</w:t>
      </w:r>
      <w:r>
        <w:t xml:space="preserve"> </w:t>
      </w:r>
      <w:r>
        <w:t xml:space="preserve">“</w:t>
      </w:r>
      <w:r>
        <w:t xml:space="preserve">adopt and publish</w:t>
      </w:r>
      <w:r>
        <w:t xml:space="preserve">”</w:t>
      </w:r>
      <w:r>
        <w:t xml:space="preserve"> </w:t>
      </w:r>
      <w:r>
        <w:t xml:space="preserve">a policy addressing student absences, including reasonable-effort notification, an action plan for repeated absence, and an action plan for habitual absence or truancy. The policy must be</w:t>
      </w:r>
      <w:r>
        <w:t xml:space="preserve"> </w:t>
      </w:r>
      <w:r>
        <w:rPr>
          <w:bCs/>
          <w:b/>
        </w:rPr>
        <w:t xml:space="preserve">“</w:t>
      </w:r>
      <w:r>
        <w:rPr>
          <w:bCs/>
          <w:b/>
        </w:rPr>
        <w:t xml:space="preserve">applied uniformly to all students.</w:t>
      </w:r>
      <w:r>
        <w:rPr>
          <w:bCs/>
          <w:b/>
        </w:rPr>
        <w:t xml:space="preserve">”</w:t>
      </w:r>
    </w:p>
    <w:bookmarkEnd w:id="39"/>
    <w:bookmarkStart w:id="40" w:name="X4ffb7e2c7f9912a45c045ef112a77d692e376ac"/>
    <w:p>
      <w:pPr>
        <w:pStyle w:val="Heading3"/>
      </w:pPr>
      <w:r>
        <w:t xml:space="preserve">B. The School’s Handbook Is Internally Contradictory</w:t>
      </w:r>
    </w:p>
    <w:p>
      <w:pPr>
        <w:pStyle w:val="FirstParagraph"/>
      </w:pPr>
      <w:r>
        <w:t xml:space="preserve">The Wareham High School Handbook contains internal contradictions on the most fundamental question of the attendance policy:</w:t>
      </w:r>
    </w:p>
    <w:p>
      <w:pPr>
        <w:numPr>
          <w:ilvl w:val="0"/>
          <w:numId w:val="1004"/>
        </w:numPr>
        <w:pStyle w:val="Compact"/>
      </w:pPr>
      <w:r>
        <w:rPr>
          <w:bCs/>
          <w:b/>
        </w:rPr>
        <w:t xml:space="preserve">Page 43:</w:t>
      </w:r>
      <w:r>
        <w:t xml:space="preserve"> </w:t>
      </w:r>
      <w:r>
        <w:t xml:space="preserve">“</w:t>
      </w:r>
      <w:r>
        <w:t xml:space="preserve">For purposes of this policy and meeting the guidelines set by the state, there is no differentiation between excused and unexcused absences.</w:t>
      </w:r>
      <w:r>
        <w:t xml:space="preserve">”</w:t>
      </w:r>
    </w:p>
    <w:p>
      <w:pPr>
        <w:numPr>
          <w:ilvl w:val="0"/>
          <w:numId w:val="1004"/>
        </w:numPr>
        <w:pStyle w:val="Compact"/>
      </w:pPr>
      <w:r>
        <w:rPr>
          <w:bCs/>
          <w:b/>
        </w:rPr>
        <w:t xml:space="preserve">Page 44:</w:t>
      </w:r>
      <w:r>
        <w:t xml:space="preserve"> </w:t>
      </w:r>
      <w:r>
        <w:t xml:space="preserve">Every intervention trigger is keyed to</w:t>
      </w:r>
      <w:r>
        <w:t xml:space="preserve"> </w:t>
      </w:r>
      <w:r>
        <w:t xml:space="preserve">“</w:t>
      </w:r>
      <w:r>
        <w:t xml:space="preserve">unexcused</w:t>
      </w:r>
      <w:r>
        <w:t xml:space="preserve">”</w:t>
      </w:r>
      <w:r>
        <w:t xml:space="preserve"> </w:t>
      </w:r>
      <w:r>
        <w:t xml:space="preserve">absences.</w:t>
      </w:r>
    </w:p>
    <w:p>
      <w:pPr>
        <w:numPr>
          <w:ilvl w:val="0"/>
          <w:numId w:val="1004"/>
        </w:numPr>
        <w:pStyle w:val="Compact"/>
      </w:pPr>
      <w:r>
        <w:rPr>
          <w:bCs/>
          <w:b/>
        </w:rPr>
        <w:t xml:space="preserve">Page 45:</w:t>
      </w:r>
      <w:r>
        <w:t xml:space="preserve"> </w:t>
      </w:r>
      <w:r>
        <w:t xml:space="preserve">The credit retrieval bar (20+ unexcused) relies on the distinction the handbook claims does not exist.</w:t>
      </w:r>
    </w:p>
    <w:p>
      <w:pPr>
        <w:numPr>
          <w:ilvl w:val="0"/>
          <w:numId w:val="1004"/>
        </w:numPr>
        <w:pStyle w:val="Compact"/>
      </w:pPr>
      <w:r>
        <w:rPr>
          <w:bCs/>
          <w:b/>
        </w:rPr>
        <w:t xml:space="preserve">Page 45:</w:t>
      </w:r>
      <w:r>
        <w:t xml:space="preserve"> </w:t>
      </w:r>
      <w:r>
        <w:t xml:space="preserve">The NC designation (9+ total days) treats all absences as the same.</w:t>
      </w:r>
    </w:p>
    <w:p>
      <w:pPr>
        <w:pStyle w:val="FirstParagraph"/>
      </w:pPr>
      <w:r>
        <w:rPr>
          <w:bCs/>
          <w:b/>
        </w:rPr>
        <w:t xml:space="preserve">A policy that cannot be consistently applied is unenforceable as applied.</w:t>
      </w:r>
      <w:r>
        <w:t xml:space="preserve"> </w:t>
      </w:r>
      <w:r>
        <w:rPr>
          <w:iCs/>
          <w:i/>
        </w:rPr>
        <w:t xml:space="preserve">See Tonya K. v. Barnstable</w:t>
      </w:r>
      <w:r>
        <w:t xml:space="preserve">, 424 Mass. 763 (1997) (ambiguities in school discipline rules construed against the drafter).</w:t>
      </w:r>
    </w:p>
    <w:p>
      <w:r>
        <w:pict>
          <v:rect style="width:0;height:1.5pt" o:hralign="center" o:hrstd="t" o:hr="t"/>
        </w:pict>
      </w:r>
    </w:p>
    <w:bookmarkEnd w:id="40"/>
    <w:bookmarkEnd w:id="41"/>
    <w:bookmarkStart w:id="42" w:name="viii.-the-eighteen-enumerated-violations"/>
    <w:p>
      <w:pPr>
        <w:pStyle w:val="Heading2"/>
      </w:pPr>
      <w:r>
        <w:t xml:space="preserve">VIII. THE EIGHTEEN ENUMERATED VIOLATIONS</w:t>
      </w:r>
    </w:p>
    <w:p>
      <w:pPr>
        <w:pStyle w:val="FirstParagraph"/>
      </w:pPr>
      <w:r>
        <w:t xml:space="preserve">The school district has committed the following eighteen (18) violations of Massachusetts and federal law:</w:t>
      </w:r>
    </w:p>
    <w:p>
      <w:pPr>
        <w:pStyle w:val="BodyText"/>
      </w:pPr>
      <w:r>
        <w:rPr>
          <w:bCs/>
          <w:b/>
        </w:rPr>
        <w:t xml:space="preserve">Procedural Violations Under M.G.L. c. 71, §§ 37H and 37H½, and M.G.L. c. 76, § 1B:</w:t>
      </w:r>
    </w:p>
    <w:p>
      <w:pPr>
        <w:numPr>
          <w:ilvl w:val="0"/>
          <w:numId w:val="1005"/>
        </w:numPr>
        <w:pStyle w:val="Compact"/>
      </w:pPr>
      <w:r>
        <w:rPr>
          <w:bCs/>
          <w:b/>
        </w:rPr>
        <w:t xml:space="preserve">Violation 1 — Failure to provide written notice of the alleged violation of school rules</w:t>
      </w:r>
      <w:r>
        <w:t xml:space="preserve"> </w:t>
      </w:r>
      <w:r>
        <w:t xml:space="preserve">(M.G.L. c. 71, § 37H).</w:t>
      </w:r>
    </w:p>
    <w:p>
      <w:pPr>
        <w:numPr>
          <w:ilvl w:val="0"/>
          <w:numId w:val="1005"/>
        </w:numPr>
        <w:pStyle w:val="Compact"/>
      </w:pPr>
      <w:r>
        <w:rPr>
          <w:bCs/>
          <w:b/>
        </w:rPr>
        <w:t xml:space="preserve">Violation 2 — Failure to hold a hearing prior to the imposition of the summer school requirement</w:t>
      </w:r>
      <w:r>
        <w:t xml:space="preserve"> </w:t>
      </w:r>
      <w:r>
        <w:t xml:space="preserve">(M.G.L. c. 71, § 37H).</w:t>
      </w:r>
    </w:p>
    <w:p>
      <w:pPr>
        <w:numPr>
          <w:ilvl w:val="0"/>
          <w:numId w:val="1005"/>
        </w:numPr>
        <w:pStyle w:val="Compact"/>
      </w:pPr>
      <w:r>
        <w:rPr>
          <w:bCs/>
          <w:b/>
        </w:rPr>
        <w:t xml:space="preserve">Violation 3 — Failure to provide written notice of the right to appeal</w:t>
      </w:r>
      <w:r>
        <w:t xml:space="preserve"> </w:t>
      </w:r>
      <w:r>
        <w:t xml:space="preserve">(M.G.L. c. 71, § 37H).</w:t>
      </w:r>
    </w:p>
    <w:p>
      <w:pPr>
        <w:numPr>
          <w:ilvl w:val="0"/>
          <w:numId w:val="1005"/>
        </w:numPr>
        <w:pStyle w:val="Compact"/>
      </w:pPr>
      <w:r>
        <w:rPr>
          <w:bCs/>
          <w:b/>
        </w:rPr>
        <w:t xml:space="preserve">Violation 4 — Failure to provide written notice of the right to a hearing under § 37H½</w:t>
      </w:r>
      <w:r>
        <w:t xml:space="preserve"> </w:t>
      </w:r>
      <w:r>
        <w:t xml:space="preserve">(M.G.L. c. 76, § 37H½).</w:t>
      </w:r>
    </w:p>
    <w:p>
      <w:pPr>
        <w:numPr>
          <w:ilvl w:val="0"/>
          <w:numId w:val="1005"/>
        </w:numPr>
        <w:pStyle w:val="Compact"/>
      </w:pPr>
      <w:r>
        <w:rPr>
          <w:bCs/>
          <w:b/>
        </w:rPr>
        <w:t xml:space="preserve">Violation 5 — Failure to provide the parent an opportunity to be heard at a meaningful time and in a meaningful manner.</w:t>
      </w:r>
    </w:p>
    <w:p>
      <w:pPr>
        <w:numPr>
          <w:ilvl w:val="0"/>
          <w:numId w:val="1005"/>
        </w:numPr>
        <w:pStyle w:val="Compact"/>
      </w:pPr>
      <w:r>
        <w:rPr>
          <w:bCs/>
          <w:b/>
        </w:rPr>
        <w:t xml:space="preserve">Violation 6 — Failure to provide the parent the right to counsel.</w:t>
      </w:r>
    </w:p>
    <w:p>
      <w:pPr>
        <w:numPr>
          <w:ilvl w:val="0"/>
          <w:numId w:val="1005"/>
        </w:numPr>
        <w:pStyle w:val="Compact"/>
      </w:pPr>
      <w:r>
        <w:rPr>
          <w:bCs/>
          <w:b/>
        </w:rPr>
        <w:t xml:space="preserve">Violation 7 — Failure to provide the parent the right to present evidence and to confront witnesses.</w:t>
      </w:r>
    </w:p>
    <w:p>
      <w:pPr>
        <w:numPr>
          <w:ilvl w:val="0"/>
          <w:numId w:val="1005"/>
        </w:numPr>
        <w:pStyle w:val="Compact"/>
      </w:pPr>
      <w:r>
        <w:rPr>
          <w:bCs/>
          <w:b/>
        </w:rPr>
        <w:t xml:space="preserve">Violation 8 — Failure to provide a written decision stating the basis for the sanction.</w:t>
      </w:r>
    </w:p>
    <w:p>
      <w:pPr>
        <w:numPr>
          <w:ilvl w:val="0"/>
          <w:numId w:val="1005"/>
        </w:numPr>
        <w:pStyle w:val="Compact"/>
      </w:pPr>
      <w:r>
        <w:rPr>
          <w:bCs/>
          <w:b/>
        </w:rPr>
        <w:t xml:space="preserve">Violation 9 — Failure to publish and follow the disciplinary procedures in the student handbook.</w:t>
      </w:r>
    </w:p>
    <w:p>
      <w:pPr>
        <w:numPr>
          <w:ilvl w:val="0"/>
          <w:numId w:val="1005"/>
        </w:numPr>
        <w:pStyle w:val="Compact"/>
      </w:pPr>
      <w:r>
        <w:rPr>
          <w:bCs/>
          <w:b/>
        </w:rPr>
        <w:t xml:space="preserve">Violation 10 — Failure to apply the disciplinary procedures uniformly to all students</w:t>
      </w:r>
      <w:r>
        <w:t xml:space="preserve"> </w:t>
      </w:r>
      <w:r>
        <w:t xml:space="preserve">(M.G.L. c. 76, § 1B).</w:t>
      </w:r>
    </w:p>
    <w:p>
      <w:pPr>
        <w:pStyle w:val="FirstParagraph"/>
      </w:pPr>
      <w:r>
        <w:rPr>
          <w:bCs/>
          <w:b/>
        </w:rPr>
        <w:t xml:space="preserve">IDEA / Section 504 / 14th Amendment Violations:</w:t>
      </w:r>
    </w:p>
    <w:p>
      <w:pPr>
        <w:numPr>
          <w:ilvl w:val="0"/>
          <w:numId w:val="1006"/>
        </w:numPr>
        <w:pStyle w:val="Compact"/>
      </w:pPr>
      <w:r>
        <w:rPr>
          <w:bCs/>
          <w:b/>
        </w:rPr>
        <w:t xml:space="preserve">Violation 11 — Failure to conduct a manifestation determination review before the change in placement</w:t>
      </w:r>
      <w:r>
        <w:t xml:space="preserve"> </w:t>
      </w:r>
      <w:r>
        <w:t xml:space="preserve">(34 C.F.R. § 300.530(e)).</w:t>
      </w:r>
    </w:p>
    <w:p>
      <w:pPr>
        <w:numPr>
          <w:ilvl w:val="0"/>
          <w:numId w:val="1006"/>
        </w:numPr>
        <w:pStyle w:val="Compact"/>
      </w:pPr>
      <w:r>
        <w:rPr>
          <w:bCs/>
          <w:b/>
        </w:rPr>
        <w:t xml:space="preserve">Violation 12 — Failure to provide the Section 504 procedural safeguards notice</w:t>
      </w:r>
      <w:r>
        <w:t xml:space="preserve"> </w:t>
      </w:r>
      <w:r>
        <w:t xml:space="preserve">(34 C.F.R. § 104.36).</w:t>
      </w:r>
    </w:p>
    <w:p>
      <w:pPr>
        <w:numPr>
          <w:ilvl w:val="0"/>
          <w:numId w:val="1006"/>
        </w:numPr>
        <w:pStyle w:val="Compact"/>
      </w:pPr>
      <w:r>
        <w:rPr>
          <w:bCs/>
          <w:b/>
        </w:rPr>
        <w:t xml:space="preserve">Violation 13 — Failure to engage in the Section 504 interactive process</w:t>
      </w:r>
      <w:r>
        <w:t xml:space="preserve"> </w:t>
      </w:r>
      <w:r>
        <w:t xml:space="preserve">(34 C.F.R. § 104.36).</w:t>
      </w:r>
    </w:p>
    <w:p>
      <w:pPr>
        <w:numPr>
          <w:ilvl w:val="0"/>
          <w:numId w:val="1006"/>
        </w:numPr>
        <w:pStyle w:val="Compact"/>
      </w:pPr>
      <w:r>
        <w:rPr>
          <w:bCs/>
          <w:b/>
        </w:rPr>
        <w:t xml:space="preserve">Violation 14 — Failure to evaluate the student under 34 C.F.R. § 104.35</w:t>
      </w:r>
      <w:r>
        <w:t xml:space="preserve"> </w:t>
      </w:r>
      <w:r>
        <w:t xml:space="preserve">upon notice of the late-day absence pattern, the academic-against-attendance divergence, and the bullying incidents.</w:t>
      </w:r>
    </w:p>
    <w:p>
      <w:pPr>
        <w:numPr>
          <w:ilvl w:val="0"/>
          <w:numId w:val="1006"/>
        </w:numPr>
        <w:pStyle w:val="Compact"/>
      </w:pPr>
      <w:r>
        <w:rPr>
          <w:bCs/>
          <w:b/>
        </w:rPr>
        <w:t xml:space="preserve">Violation 15 — Failure to convene the IEP team before imposing a consequence that constitutes a change in placement</w:t>
      </w:r>
      <w:r>
        <w:t xml:space="preserve"> </w:t>
      </w:r>
      <w:r>
        <w:t xml:space="preserve">(34 C.F.R. § 300.324; 603 CMR 28.02(21); 603 CMR 28.07(1)(a)).</w:t>
      </w:r>
    </w:p>
    <w:p>
      <w:pPr>
        <w:numPr>
          <w:ilvl w:val="0"/>
          <w:numId w:val="1006"/>
        </w:numPr>
        <w:pStyle w:val="Compact"/>
      </w:pPr>
      <w:r>
        <w:rPr>
          <w:bCs/>
          <w:b/>
        </w:rPr>
        <w:t xml:space="preserve">Violation 16 — Failure to provide FAPE in the least restrictive environment</w:t>
      </w:r>
      <w:r>
        <w:t xml:space="preserve"> </w:t>
      </w:r>
      <w:r>
        <w:t xml:space="preserve">(34 C.F.R. § 300.101; 20 U.S.C. § 1412(a)(5)).</w:t>
      </w:r>
    </w:p>
    <w:p>
      <w:pPr>
        <w:numPr>
          <w:ilvl w:val="0"/>
          <w:numId w:val="1006"/>
        </w:numPr>
        <w:pStyle w:val="Compact"/>
      </w:pPr>
      <w:r>
        <w:rPr>
          <w:bCs/>
          <w:b/>
        </w:rPr>
        <w:t xml:space="preserve">Violation 17 — Failure to provide reasonable accommodations under Section 504</w:t>
      </w:r>
      <w:r>
        <w:t xml:space="preserve"> </w:t>
      </w:r>
      <w:r>
        <w:t xml:space="preserve">(34 C.F.R. § 104.44) and Title II of the ADA (28 C.F.R. § 35.130).</w:t>
      </w:r>
    </w:p>
    <w:p>
      <w:pPr>
        <w:numPr>
          <w:ilvl w:val="0"/>
          <w:numId w:val="1006"/>
        </w:numPr>
        <w:pStyle w:val="Compact"/>
      </w:pPr>
      <w:r>
        <w:rPr>
          <w:bCs/>
          <w:b/>
        </w:rPr>
        <w:t xml:space="preserve">Violation 18 — Disability-based disparate impact of the attendance-enforcement policy as applied to a student with a documented disability.</w:t>
      </w:r>
    </w:p>
    <w:p>
      <w:r>
        <w:pict>
          <v:rect style="width:0;height:1.5pt" o:hralign="center" o:hrstd="t" o:hr="t"/>
        </w:pict>
      </w:r>
    </w:p>
    <w:bookmarkEnd w:id="42"/>
    <w:bookmarkStart w:id="43" w:name="ix.-remedy-sought"/>
    <w:p>
      <w:pPr>
        <w:pStyle w:val="Heading2"/>
      </w:pPr>
      <w:r>
        <w:t xml:space="preserve">IX. REMEDY SOUGHT</w:t>
      </w:r>
    </w:p>
    <w:p>
      <w:pPr>
        <w:pStyle w:val="FirstParagraph"/>
      </w:pPr>
      <w:r>
        <w:t xml:space="preserve">The undersigned respectfully requests that the Superintendent, the School Committee, and the Chairman of the Board:</w:t>
      </w:r>
    </w:p>
    <w:p>
      <w:pPr>
        <w:numPr>
          <w:ilvl w:val="0"/>
          <w:numId w:val="1007"/>
        </w:numPr>
        <w:pStyle w:val="Compact"/>
      </w:pPr>
      <w:r>
        <w:rPr>
          <w:bCs/>
          <w:b/>
        </w:rPr>
        <w:t xml:space="preserve">Rescind</w:t>
      </w:r>
      <w:r>
        <w:t xml:space="preserve"> </w:t>
      </w:r>
      <w:r>
        <w:t xml:space="preserve">the summer school requirement in its entirety.</w:t>
      </w:r>
    </w:p>
    <w:p>
      <w:pPr>
        <w:numPr>
          <w:ilvl w:val="0"/>
          <w:numId w:val="1007"/>
        </w:numPr>
        <w:pStyle w:val="Compact"/>
      </w:pPr>
      <w:r>
        <w:rPr>
          <w:bCs/>
          <w:b/>
        </w:rPr>
        <w:t xml:space="preserve">Remove</w:t>
      </w:r>
      <w:r>
        <w:t xml:space="preserve"> </w:t>
      </w:r>
      <w:r>
        <w:t xml:space="preserve">the NC/CP designations from Angelina’s transcript and replace them with the grades she earned.</w:t>
      </w:r>
    </w:p>
    <w:p>
      <w:pPr>
        <w:numPr>
          <w:ilvl w:val="0"/>
          <w:numId w:val="1007"/>
        </w:numPr>
        <w:pStyle w:val="Compact"/>
      </w:pPr>
      <w:r>
        <w:rPr>
          <w:bCs/>
          <w:b/>
        </w:rPr>
        <w:t xml:space="preserve">Acknowledge in writing</w:t>
      </w:r>
      <w:r>
        <w:t xml:space="preserve"> </w:t>
      </w:r>
      <w:r>
        <w:t xml:space="preserve">the 18 enumerated violations above.</w:t>
      </w:r>
    </w:p>
    <w:p>
      <w:pPr>
        <w:numPr>
          <w:ilvl w:val="0"/>
          <w:numId w:val="1007"/>
        </w:numPr>
        <w:pStyle w:val="Compact"/>
      </w:pPr>
      <w:r>
        <w:rPr>
          <w:bCs/>
          <w:b/>
        </w:rPr>
        <w:t xml:space="preserve">Initiate</w:t>
      </w:r>
      <w:r>
        <w:t xml:space="preserve"> </w:t>
      </w:r>
      <w:r>
        <w:t xml:space="preserve">the Section 504 interactive process and provide the parent with the Section 504 procedural safeguards notice.</w:t>
      </w:r>
    </w:p>
    <w:p>
      <w:pPr>
        <w:numPr>
          <w:ilvl w:val="0"/>
          <w:numId w:val="1007"/>
        </w:numPr>
        <w:pStyle w:val="Compact"/>
      </w:pPr>
      <w:r>
        <w:rPr>
          <w:bCs/>
          <w:b/>
        </w:rPr>
        <w:t xml:space="preserve">Convene</w:t>
      </w:r>
      <w:r>
        <w:t xml:space="preserve"> </w:t>
      </w:r>
      <w:r>
        <w:t xml:space="preserve">the IEP team within ten (10) school days to determine whether the absences were a manifestation of disability and to determine whether compensatory services are required.</w:t>
      </w:r>
    </w:p>
    <w:p>
      <w:pPr>
        <w:numPr>
          <w:ilvl w:val="0"/>
          <w:numId w:val="1007"/>
        </w:numPr>
        <w:pStyle w:val="Compact"/>
      </w:pPr>
      <w:r>
        <w:rPr>
          <w:bCs/>
          <w:b/>
        </w:rPr>
        <w:t xml:space="preserve">Conduct</w:t>
      </w:r>
      <w:r>
        <w:t xml:space="preserve"> </w:t>
      </w:r>
      <w:r>
        <w:t xml:space="preserve">a 504 evaluation under 34 C.F.R. § 104.35.</w:t>
      </w:r>
    </w:p>
    <w:p>
      <w:pPr>
        <w:numPr>
          <w:ilvl w:val="0"/>
          <w:numId w:val="1007"/>
        </w:numPr>
        <w:pStyle w:val="Compact"/>
      </w:pPr>
      <w:r>
        <w:rPr>
          <w:bCs/>
          <w:b/>
        </w:rPr>
        <w:t xml:space="preserve">Provide</w:t>
      </w:r>
      <w:r>
        <w:t xml:space="preserve"> </w:t>
      </w:r>
      <w:r>
        <w:t xml:space="preserve">a written commitment that the attendance-enforcement policy will be applied uniformly to all students in conformity with M.G.L. c. 76, § 1B.</w:t>
      </w:r>
    </w:p>
    <w:p>
      <w:pPr>
        <w:numPr>
          <w:ilvl w:val="0"/>
          <w:numId w:val="1007"/>
        </w:numPr>
        <w:pStyle w:val="Compact"/>
      </w:pPr>
      <w:r>
        <w:rPr>
          <w:bCs/>
          <w:b/>
        </w:rPr>
        <w:t xml:space="preserve">Provide</w:t>
      </w:r>
      <w:r>
        <w:t xml:space="preserve"> </w:t>
      </w:r>
      <w:r>
        <w:t xml:space="preserve">a written commitment that the procedural protections of M.G.L. c. 71, §§ 37H and 37H½ will be provided to all students in connection with any future attendance-driven credit penalty.</w:t>
      </w:r>
    </w:p>
    <w:p>
      <w:r>
        <w:pict>
          <v:rect style="width:0;height:1.5pt" o:hralign="center" o:hrstd="t" o:hr="t"/>
        </w:pict>
      </w:r>
    </w:p>
    <w:bookmarkEnd w:id="43"/>
    <w:bookmarkStart w:id="44" w:name="x.-procedural-deadlines"/>
    <w:p>
      <w:pPr>
        <w:pStyle w:val="Heading2"/>
      </w:pPr>
      <w:r>
        <w:t xml:space="preserve">X. PROCEDURAL DEADLINES</w:t>
      </w:r>
    </w:p>
    <w:p>
      <w:pPr>
        <w:numPr>
          <w:ilvl w:val="0"/>
          <w:numId w:val="1008"/>
        </w:numPr>
        <w:pStyle w:val="Compact"/>
      </w:pPr>
      <w:r>
        <w:rPr>
          <w:bCs/>
          <w:b/>
        </w:rPr>
        <w:t xml:space="preserve">June 26, 2026 (Close of Business):</w:t>
      </w:r>
      <w:r>
        <w:t xml:space="preserve"> </w:t>
      </w:r>
      <w:r>
        <w:t xml:space="preserve">Compliance deadline. The school was put on written notice on or before this date that the action complained of is void and that the procedural and substantive violations identified in this appeal are required to be cured. Failure to cure by COB June 26, 2026 is itself a continuing violation.</w:t>
      </w:r>
    </w:p>
    <w:p>
      <w:pPr>
        <w:numPr>
          <w:ilvl w:val="0"/>
          <w:numId w:val="1008"/>
        </w:numPr>
        <w:pStyle w:val="Compact"/>
      </w:pPr>
      <w:r>
        <w:rPr>
          <w:bCs/>
          <w:b/>
        </w:rPr>
        <w:t xml:space="preserve">July 1, 2026:</w:t>
      </w:r>
      <w:r>
        <w:t xml:space="preserve"> </w:t>
      </w:r>
      <w:r>
        <w:t xml:space="preserve">Deadline for the Principal (Scott Palladino) to respond to the parent’s records challenge under 603 CMR 23.07. (Note: Principal is out of office until July 7, 2026 — designate a substitute in writing.)</w:t>
      </w:r>
    </w:p>
    <w:p>
      <w:pPr>
        <w:numPr>
          <w:ilvl w:val="0"/>
          <w:numId w:val="1008"/>
        </w:numPr>
        <w:pStyle w:val="Compact"/>
      </w:pPr>
      <w:r>
        <w:rPr>
          <w:bCs/>
          <w:b/>
        </w:rPr>
        <w:t xml:space="preserve">July 15, 2026:</w:t>
      </w:r>
      <w:r>
        <w:t xml:space="preserve"> </w:t>
      </w:r>
      <w:r>
        <w:t xml:space="preserve">Deadline for the Superintendent (Matthew</w:t>
      </w:r>
      <w:r>
        <w:t xml:space="preserve"> </w:t>
      </w:r>
      <w:r>
        <w:t xml:space="preserve">“</w:t>
      </w:r>
      <w:r>
        <w:t xml:space="preserve">Matt</w:t>
      </w:r>
      <w:r>
        <w:t xml:space="preserve">”</w:t>
      </w:r>
      <w:r>
        <w:t xml:space="preserve"> </w:t>
      </w:r>
      <w:r>
        <w:t xml:space="preserve">D’Andrea, Ed.D.) to respond to the parent’s appeal under 603 CMR 23.08.</w:t>
      </w:r>
    </w:p>
    <w:p>
      <w:pPr>
        <w:numPr>
          <w:ilvl w:val="0"/>
          <w:numId w:val="1008"/>
        </w:numPr>
        <w:pStyle w:val="Compact"/>
      </w:pPr>
      <w:r>
        <w:rPr>
          <w:bCs/>
          <w:b/>
        </w:rPr>
        <w:t xml:space="preserve">Within 30 days of appeal:</w:t>
      </w:r>
      <w:r>
        <w:t xml:space="preserve"> </w:t>
      </w:r>
      <w:r>
        <w:t xml:space="preserve">Deadline for the Wareham School Committee to convene a Fair Hearing under 603 CMR 23.09.</w:t>
      </w:r>
    </w:p>
    <w:p>
      <w:pPr>
        <w:numPr>
          <w:ilvl w:val="0"/>
          <w:numId w:val="1008"/>
        </w:numPr>
        <w:pStyle w:val="Compact"/>
      </w:pPr>
      <w:r>
        <w:t xml:space="preserve">The 603 CMR 23.00 timeline runs on calendar days. Summer break does not pause, toll, or extend any deadline.</w:t>
      </w:r>
    </w:p>
    <w:p>
      <w:r>
        <w:pict>
          <v:rect style="width:0;height:1.5pt" o:hralign="center" o:hrstd="t" o:hr="t"/>
        </w:pict>
      </w:r>
    </w:p>
    <w:bookmarkEnd w:id="44"/>
    <w:bookmarkStart w:id="45" w:name="xi.-governing-case-law"/>
    <w:p>
      <w:pPr>
        <w:pStyle w:val="Heading2"/>
      </w:pPr>
      <w:r>
        <w:t xml:space="preserve">XI. GOVERNING CASE LAW</w:t>
      </w:r>
    </w:p>
    <w:p>
      <w:pPr>
        <w:numPr>
          <w:ilvl w:val="0"/>
          <w:numId w:val="1009"/>
        </w:numPr>
        <w:pStyle w:val="Compact"/>
      </w:pPr>
      <w:r>
        <w:rPr>
          <w:bCs/>
          <w:b/>
        </w:rPr>
        <w:t xml:space="preserve">Goodwin v. Lee Public Schools, 475 Mass. 280 (2016)</w:t>
      </w:r>
      <w:r>
        <w:t xml:space="preserve"> </w:t>
      </w:r>
      <w:r>
        <w:t xml:space="preserve">— The Supreme Judicial Court held that a suspension under § 37H½ without a felony complaint issuing is unlawful. The case establishes that the procedural protections of § 37H½ apply strictly to felony suspensions and cannot be invoked for other purposes.</w:t>
      </w:r>
    </w:p>
    <w:p>
      <w:pPr>
        <w:numPr>
          <w:ilvl w:val="0"/>
          <w:numId w:val="1009"/>
        </w:numPr>
        <w:pStyle w:val="Compact"/>
      </w:pPr>
      <w:r>
        <w:rPr>
          <w:bCs/>
          <w:b/>
        </w:rPr>
        <w:t xml:space="preserve">Hampden 2017 (BSEA)</w:t>
      </w:r>
      <w:r>
        <w:t xml:space="preserve"> </w:t>
      </w:r>
      <w:r>
        <w:t xml:space="preserve">— The BSEA held that it lacks jurisdiction over credit restoration when the IEP does not reference attendance. Here, the school never convened an IEP meeting to address attendance; the school cannot use its own procedural failure as a defense.</w:t>
      </w:r>
    </w:p>
    <w:p>
      <w:pPr>
        <w:numPr>
          <w:ilvl w:val="0"/>
          <w:numId w:val="1009"/>
        </w:numPr>
        <w:pStyle w:val="Compact"/>
      </w:pPr>
      <w:r>
        <w:rPr>
          <w:bCs/>
          <w:b/>
        </w:rPr>
        <w:t xml:space="preserve">Goss v. Lopez, 419 U.S. 565 (1975)</w:t>
      </w:r>
      <w:r>
        <w:t xml:space="preserve"> </w:t>
      </w:r>
      <w:r>
        <w:t xml:space="preserve">— Procedural due process under the 14th Amendment applies to any removal that affects a property interest in education.</w:t>
      </w:r>
    </w:p>
    <w:p>
      <w:pPr>
        <w:numPr>
          <w:ilvl w:val="0"/>
          <w:numId w:val="1009"/>
        </w:numPr>
        <w:pStyle w:val="Compact"/>
      </w:pPr>
      <w:r>
        <w:rPr>
          <w:bCs/>
          <w:b/>
        </w:rPr>
        <w:t xml:space="preserve">Tonya K. v. Barnstable, 424 Mass. 763 (1997)</w:t>
      </w:r>
      <w:r>
        <w:t xml:space="preserve"> </w:t>
      </w:r>
      <w:r>
        <w:t xml:space="preserve">— Ambiguities in school discipline rules are construed against the drafter.</w:t>
      </w:r>
    </w:p>
    <w:p>
      <w:r>
        <w:pict>
          <v:rect style="width:0;height:1.5pt" o:hralign="center" o:hrstd="t" o:hr="t"/>
        </w:pict>
      </w:r>
    </w:p>
    <w:bookmarkEnd w:id="45"/>
    <w:bookmarkStart w:id="46" w:name="xii.-enclosures"/>
    <w:p>
      <w:pPr>
        <w:pStyle w:val="Heading2"/>
      </w:pPr>
      <w:r>
        <w:t xml:space="preserve">XII. ENCLOSURES</w:t>
      </w:r>
    </w:p>
    <w:p>
      <w:pPr>
        <w:numPr>
          <w:ilvl w:val="0"/>
          <w:numId w:val="1010"/>
        </w:numPr>
        <w:pStyle w:val="Compact"/>
      </w:pPr>
      <w:r>
        <w:t xml:space="preserve">PowerSchool Attendance Records (Angelina Crooker, 2025-2026)</w:t>
      </w:r>
    </w:p>
    <w:p>
      <w:pPr>
        <w:numPr>
          <w:ilvl w:val="0"/>
          <w:numId w:val="1010"/>
        </w:numPr>
        <w:pStyle w:val="Compact"/>
      </w:pPr>
      <w:r>
        <w:t xml:space="preserve">Dean Christine Cinelli Email (June 23, 2026) — Complete Absence List with A/X Codes</w:t>
      </w:r>
    </w:p>
    <w:p>
      <w:pPr>
        <w:numPr>
          <w:ilvl w:val="0"/>
          <w:numId w:val="1010"/>
        </w:numPr>
        <w:pStyle w:val="Compact"/>
      </w:pPr>
      <w:r>
        <w:t xml:space="preserve">PowerSchool Attendance Code Legend</w:t>
      </w:r>
    </w:p>
    <w:p>
      <w:pPr>
        <w:numPr>
          <w:ilvl w:val="0"/>
          <w:numId w:val="1010"/>
        </w:numPr>
        <w:pStyle w:val="Compact"/>
      </w:pPr>
      <w:r>
        <w:t xml:space="preserve">Wareham High School Handbook Pages 42-45</w:t>
      </w:r>
    </w:p>
    <w:p>
      <w:pPr>
        <w:numPr>
          <w:ilvl w:val="0"/>
          <w:numId w:val="1010"/>
        </w:numPr>
        <w:pStyle w:val="Compact"/>
      </w:pPr>
      <w:r>
        <w:t xml:space="preserve">Two Honor Roll Certificates (Angelina Crooker, 2025-2026)</w:t>
      </w:r>
    </w:p>
    <w:p>
      <w:pPr>
        <w:numPr>
          <w:ilvl w:val="0"/>
          <w:numId w:val="1010"/>
        </w:numPr>
        <w:pStyle w:val="Compact"/>
      </w:pPr>
      <w:r>
        <w:t xml:space="preserve">Grade Reports Q1 through Q4</w:t>
      </w:r>
    </w:p>
    <w:p>
      <w:pPr>
        <w:numPr>
          <w:ilvl w:val="0"/>
          <w:numId w:val="1010"/>
        </w:numPr>
        <w:pStyle w:val="Compact"/>
      </w:pPr>
      <w:r>
        <w:t xml:space="preserve">Active IEP (with redactions for FERPA compliance)</w:t>
      </w:r>
    </w:p>
    <w:p>
      <w:pPr>
        <w:numPr>
          <w:ilvl w:val="0"/>
          <w:numId w:val="1010"/>
        </w:numPr>
        <w:pStyle w:val="Compact"/>
      </w:pPr>
      <w:r>
        <w:t xml:space="preserve">Family Gmail Search Results — Zero School Communications</w:t>
      </w:r>
    </w:p>
    <w:p>
      <w:pPr>
        <w:numPr>
          <w:ilvl w:val="0"/>
          <w:numId w:val="1010"/>
        </w:numPr>
        <w:pStyle w:val="Compact"/>
      </w:pPr>
      <w:r>
        <w:t xml:space="preserve">Final Demand Letter (June 24, 2026)</w:t>
      </w:r>
    </w:p>
    <w:p>
      <w:pPr>
        <w:numPr>
          <w:ilvl w:val="0"/>
          <w:numId w:val="1010"/>
        </w:numPr>
        <w:pStyle w:val="Compact"/>
      </w:pPr>
      <w:r>
        <w:t xml:space="preserve">Formal Appeal (Integrated, June 24, 2026)</w:t>
      </w:r>
    </w:p>
    <w:p>
      <w:pPr>
        <w:numPr>
          <w:ilvl w:val="0"/>
          <w:numId w:val="1010"/>
        </w:numPr>
        <w:pStyle w:val="Compact"/>
      </w:pPr>
      <w:r>
        <w:t xml:space="preserve">DESE Problem Resolution System Complaint (June 24, 2026)</w:t>
      </w:r>
    </w:p>
    <w:p>
      <w:pPr>
        <w:numPr>
          <w:ilvl w:val="0"/>
          <w:numId w:val="1010"/>
        </w:numPr>
        <w:pStyle w:val="Compact"/>
      </w:pPr>
      <w:r>
        <w:t xml:space="preserve">BSEA Hearing Request Letter (June 24, 2026)</w:t>
      </w:r>
    </w:p>
    <w:p>
      <w:pPr>
        <w:numPr>
          <w:ilvl w:val="0"/>
          <w:numId w:val="1010"/>
        </w:numPr>
        <w:pStyle w:val="Compact"/>
      </w:pPr>
      <w:r>
        <w:t xml:space="preserve">Consolidated Case Brief (June 30, 2026)</w:t>
      </w:r>
    </w:p>
    <w:p>
      <w:pPr>
        <w:numPr>
          <w:ilvl w:val="0"/>
          <w:numId w:val="1010"/>
        </w:numPr>
        <w:pStyle w:val="Compact"/>
      </w:pPr>
      <w:r>
        <w:t xml:space="preserve">Public Records Request (June 24, 2026)</w:t>
      </w:r>
    </w:p>
    <w:p>
      <w:pPr>
        <w:numPr>
          <w:ilvl w:val="0"/>
          <w:numId w:val="1010"/>
        </w:numPr>
        <w:pStyle w:val="Compact"/>
      </w:pPr>
      <w:r>
        <w:t xml:space="preserve">603 CMR 23.00 Records Challenge (June 24, 2026)</w:t>
      </w:r>
    </w:p>
    <w:p>
      <w:r>
        <w:pict>
          <v:rect style="width:0;height:1.5pt" o:hralign="center" o:hrstd="t" o:hr="t"/>
        </w:pict>
      </w:r>
    </w:p>
    <w:bookmarkEnd w:id="46"/>
    <w:bookmarkStart w:id="47" w:name="xiii.-conclusion"/>
    <w:p>
      <w:pPr>
        <w:pStyle w:val="Heading2"/>
      </w:pPr>
      <w:r>
        <w:t xml:space="preserve">XIII. CONCLUSION</w:t>
      </w:r>
    </w:p>
    <w:p>
      <w:pPr>
        <w:pStyle w:val="FirstParagraph"/>
      </w:pPr>
      <w:r>
        <w:t xml:space="preserve">This is not a request for leniency. This is a request for compliance with the law. The school was required to follow its own published policy, the procedural protections of M.G.L. c. 71, §§ 37H and 37H½, the IDEA, and Section 504. The school did none of these things. The penalty is therefore void.</w:t>
      </w:r>
    </w:p>
    <w:p>
      <w:pPr>
        <w:pStyle w:val="BodyText"/>
      </w:pPr>
      <w:r>
        <w:t xml:space="preserve">I am available to meet at any time during business hours on or before July 7, 2026. After that date, I will pursue all available administrative, civil-rights, and judicial remedies without further notice.</w:t>
      </w:r>
    </w:p>
    <w:p>
      <w:pPr>
        <w:pStyle w:val="BodyText"/>
      </w:pPr>
      <w:r>
        <w:t xml:space="preserve">Respectfully submitted,</w:t>
      </w:r>
    </w:p>
    <w:p>
      <w:pPr>
        <w:pStyle w:val="BodyText"/>
      </w:pPr>
      <w:r>
        <w:rPr>
          <w:bCs/>
          <w:b/>
        </w:rPr>
        <w:t xml:space="preserve">Sarah Crooker</w:t>
      </w:r>
      <w:r>
        <w:t xml:space="preserve"> </w:t>
      </w:r>
      <w:r>
        <w:t xml:space="preserve">Parent of Angelina Karima Crooker (Grade 9, IEP Student)</w:t>
      </w:r>
      <w:r>
        <w:t xml:space="preserve"> </w:t>
      </w:r>
      <w:r>
        <w:t xml:space="preserve">sarahcrooker586@yahoo.com</w:t>
      </w:r>
    </w:p>
    <w:p>
      <w:pPr>
        <w:pStyle w:val="BodyText"/>
      </w:pPr>
      <w:r>
        <w:t xml:space="preserve">Date: July 1, 2026</w:t>
      </w:r>
    </w:p>
    <w:p>
      <w:r>
        <w:pict>
          <v:rect style="width:0;height:1.5pt" o:hralign="center" o:hrstd="t" o:hr="t"/>
        </w:pict>
      </w:r>
    </w:p>
    <w:p>
      <w:pPr>
        <w:pStyle w:val="FirstParagraph"/>
      </w:pPr>
      <w:r>
        <w:rPr>
          <w:iCs/>
          <w:i/>
        </w:rPr>
        <w:t xml:space="preserve">This appeal is filed without prejudice to any of the parent’s other filings, all of which are incorporated by reference. The parent is not represented by counsel and the filing is pro se.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2026-07-01T20:16:45Z</dcterms:created>
  <dcterms:modified xsi:type="dcterms:W3CDTF">2026-07-01T20:16:45Z</dcterms:modified>
</cp:coreProperties>
</file>

<file path=docProps/custom.xml><?xml version="1.0" encoding="utf-8"?>
<Properties xmlns="http://schemas.openxmlformats.org/officeDocument/2006/custom-properties" xmlns:vt="http://schemas.openxmlformats.org/officeDocument/2006/docPropsVTypes"/>
</file>