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5432c4972d4364d282bcae9c86b5f5506996643"/>
    <w:p>
      <w:pPr>
        <w:pStyle w:val="Heading1"/>
      </w:pPr>
      <w:r>
        <w:t xml:space="preserve">CONSOLIDATED CASE BRIEF — Angelina Karima Crooker</w:t>
      </w:r>
    </w:p>
    <w:bookmarkStart w:id="21" w:name="X83fa319fbaa288826299bbb4537c43c0330e11f"/>
    <w:p>
      <w:pPr>
        <w:pStyle w:val="Heading2"/>
      </w:pPr>
      <w:r>
        <w:t xml:space="preserve">Wareham High School Summer School / NC-CP Designation Challenge</w:t>
      </w:r>
    </w:p>
    <w:bookmarkStart w:id="20" w:name="june-30-2026"/>
    <w:p>
      <w:pPr>
        <w:pStyle w:val="Heading3"/>
      </w:pPr>
      <w:r>
        <w:t xml:space="preserve">June 30, 2026</w:t>
      </w:r>
    </w:p>
    <w:p>
      <w:pPr>
        <w:pStyle w:val="FirstParagraph"/>
      </w:pPr>
      <w:r>
        <w:rPr>
          <w:bCs/>
          <w:b/>
        </w:rPr>
        <w:t xml:space="preserve">To:</w:t>
      </w:r>
      <w:r>
        <w:t xml:space="preserve"> </w:t>
      </w:r>
      <w:r>
        <w:t xml:space="preserve">Dr. Amy Hartley-Matteson, Superintendent, Wareham Public Schools</w:t>
      </w:r>
      <w:r>
        <w:t xml:space="preserve"> </w:t>
      </w:r>
      <w:r>
        <w:rPr>
          <w:bCs/>
          <w:b/>
        </w:rPr>
        <w:t xml:space="preserve">Cc:</w:t>
      </w:r>
      <w:r>
        <w:t xml:space="preserve"> </w:t>
      </w:r>
      <w:r>
        <w:t xml:space="preserve">Wareham Public Schools School Committee</w:t>
      </w:r>
      <w:r>
        <w:t xml:space="preserve"> </w:t>
      </w:r>
      <w:r>
        <w:rPr>
          <w:bCs/>
          <w:b/>
        </w:rPr>
        <w:t xml:space="preserve">Cc:</w:t>
      </w:r>
      <w:r>
        <w:t xml:space="preserve"> </w:t>
      </w:r>
      <w:r>
        <w:t xml:space="preserve">Principal Scott Palladino, Wareham High School</w:t>
      </w:r>
      <w:r>
        <w:t xml:space="preserve"> </w:t>
      </w:r>
      <w:r>
        <w:rPr>
          <w:bCs/>
          <w:b/>
        </w:rPr>
        <w:t xml:space="preserve">From:</w:t>
      </w:r>
      <w:r>
        <w:t xml:space="preserve"> </w:t>
      </w:r>
      <w:r>
        <w:t xml:space="preserve">Sarah Crooker, Parent of Angelina Karima Crooker (Grade 9)</w:t>
      </w:r>
      <w:r>
        <w:t xml:space="preserve"> </w:t>
      </w:r>
      <w:r>
        <w:rPr>
          <w:bCs/>
          <w:b/>
        </w:rPr>
        <w:t xml:space="preserve">Date:</w:t>
      </w:r>
      <w:r>
        <w:t xml:space="preserve"> </w:t>
      </w:r>
      <w:r>
        <w:t xml:space="preserve">June 30, 2026</w:t>
      </w:r>
    </w:p>
    <w:p>
      <w:pPr>
        <w:pStyle w:val="BodyText"/>
      </w:pPr>
      <w:r>
        <w:rPr>
          <w:bCs/>
          <w:b/>
        </w:rPr>
        <w:t xml:space="preserve">Counsel: Pro se</w:t>
      </w:r>
    </w:p>
    <w:p>
      <w:r>
        <w:pict>
          <v:rect style="width:0;height:1.5pt" o:hralign="center" o:hrstd="t" o:hr="t"/>
        </w:pict>
      </w:r>
    </w:p>
    <w:bookmarkEnd w:id="20"/>
    <w:bookmarkEnd w:id="21"/>
    <w:bookmarkStart w:id="22" w:name="i.-summary-of-the-dispute"/>
    <w:p>
      <w:pPr>
        <w:pStyle w:val="Heading2"/>
      </w:pPr>
      <w:r>
        <w:t xml:space="preserve">I. SUMMARY OF THE DISPUTE</w:t>
      </w:r>
    </w:p>
    <w:p>
      <w:pPr>
        <w:pStyle w:val="FirstParagraph"/>
      </w:pPr>
      <w:r>
        <w:t xml:space="preserve">The Wareham High School administration is requiring Angelina Crooker to attend summer school and has placed Credit Pending and No Credit designations on her academic record. The school’s position rests on sixteen total absences — eleven unexcused, five excused — recorded in its own PowerSchool system.</w:t>
      </w:r>
    </w:p>
    <w:p>
      <w:pPr>
        <w:pStyle w:val="BodyText"/>
      </w:pPr>
      <w:r>
        <w:t xml:space="preserve">The parent contests this penalty because:</w:t>
      </w:r>
    </w:p>
    <w:p>
      <w:pPr>
        <w:numPr>
          <w:ilvl w:val="0"/>
          <w:numId w:val="1001"/>
        </w:numPr>
        <w:pStyle w:val="Compact"/>
      </w:pPr>
      <w:r>
        <w:t xml:space="preserve">The school failed to follow its own published attendance intervention policy.</w:t>
      </w:r>
    </w:p>
    <w:p>
      <w:pPr>
        <w:numPr>
          <w:ilvl w:val="0"/>
          <w:numId w:val="1001"/>
        </w:numPr>
        <w:pStyle w:val="Compact"/>
      </w:pPr>
      <w:r>
        <w:t xml:space="preserve">The school provided no notification before imposing the penalty.</w:t>
      </w:r>
    </w:p>
    <w:p>
      <w:pPr>
        <w:numPr>
          <w:ilvl w:val="0"/>
          <w:numId w:val="1001"/>
        </w:numPr>
        <w:pStyle w:val="Compact"/>
      </w:pPr>
      <w:r>
        <w:t xml:space="preserve">The school’s handbook contains internal contradictions that make it unenforceable as applied.</w:t>
      </w:r>
    </w:p>
    <w:p>
      <w:pPr>
        <w:numPr>
          <w:ilvl w:val="0"/>
          <w:numId w:val="1001"/>
        </w:numPr>
        <w:pStyle w:val="Compact"/>
      </w:pPr>
      <w:r>
        <w:t xml:space="preserve">The penalty exceeds what Massachusetts General Laws and DESE guidelines support.</w:t>
      </w:r>
    </w:p>
    <w:p>
      <w:pPr>
        <w:numPr>
          <w:ilvl w:val="0"/>
          <w:numId w:val="1001"/>
        </w:numPr>
        <w:pStyle w:val="Compact"/>
      </w:pPr>
      <w:r>
        <w:t xml:space="preserve">The school ignored Angelina’s existing IEP in its handling of her attendance.</w:t>
      </w:r>
    </w:p>
    <w:p>
      <w:pPr>
        <w:pStyle w:val="FirstParagraph"/>
      </w:pPr>
      <w:r>
        <w:t xml:space="preserve">The school did not notify the parent of Angelina’s attendance at any point during the 2025-2026 school year. The first communication occurred on or about June 23, 2026 — the final week — and consisted solely of the penalty itself.</w:t>
      </w:r>
    </w:p>
    <w:bookmarkEnd w:id="22"/>
    <w:bookmarkStart w:id="27" w:name="ii.-factual-background"/>
    <w:p>
      <w:pPr>
        <w:pStyle w:val="Heading2"/>
      </w:pPr>
      <w:r>
        <w:t xml:space="preserve">II. FACTUAL BACKGROUND</w:t>
      </w:r>
    </w:p>
    <w:bookmarkStart w:id="23" w:name="a.-the-student"/>
    <w:p>
      <w:pPr>
        <w:pStyle w:val="Heading3"/>
      </w:pPr>
      <w:r>
        <w:t xml:space="preserve">A. The Student</w:t>
      </w:r>
    </w:p>
    <w:p>
      <w:pPr>
        <w:pStyle w:val="FirstParagraph"/>
      </w:pPr>
      <w:r>
        <w:t xml:space="preserve">Angelina Crooker is a ninth-grade student at Wareham High School. She has had an Individualized Education Program (IEP) since third grade. The school has been on notice of this IEP throughout the 2025-2026 school year.</w:t>
      </w:r>
    </w:p>
    <w:p>
      <w:pPr>
        <w:pStyle w:val="BodyText"/>
      </w:pPr>
      <w:r>
        <w:t xml:space="preserve">During the 2025-2026 school year:</w:t>
      </w:r>
    </w:p>
    <w:p>
      <w:pPr>
        <w:numPr>
          <w:ilvl w:val="0"/>
          <w:numId w:val="1002"/>
        </w:numPr>
        <w:pStyle w:val="Compact"/>
      </w:pPr>
      <w:r>
        <w:t xml:space="preserve">She earned Honor Roll in two of four quarters.</w:t>
      </w:r>
    </w:p>
    <w:p>
      <w:pPr>
        <w:numPr>
          <w:ilvl w:val="0"/>
          <w:numId w:val="1002"/>
        </w:numPr>
        <w:pStyle w:val="Compact"/>
      </w:pPr>
      <w:r>
        <w:t xml:space="preserve">Her grades across year-long core courses: Applied Biology (B+, A, B), English 9 CP (B+, A-, B), Algebra 1 CP (B+, A-, B-), World History CP (B-, A-, C).</w:t>
      </w:r>
    </w:p>
    <w:p>
      <w:pPr>
        <w:numPr>
          <w:ilvl w:val="0"/>
          <w:numId w:val="1002"/>
        </w:numPr>
        <w:pStyle w:val="Compact"/>
      </w:pPr>
      <w:r>
        <w:t xml:space="preserve">Her disciplinary record is clean. She has no suspensions, detentions, or office referrals.</w:t>
      </w:r>
    </w:p>
    <w:p>
      <w:pPr>
        <w:numPr>
          <w:ilvl w:val="0"/>
          <w:numId w:val="1002"/>
        </w:numPr>
        <w:pStyle w:val="Compact"/>
      </w:pPr>
      <w:r>
        <w:t xml:space="preserve">She reported bullying to the school, which the school was aware of and on notice of. Her grades did not deteriorate.</w:t>
      </w:r>
    </w:p>
    <w:p>
      <w:pPr>
        <w:numPr>
          <w:ilvl w:val="0"/>
          <w:numId w:val="1002"/>
        </w:numPr>
        <w:pStyle w:val="Compact"/>
      </w:pPr>
      <w:r>
        <w:t xml:space="preserve">In Quarter 4, she missed one day (excused). Her attendance was improving on its own.</w:t>
      </w:r>
    </w:p>
    <w:bookmarkEnd w:id="23"/>
    <w:bookmarkStart w:id="24" w:name="Xc1667244070b87fb27afbca79fe8ceaf86c1607"/>
    <w:p>
      <w:pPr>
        <w:pStyle w:val="Heading3"/>
      </w:pPr>
      <w:r>
        <w:t xml:space="preserve">B. The Attendance Record (PowerSchool, 2025-2026)</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Quarter</w:t>
            </w:r>
          </w:p>
        </w:tc>
        <w:tc>
          <w:tcPr/>
          <w:p>
            <w:pPr>
              <w:pStyle w:val="Compact"/>
              <w:jc w:val="left"/>
            </w:pPr>
            <w:r>
              <w:t xml:space="preserve">Total</w:t>
            </w:r>
          </w:p>
        </w:tc>
        <w:tc>
          <w:tcPr/>
          <w:p>
            <w:pPr>
              <w:pStyle w:val="Compact"/>
              <w:jc w:val="left"/>
            </w:pPr>
            <w:r>
              <w:t xml:space="preserve">Unexcused (A)</w:t>
            </w:r>
          </w:p>
        </w:tc>
        <w:tc>
          <w:tcPr/>
          <w:p>
            <w:pPr>
              <w:pStyle w:val="Compact"/>
              <w:jc w:val="left"/>
            </w:pPr>
            <w:r>
              <w:t xml:space="preserve">Excused (X)</w:t>
            </w:r>
          </w:p>
        </w:tc>
      </w:tr>
      <w:tr>
        <w:tc>
          <w:tcPr/>
          <w:p>
            <w:pPr>
              <w:pStyle w:val="Compact"/>
              <w:jc w:val="left"/>
            </w:pPr>
            <w:r>
              <w:t xml:space="preserve">Q1</w:t>
            </w:r>
          </w:p>
        </w:tc>
        <w:tc>
          <w:tcPr/>
          <w:p>
            <w:pPr>
              <w:pStyle w:val="Compact"/>
              <w:jc w:val="left"/>
            </w:pPr>
            <w:r>
              <w:t xml:space="preserve">7</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Q2</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Q3</w:t>
            </w:r>
          </w:p>
        </w:tc>
        <w:tc>
          <w:tcPr/>
          <w:p>
            <w:pPr>
              <w:pStyle w:val="Compact"/>
              <w:jc w:val="left"/>
            </w:pPr>
            <w:r>
              <w:t xml:space="preserve">6</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Q4</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Total</w:t>
            </w:r>
          </w:p>
        </w:tc>
        <w:tc>
          <w:tcPr/>
          <w:p>
            <w:pPr>
              <w:pStyle w:val="Compact"/>
              <w:jc w:val="left"/>
            </w:pPr>
            <w:r>
              <w:t xml:space="preserve">16</w:t>
            </w:r>
          </w:p>
        </w:tc>
        <w:tc>
          <w:tcPr/>
          <w:p>
            <w:pPr>
              <w:pStyle w:val="Compact"/>
              <w:jc w:val="left"/>
            </w:pPr>
            <w:r>
              <w:t xml:space="preserve">11</w:t>
            </w:r>
          </w:p>
        </w:tc>
        <w:tc>
          <w:tcPr/>
          <w:p>
            <w:pPr>
              <w:pStyle w:val="Compact"/>
              <w:jc w:val="left"/>
            </w:pPr>
            <w:r>
              <w:t xml:space="preserve">5</w:t>
            </w:r>
          </w:p>
        </w:tc>
      </w:tr>
    </w:tbl>
    <w:p>
      <w:pPr>
        <w:pStyle w:val="BodyText"/>
      </w:pPr>
      <w:r>
        <w:t xml:space="preserve">PowerSchool also records twenty-seven tardies. The handbook does not list tardies as a factor in credit decisions.</w:t>
      </w:r>
    </w:p>
    <w:bookmarkEnd w:id="24"/>
    <w:bookmarkStart w:id="25" w:name="Xbf286878e44cc4eda1d5c8309187f6786e473a4"/>
    <w:p>
      <w:pPr>
        <w:pStyle w:val="Heading3"/>
      </w:pPr>
      <w:r>
        <w:t xml:space="preserve">C. Complete Absence Dates (Dean Christine Cinelli, June 23, 2026)</w:t>
      </w:r>
    </w:p>
    <w:p>
      <w:pPr>
        <w:pStyle w:val="FirstParagraph"/>
      </w:pPr>
      <w:r>
        <w:t xml:space="preserve">09/02/25 A | 09/11/25 A | 09/16/25 X | 09/17/25 X | 10/01/25 A | 10/21/25 A | 10/27/25 A | 11/14/25 A | 01/08/26 A | 02/11/26 A | 02/23/26 A | 03/06/26 X | 03/09/26 A | 03/17/26 A | 03/19/26 X | 04/08/26 X</w:t>
      </w:r>
    </w:p>
    <w:bookmarkEnd w:id="25"/>
    <w:bookmarkStart w:id="26" w:name="d.-communication-history"/>
    <w:p>
      <w:pPr>
        <w:pStyle w:val="Heading3"/>
      </w:pPr>
      <w:r>
        <w:t xml:space="preserve">D. Communication History</w:t>
      </w:r>
    </w:p>
    <w:p>
      <w:pPr>
        <w:pStyle w:val="FirstParagraph"/>
      </w:pPr>
      <w:r>
        <w:t xml:space="preserve">The school sent zero communications about Angelina’s attendance between October 27, 2025 and June 23, 2026 — approximately eight months. A search of all family Gmail accounts confirms no emails from the attendance office, principal, dean, or any school official. The school has contacted the same three family members on file about other matters during this period, confirming the contact information is current.</w:t>
      </w:r>
    </w:p>
    <w:bookmarkEnd w:id="26"/>
    <w:bookmarkEnd w:id="27"/>
    <w:bookmarkStart w:id="28" w:name="Xe4907e0ba0f28521f90594cb7142e2358369c2b"/>
    <w:p>
      <w:pPr>
        <w:pStyle w:val="Heading2"/>
      </w:pPr>
      <w:r>
        <w:t xml:space="preserve">III. THE TRIGGER DATE AND THE HANDBOOK’S MANDATORY INTERVENTION</w:t>
      </w:r>
    </w:p>
    <w:p>
      <w:pPr>
        <w:pStyle w:val="FirstParagraph"/>
      </w:pPr>
      <w:r>
        <w:t xml:space="preserve">On October 27, 2025, Angelina reached her fifth unexcused absence. This date is not disputed. It is recorded in PowerSchool, confirmed in Dean Cinelli’s email, and stated in the school’s own June 23 communication.</w:t>
      </w:r>
    </w:p>
    <w:p>
      <w:pPr>
        <w:pStyle w:val="BodyText"/>
      </w:pPr>
      <w:r>
        <w:t xml:space="preserve">The Wareham High School Handbook, Page 44, states:</w:t>
      </w:r>
    </w:p>
    <w:p>
      <w:pPr>
        <w:pStyle w:val="BlockText"/>
      </w:pPr>
      <w:r>
        <w:t xml:space="preserve">“</w:t>
      </w:r>
      <w:r>
        <w:t xml:space="preserve">Upon reaching the fifth unexcused absence in a school year, parents/guardians will be notified. Students will be required to develop an action plan for student’s attendance with the Principal or designee, Guidance Counselor and their parents/guardians. The Principal or designee, or Guidance Counselor shall make a reasonable effort to meet with the parent or guardian of a student who has 5 or more unexcused absences.</w:t>
      </w:r>
      <w:r>
        <w:t xml:space="preserve">”</w:t>
      </w:r>
    </w:p>
    <w:p>
      <w:pPr>
        <w:pStyle w:val="FirstParagraph"/>
      </w:pPr>
      <w:r>
        <w:t xml:space="preserve">Three mandatory actions were required:</w:t>
      </w:r>
    </w:p>
    <w:p>
      <w:pPr>
        <w:numPr>
          <w:ilvl w:val="0"/>
          <w:numId w:val="1003"/>
        </w:numPr>
        <w:pStyle w:val="Compact"/>
      </w:pPr>
      <w:r>
        <w:t xml:space="preserve">The parent would be notified.</w:t>
      </w:r>
    </w:p>
    <w:p>
      <w:pPr>
        <w:numPr>
          <w:ilvl w:val="0"/>
          <w:numId w:val="1003"/>
        </w:numPr>
        <w:pStyle w:val="Compact"/>
      </w:pPr>
      <w:r>
        <w:t xml:space="preserve">An action plan would be developed.</w:t>
      </w:r>
    </w:p>
    <w:p>
      <w:pPr>
        <w:numPr>
          <w:ilvl w:val="0"/>
          <w:numId w:val="1003"/>
        </w:numPr>
        <w:pStyle w:val="Compact"/>
      </w:pPr>
      <w:r>
        <w:t xml:space="preserve">The school would make a reasonable effort to meet with the parent.</w:t>
      </w:r>
    </w:p>
    <w:p>
      <w:pPr>
        <w:pStyle w:val="FirstParagraph"/>
      </w:pPr>
      <w:r>
        <w:t xml:space="preserve">The word</w:t>
      </w:r>
      <w:r>
        <w:t xml:space="preserve"> </w:t>
      </w:r>
      <w:r>
        <w:t xml:space="preserve">“</w:t>
      </w:r>
      <w:r>
        <w:t xml:space="preserve">shall</w:t>
      </w:r>
      <w:r>
        <w:t xml:space="preserve">”</w:t>
      </w:r>
      <w:r>
        <w:t xml:space="preserve"> </w:t>
      </w:r>
      <w:r>
        <w:t xml:space="preserve">is mandatory. None of these actions was performed — not on October 27, 2025, and not in the eight months that followed.</w:t>
      </w:r>
    </w:p>
    <w:bookmarkEnd w:id="28"/>
    <w:bookmarkStart w:id="29" w:name="iv.-the-failure-timeline"/>
    <w:p>
      <w:pPr>
        <w:pStyle w:val="Heading2"/>
      </w:pPr>
      <w:r>
        <w:t xml:space="preserve">IV. THE FAILURE TIMELINE</w:t>
      </w:r>
    </w:p>
    <w:tbl>
      <w:tblPr>
        <w:tblStyle w:val="Table"/>
        <w:tblW w:type="pct" w:w="5000"/>
        <w:tblLook w:firstRow="1" w:lastRow="0" w:firstColumn="0" w:lastColumn="0" w:noHBand="0" w:noVBand="0" w:val="0020"/>
      </w:tblPr>
      <w:tblGrid>
        <w:gridCol w:w="931"/>
        <w:gridCol w:w="1397"/>
        <w:gridCol w:w="3261"/>
        <w:gridCol w:w="2329"/>
      </w:tblGrid>
      <w:tr>
        <w:trPr>
          <w:tblHeader w:val="true"/>
        </w:trPr>
        <w:tc>
          <w:tcPr/>
          <w:p>
            <w:pPr>
              <w:pStyle w:val="Compact"/>
              <w:jc w:val="left"/>
            </w:pPr>
            <w:r>
              <w:t xml:space="preserve">Date</w:t>
            </w:r>
          </w:p>
        </w:tc>
        <w:tc>
          <w:tcPr/>
          <w:p>
            <w:pPr>
              <w:pStyle w:val="Compact"/>
              <w:jc w:val="left"/>
            </w:pPr>
            <w:r>
              <w:t xml:space="preserve">Trigger</w:t>
            </w:r>
          </w:p>
        </w:tc>
        <w:tc>
          <w:tcPr/>
          <w:p>
            <w:pPr>
              <w:pStyle w:val="Compact"/>
              <w:jc w:val="left"/>
            </w:pPr>
            <w:r>
              <w:t xml:space="preserve">Handbook Requirement</w:t>
            </w:r>
          </w:p>
        </w:tc>
        <w:tc>
          <w:tcPr/>
          <w:p>
            <w:pPr>
              <w:pStyle w:val="Compact"/>
              <w:jc w:val="left"/>
            </w:pPr>
            <w:r>
              <w:t xml:space="preserve">School Action</w:t>
            </w:r>
          </w:p>
        </w:tc>
      </w:tr>
      <w:tr>
        <w:tc>
          <w:tcPr/>
          <w:p>
            <w:pPr>
              <w:pStyle w:val="Compact"/>
              <w:jc w:val="left"/>
            </w:pPr>
            <w:r>
              <w:t xml:space="preserve">9/11/25</w:t>
            </w:r>
          </w:p>
        </w:tc>
        <w:tc>
          <w:tcPr/>
          <w:p>
            <w:pPr>
              <w:pStyle w:val="Compact"/>
              <w:jc w:val="left"/>
            </w:pPr>
            <w:r>
              <w:t xml:space="preserve">2nd unexcused</w:t>
            </w:r>
          </w:p>
        </w:tc>
        <w:tc>
          <w:tcPr/>
          <w:p>
            <w:pPr>
              <w:pStyle w:val="Compact"/>
              <w:jc w:val="left"/>
            </w:pPr>
            <w:r>
              <w:t xml:space="preserve">Notify parent (p. 44)</w:t>
            </w:r>
          </w:p>
        </w:tc>
        <w:tc>
          <w:tcPr/>
          <w:p>
            <w:pPr>
              <w:pStyle w:val="Compact"/>
              <w:jc w:val="left"/>
            </w:pPr>
            <w:r>
              <w:t xml:space="preserve">Nothing</w:t>
            </w:r>
          </w:p>
        </w:tc>
      </w:tr>
      <w:tr>
        <w:tc>
          <w:tcPr/>
          <w:p>
            <w:pPr>
              <w:pStyle w:val="Compact"/>
              <w:jc w:val="left"/>
            </w:pPr>
            <w:r>
              <w:t xml:space="preserve">9/16-17/25</w:t>
            </w:r>
          </w:p>
        </w:tc>
        <w:tc>
          <w:tcPr/>
          <w:p>
            <w:pPr>
              <w:pStyle w:val="Compact"/>
              <w:jc w:val="left"/>
            </w:pPr>
            <w:r>
              <w:t xml:space="preserve">2 excused consecutive</w:t>
            </w:r>
          </w:p>
        </w:tc>
        <w:tc>
          <w:tcPr/>
          <w:p>
            <w:pPr>
              <w:pStyle w:val="Compact"/>
              <w:jc w:val="left"/>
            </w:pPr>
            <w:r>
              <w:t xml:space="preserve">Notify within 3 days (p. 44)</w:t>
            </w:r>
          </w:p>
        </w:tc>
        <w:tc>
          <w:tcPr/>
          <w:p>
            <w:pPr>
              <w:pStyle w:val="Compact"/>
              <w:jc w:val="left"/>
            </w:pPr>
            <w:r>
              <w:t xml:space="preserve">Nothing</w:t>
            </w:r>
          </w:p>
        </w:tc>
      </w:tr>
      <w:tr>
        <w:tc>
          <w:tcPr/>
          <w:p>
            <w:pPr>
              <w:pStyle w:val="Compact"/>
              <w:jc w:val="left"/>
            </w:pPr>
            <w:r>
              <w:t xml:space="preserve">10/1/25</w:t>
            </w:r>
          </w:p>
        </w:tc>
        <w:tc>
          <w:tcPr/>
          <w:p>
            <w:pPr>
              <w:pStyle w:val="Compact"/>
              <w:jc w:val="left"/>
            </w:pPr>
            <w:r>
              <w:t xml:space="preserve">5th total absence</w:t>
            </w:r>
          </w:p>
        </w:tc>
        <w:tc>
          <w:tcPr/>
          <w:p>
            <w:pPr>
              <w:pStyle w:val="Compact"/>
              <w:jc w:val="left"/>
            </w:pPr>
            <w:r>
              <w:t xml:space="preserve">Notify (p. 43)</w:t>
            </w:r>
          </w:p>
        </w:tc>
        <w:tc>
          <w:tcPr/>
          <w:p>
            <w:pPr>
              <w:pStyle w:val="Compact"/>
              <w:jc w:val="left"/>
            </w:pPr>
            <w:r>
              <w:t xml:space="preserve">Nothing</w:t>
            </w:r>
          </w:p>
        </w:tc>
      </w:tr>
      <w:tr>
        <w:tc>
          <w:tcPr/>
          <w:p>
            <w:pPr>
              <w:pStyle w:val="Compact"/>
              <w:jc w:val="left"/>
            </w:pPr>
            <w:r>
              <w:t xml:space="preserve">10/21/25</w:t>
            </w:r>
          </w:p>
        </w:tc>
        <w:tc>
          <w:tcPr/>
          <w:p>
            <w:pPr>
              <w:pStyle w:val="Compact"/>
              <w:jc w:val="left"/>
            </w:pPr>
            <w:r>
              <w:t xml:space="preserve">4th unexcused</w:t>
            </w:r>
          </w:p>
        </w:tc>
        <w:tc>
          <w:tcPr/>
          <w:p>
            <w:pPr>
              <w:pStyle w:val="Compact"/>
              <w:jc w:val="left"/>
            </w:pPr>
            <w:r>
              <w:t xml:space="preserve">Warning</w:t>
            </w:r>
          </w:p>
        </w:tc>
        <w:tc>
          <w:tcPr/>
          <w:p>
            <w:pPr>
              <w:pStyle w:val="Compact"/>
              <w:jc w:val="left"/>
            </w:pPr>
            <w:r>
              <w:t xml:space="preserve">Nothing</w:t>
            </w:r>
          </w:p>
        </w:tc>
      </w:tr>
      <w:tr>
        <w:tc>
          <w:tcPr/>
          <w:p>
            <w:pPr>
              <w:pStyle w:val="Compact"/>
              <w:jc w:val="left"/>
            </w:pPr>
            <w:r>
              <w:t xml:space="preserve">10/27/25</w:t>
            </w:r>
          </w:p>
        </w:tc>
        <w:tc>
          <w:tcPr/>
          <w:p>
            <w:pPr>
              <w:pStyle w:val="Compact"/>
              <w:jc w:val="left"/>
            </w:pPr>
            <w:r>
              <w:t xml:space="preserve">5th unexcused — TRIGGER</w:t>
            </w:r>
          </w:p>
        </w:tc>
        <w:tc>
          <w:tcPr/>
          <w:p>
            <w:pPr>
              <w:pStyle w:val="Compact"/>
              <w:jc w:val="left"/>
            </w:pPr>
            <w:r>
              <w:t xml:space="preserve">NOTIFY + PLAN + MEET</w:t>
            </w:r>
          </w:p>
        </w:tc>
        <w:tc>
          <w:tcPr/>
          <w:p>
            <w:pPr>
              <w:pStyle w:val="Compact"/>
              <w:jc w:val="left"/>
            </w:pPr>
            <w:r>
              <w:t xml:space="preserve">Nothing</w:t>
            </w:r>
          </w:p>
        </w:tc>
      </w:tr>
      <w:tr>
        <w:tc>
          <w:tcPr/>
          <w:p>
            <w:pPr>
              <w:pStyle w:val="Compact"/>
              <w:jc w:val="left"/>
            </w:pPr>
            <w:r>
              <w:t xml:space="preserve">11/14/25</w:t>
            </w:r>
          </w:p>
        </w:tc>
        <w:tc>
          <w:tcPr/>
          <w:p>
            <w:pPr>
              <w:pStyle w:val="Compact"/>
              <w:jc w:val="left"/>
            </w:pPr>
            <w:r>
              <w:t xml:space="preserve">6th unexcused</w:t>
            </w:r>
          </w:p>
        </w:tc>
        <w:tc>
          <w:tcPr/>
          <w:p>
            <w:pPr>
              <w:pStyle w:val="Compact"/>
              <w:jc w:val="left"/>
            </w:pPr>
            <w:r>
              <w:t xml:space="preserve">Continue intervention</w:t>
            </w:r>
          </w:p>
        </w:tc>
        <w:tc>
          <w:tcPr/>
          <w:p>
            <w:pPr>
              <w:pStyle w:val="Compact"/>
              <w:jc w:val="left"/>
            </w:pPr>
            <w:r>
              <w:t xml:space="preserve">Nothing</w:t>
            </w:r>
          </w:p>
        </w:tc>
      </w:tr>
      <w:tr>
        <w:tc>
          <w:tcPr/>
          <w:p>
            <w:pPr>
              <w:pStyle w:val="Compact"/>
              <w:jc w:val="left"/>
            </w:pPr>
            <w:r>
              <w:t xml:space="preserve">1/8/26</w:t>
            </w:r>
          </w:p>
        </w:tc>
        <w:tc>
          <w:tcPr/>
          <w:p>
            <w:pPr>
              <w:pStyle w:val="Compact"/>
              <w:jc w:val="left"/>
            </w:pPr>
            <w:r>
              <w:t xml:space="preserve">7th unexcused</w:t>
            </w:r>
          </w:p>
        </w:tc>
        <w:tc>
          <w:tcPr/>
          <w:p>
            <w:pPr>
              <w:pStyle w:val="Compact"/>
              <w:jc w:val="left"/>
            </w:pPr>
            <w:r>
              <w:t xml:space="preserve">Continue intervention</w:t>
            </w:r>
          </w:p>
        </w:tc>
        <w:tc>
          <w:tcPr/>
          <w:p>
            <w:pPr>
              <w:pStyle w:val="Compact"/>
              <w:jc w:val="left"/>
            </w:pPr>
            <w:r>
              <w:t xml:space="preserve">Nothing</w:t>
            </w:r>
          </w:p>
        </w:tc>
      </w:tr>
      <w:tr>
        <w:tc>
          <w:tcPr/>
          <w:p>
            <w:pPr>
              <w:pStyle w:val="Compact"/>
              <w:jc w:val="left"/>
            </w:pPr>
            <w:r>
              <w:t xml:space="preserve">2/11/26</w:t>
            </w:r>
          </w:p>
        </w:tc>
        <w:tc>
          <w:tcPr/>
          <w:p>
            <w:pPr>
              <w:pStyle w:val="Compact"/>
              <w:jc w:val="left"/>
            </w:pPr>
            <w:r>
              <w:t xml:space="preserve">8th unexcused</w:t>
            </w:r>
          </w:p>
        </w:tc>
        <w:tc>
          <w:tcPr/>
          <w:p>
            <w:pPr>
              <w:pStyle w:val="Compact"/>
              <w:jc w:val="left"/>
            </w:pPr>
            <w:r>
              <w:t xml:space="preserve">Continue intervention</w:t>
            </w:r>
          </w:p>
        </w:tc>
        <w:tc>
          <w:tcPr/>
          <w:p>
            <w:pPr>
              <w:pStyle w:val="Compact"/>
              <w:jc w:val="left"/>
            </w:pPr>
            <w:r>
              <w:t xml:space="preserve">Nothing</w:t>
            </w:r>
          </w:p>
        </w:tc>
      </w:tr>
      <w:tr>
        <w:tc>
          <w:tcPr/>
          <w:p>
            <w:pPr>
              <w:pStyle w:val="Compact"/>
              <w:jc w:val="left"/>
            </w:pPr>
            <w:r>
              <w:t xml:space="preserve">2/23/26</w:t>
            </w:r>
          </w:p>
        </w:tc>
        <w:tc>
          <w:tcPr/>
          <w:p>
            <w:pPr>
              <w:pStyle w:val="Compact"/>
              <w:jc w:val="left"/>
            </w:pPr>
            <w:r>
              <w:t xml:space="preserve">9th unexcused</w:t>
            </w:r>
          </w:p>
        </w:tc>
        <w:tc>
          <w:tcPr/>
          <w:p>
            <w:pPr>
              <w:pStyle w:val="Compact"/>
              <w:jc w:val="left"/>
            </w:pPr>
            <w:r>
              <w:t xml:space="preserve">Continue intervention</w:t>
            </w:r>
          </w:p>
        </w:tc>
        <w:tc>
          <w:tcPr/>
          <w:p>
            <w:pPr>
              <w:pStyle w:val="Compact"/>
              <w:jc w:val="left"/>
            </w:pPr>
            <w:r>
              <w:t xml:space="preserve">Nothing</w:t>
            </w:r>
          </w:p>
        </w:tc>
      </w:tr>
      <w:tr>
        <w:tc>
          <w:tcPr/>
          <w:p>
            <w:pPr>
              <w:pStyle w:val="Compact"/>
              <w:jc w:val="left"/>
            </w:pPr>
            <w:r>
              <w:t xml:space="preserve">3/9/26</w:t>
            </w:r>
          </w:p>
        </w:tc>
        <w:tc>
          <w:tcPr/>
          <w:p>
            <w:pPr>
              <w:pStyle w:val="Compact"/>
              <w:jc w:val="left"/>
            </w:pPr>
            <w:r>
              <w:t xml:space="preserve">10th unexcused</w:t>
            </w:r>
          </w:p>
        </w:tc>
        <w:tc>
          <w:tcPr/>
          <w:p>
            <w:pPr>
              <w:pStyle w:val="Compact"/>
              <w:jc w:val="left"/>
            </w:pPr>
            <w:r>
              <w:t xml:space="preserve">Continue intervention</w:t>
            </w:r>
          </w:p>
        </w:tc>
        <w:tc>
          <w:tcPr/>
          <w:p>
            <w:pPr>
              <w:pStyle w:val="Compact"/>
              <w:jc w:val="left"/>
            </w:pPr>
            <w:r>
              <w:t xml:space="preserve">Nothing</w:t>
            </w:r>
          </w:p>
        </w:tc>
      </w:tr>
      <w:tr>
        <w:tc>
          <w:tcPr/>
          <w:p>
            <w:pPr>
              <w:pStyle w:val="Compact"/>
              <w:jc w:val="left"/>
            </w:pPr>
            <w:r>
              <w:t xml:space="preserve">3/17/26</w:t>
            </w:r>
          </w:p>
        </w:tc>
        <w:tc>
          <w:tcPr/>
          <w:p>
            <w:pPr>
              <w:pStyle w:val="Compact"/>
              <w:jc w:val="left"/>
            </w:pPr>
            <w:r>
              <w:t xml:space="preserve">11th unexcused</w:t>
            </w:r>
          </w:p>
        </w:tc>
        <w:tc>
          <w:tcPr/>
          <w:p>
            <w:pPr>
              <w:pStyle w:val="Compact"/>
              <w:jc w:val="left"/>
            </w:pPr>
            <w:r>
              <w:t xml:space="preserve">Continue intervention</w:t>
            </w:r>
          </w:p>
        </w:tc>
        <w:tc>
          <w:tcPr/>
          <w:p>
            <w:pPr>
              <w:pStyle w:val="Compact"/>
              <w:jc w:val="left"/>
            </w:pPr>
            <w:r>
              <w:t xml:space="preserve">Nothing</w:t>
            </w:r>
          </w:p>
        </w:tc>
      </w:tr>
      <w:tr>
        <w:tc>
          <w:tcPr/>
          <w:p>
            <w:pPr>
              <w:pStyle w:val="Compact"/>
              <w:jc w:val="left"/>
            </w:pPr>
            <w:r>
              <w:t xml:space="preserve">6/23/26</w:t>
            </w:r>
          </w:p>
        </w:tc>
        <w:tc>
          <w:tcPr/>
          <w:p>
            <w:pPr>
              <w:pStyle w:val="Compact"/>
              <w:jc w:val="left"/>
            </w:pPr>
            <w:r>
              <w:t xml:space="preserve">End of year</w:t>
            </w:r>
          </w:p>
        </w:tc>
        <w:tc>
          <w:tcPr/>
          <w:p>
            <w:pPr>
              <w:pStyle w:val="Compact"/>
              <w:jc w:val="left"/>
            </w:pPr>
            <w:r>
              <w:t xml:space="preserve">Intervention still required</w:t>
            </w:r>
          </w:p>
        </w:tc>
        <w:tc>
          <w:tcPr/>
          <w:p>
            <w:pPr>
              <w:pStyle w:val="Compact"/>
              <w:jc w:val="left"/>
            </w:pPr>
            <w:r>
              <w:t xml:space="preserve">Penalty imposed</w:t>
            </w:r>
          </w:p>
        </w:tc>
      </w:tr>
    </w:tbl>
    <w:p>
      <w:pPr>
        <w:pStyle w:val="BodyText"/>
      </w:pPr>
      <w:r>
        <w:t xml:space="preserve">The school never contacted the parent at any of these checkpoints. The first and only communication was the imposition of the penalty.</w:t>
      </w:r>
    </w:p>
    <w:bookmarkEnd w:id="29"/>
    <w:bookmarkStart w:id="30" w:name="Xaac2b022b241592201a7dac48592543d27d2e86"/>
    <w:p>
      <w:pPr>
        <w:pStyle w:val="Heading2"/>
      </w:pPr>
      <w:r>
        <w:t xml:space="preserve">V. INTERNAL CONTRADICTIONS IN THE HANDBOOK</w:t>
      </w:r>
    </w:p>
    <w:p>
      <w:pPr>
        <w:pStyle w:val="FirstParagraph"/>
      </w:pPr>
      <w:r>
        <w:t xml:space="preserve">The handbook cannot be consistently applied. It contradicts itself on the most basic question of the attendance policy — whether excused and unexcused absences are treated differently:</w:t>
      </w:r>
    </w:p>
    <w:tbl>
      <w:tblPr>
        <w:tblStyle w:val="Table"/>
        <w:tblW w:type="pct" w:w="5000"/>
        <w:tblLook w:firstRow="1" w:lastRow="0" w:firstColumn="0" w:lastColumn="0" w:noHBand="0" w:noVBand="0" w:val="0020"/>
      </w:tblPr>
      <w:tblGrid>
        <w:gridCol w:w="2066"/>
        <w:gridCol w:w="5853"/>
      </w:tblGrid>
      <w:tr>
        <w:trPr>
          <w:tblHeader w:val="true"/>
        </w:trPr>
        <w:tc>
          <w:tcPr/>
          <w:p>
            <w:pPr>
              <w:pStyle w:val="Compact"/>
              <w:jc w:val="left"/>
            </w:pPr>
            <w:r>
              <w:t xml:space="preserve">Page</w:t>
            </w:r>
          </w:p>
        </w:tc>
        <w:tc>
          <w:tcPr/>
          <w:p>
            <w:pPr>
              <w:pStyle w:val="Compact"/>
              <w:jc w:val="left"/>
            </w:pPr>
            <w:r>
              <w:t xml:space="preserve">Policy Statement</w:t>
            </w:r>
          </w:p>
        </w:tc>
      </w:tr>
      <w:tr>
        <w:tc>
          <w:tcPr/>
          <w:p>
            <w:pPr>
              <w:pStyle w:val="Compact"/>
              <w:jc w:val="left"/>
            </w:pPr>
            <w:r>
              <w:t xml:space="preserve">43</w:t>
            </w:r>
          </w:p>
        </w:tc>
        <w:tc>
          <w:tcPr/>
          <w:p>
            <w:pPr>
              <w:pStyle w:val="Compact"/>
              <w:jc w:val="left"/>
            </w:pPr>
            <w:r>
              <w:t xml:space="preserve">“</w:t>
            </w:r>
            <w:r>
              <w:t xml:space="preserve">For purposes of this policy and meeting the guidelines set by the state, there is no differentiation between excused and unexcused absences.</w:t>
            </w:r>
            <w:r>
              <w:t xml:space="preserve">”</w:t>
            </w:r>
          </w:p>
        </w:tc>
      </w:tr>
      <w:tr>
        <w:tc>
          <w:tcPr/>
          <w:p>
            <w:pPr>
              <w:pStyle w:val="Compact"/>
              <w:jc w:val="left"/>
            </w:pPr>
            <w:r>
              <w:t xml:space="preserve">44</w:t>
            </w:r>
          </w:p>
        </w:tc>
        <w:tc>
          <w:tcPr/>
          <w:p>
            <w:pPr>
              <w:pStyle w:val="Compact"/>
              <w:jc w:val="left"/>
            </w:pPr>
            <w:r>
              <w:t xml:space="preserve">Every notification and intervention trigger applies only to unexcused absences.</w:t>
            </w:r>
          </w:p>
        </w:tc>
      </w:tr>
      <w:tr>
        <w:tc>
          <w:tcPr/>
          <w:p>
            <w:pPr>
              <w:pStyle w:val="Compact"/>
              <w:jc w:val="left"/>
            </w:pPr>
            <w:r>
              <w:t xml:space="preserve">45</w:t>
            </w:r>
          </w:p>
        </w:tc>
        <w:tc>
          <w:tcPr/>
          <w:p>
            <w:pPr>
              <w:pStyle w:val="Compact"/>
              <w:jc w:val="left"/>
            </w:pPr>
            <w:r>
              <w:t xml:space="preserve">The credit retrieval bar uses</w:t>
            </w:r>
            <w:r>
              <w:t xml:space="preserve"> </w:t>
            </w:r>
            <w:r>
              <w:t xml:space="preserve">“</w:t>
            </w:r>
            <w:r>
              <w:t xml:space="preserve">20 or more unexcused absences</w:t>
            </w:r>
            <w:r>
              <w:t xml:space="preserve">”</w:t>
            </w:r>
            <w:r>
              <w:t xml:space="preserve"> </w:t>
            </w:r>
            <w:r>
              <w:t xml:space="preserve">— a distinction the handbook elsewhere says does not exist.</w:t>
            </w:r>
          </w:p>
        </w:tc>
      </w:tr>
      <w:tr>
        <w:tc>
          <w:tcPr/>
          <w:p>
            <w:pPr>
              <w:pStyle w:val="Compact"/>
              <w:jc w:val="left"/>
            </w:pPr>
            <w:r>
              <w:t xml:space="preserve">45</w:t>
            </w:r>
          </w:p>
        </w:tc>
        <w:tc>
          <w:tcPr/>
          <w:p>
            <w:pPr>
              <w:pStyle w:val="Compact"/>
              <w:jc w:val="left"/>
            </w:pPr>
            <w:r>
              <w:t xml:space="preserve">NC is imposed at 9 total days absent — counting all absences without distinction.</w:t>
            </w:r>
          </w:p>
        </w:tc>
      </w:tr>
    </w:tbl>
    <w:p>
      <w:pPr>
        <w:pStyle w:val="BodyText"/>
      </w:pPr>
      <w:r>
        <w:t xml:space="preserve">Because the handbook cannot state a single, consistent rule for whether excused and unexcused absences are the same or different, it cannot produce a reliable record or a fair result.</w:t>
      </w:r>
    </w:p>
    <w:bookmarkEnd w:id="30"/>
    <w:bookmarkStart w:id="31" w:name="vi.-threshold-analysis"/>
    <w:p>
      <w:pPr>
        <w:pStyle w:val="Heading2"/>
      </w:pPr>
      <w:r>
        <w:t xml:space="preserve">VI. THRESHOLD ANALYSIS</w:t>
      </w:r>
    </w:p>
    <w:p>
      <w:pPr>
        <w:pStyle w:val="FirstParagraph"/>
      </w:pPr>
      <w:r>
        <w:t xml:space="preserve">The handbook and Massachusetts law contain specific numerical thresholds. Angelina’s absence data is compared to each below:</w:t>
      </w:r>
    </w:p>
    <w:tbl>
      <w:tblPr>
        <w:tblStyle w:val="Table"/>
        <w:tblW w:type="pct" w:w="5000"/>
        <w:tblLook w:firstRow="1" w:lastRow="0" w:firstColumn="0" w:lastColumn="0" w:noHBand="0" w:noVBand="0" w:val="0020"/>
      </w:tblPr>
      <w:tblGrid>
        <w:gridCol w:w="1528"/>
        <w:gridCol w:w="1111"/>
        <w:gridCol w:w="1806"/>
        <w:gridCol w:w="2640"/>
        <w:gridCol w:w="833"/>
      </w:tblGrid>
      <w:tr>
        <w:trPr>
          <w:tblHeader w:val="true"/>
        </w:trPr>
        <w:tc>
          <w:tcPr/>
          <w:p>
            <w:pPr>
              <w:pStyle w:val="Compact"/>
              <w:jc w:val="left"/>
            </w:pPr>
            <w:r>
              <w:t xml:space="preserve">Threshold</w:t>
            </w:r>
          </w:p>
        </w:tc>
        <w:tc>
          <w:tcPr/>
          <w:p>
            <w:pPr>
              <w:pStyle w:val="Compact"/>
              <w:jc w:val="left"/>
            </w:pPr>
            <w:r>
              <w:t xml:space="preserve">Source</w:t>
            </w:r>
          </w:p>
        </w:tc>
        <w:tc>
          <w:tcPr/>
          <w:p>
            <w:pPr>
              <w:pStyle w:val="Compact"/>
              <w:jc w:val="left"/>
            </w:pPr>
            <w:r>
              <w:t xml:space="preserve">Requirement</w:t>
            </w:r>
          </w:p>
        </w:tc>
        <w:tc>
          <w:tcPr/>
          <w:p>
            <w:pPr>
              <w:pStyle w:val="Compact"/>
              <w:jc w:val="left"/>
            </w:pPr>
            <w:r>
              <w:t xml:space="preserve">Angelina’s Number</w:t>
            </w:r>
          </w:p>
        </w:tc>
        <w:tc>
          <w:tcPr/>
          <w:p>
            <w:pPr>
              <w:pStyle w:val="Compact"/>
              <w:jc w:val="left"/>
            </w:pPr>
            <w:r>
              <w:t xml:space="preserve">Met?</w:t>
            </w:r>
          </w:p>
        </w:tc>
      </w:tr>
      <w:tr>
        <w:tc>
          <w:tcPr/>
          <w:p>
            <w:pPr>
              <w:pStyle w:val="Compact"/>
              <w:jc w:val="left"/>
            </w:pPr>
            <w:r>
              <w:t xml:space="preserve">Parent notification — 2 unexcused</w:t>
            </w:r>
          </w:p>
        </w:tc>
        <w:tc>
          <w:tcPr/>
          <w:p>
            <w:pPr>
              <w:pStyle w:val="Compact"/>
              <w:jc w:val="left"/>
            </w:pPr>
            <w:r>
              <w:t xml:space="preserve">p. 44</w:t>
            </w:r>
          </w:p>
        </w:tc>
        <w:tc>
          <w:tcPr/>
          <w:p>
            <w:pPr>
              <w:pStyle w:val="Compact"/>
              <w:jc w:val="left"/>
            </w:pPr>
            <w:r>
              <w:t xml:space="preserve">2+ unexcused</w:t>
            </w:r>
          </w:p>
        </w:tc>
        <w:tc>
          <w:tcPr/>
          <w:p>
            <w:pPr>
              <w:pStyle w:val="Compact"/>
              <w:jc w:val="left"/>
            </w:pPr>
            <w:r>
              <w:t xml:space="preserve">Reached ~Sept 11</w:t>
            </w:r>
          </w:p>
        </w:tc>
        <w:tc>
          <w:tcPr/>
          <w:p>
            <w:pPr>
              <w:pStyle w:val="Compact"/>
              <w:jc w:val="left"/>
            </w:pPr>
            <w:r>
              <w:t xml:space="preserve">Yes — not notified</w:t>
            </w:r>
          </w:p>
        </w:tc>
      </w:tr>
      <w:tr>
        <w:tc>
          <w:tcPr/>
          <w:p>
            <w:pPr>
              <w:pStyle w:val="Compact"/>
              <w:jc w:val="left"/>
            </w:pPr>
            <w:r>
              <w:t xml:space="preserve">Parent notification — 5 unexcused</w:t>
            </w:r>
          </w:p>
        </w:tc>
        <w:tc>
          <w:tcPr/>
          <w:p>
            <w:pPr>
              <w:pStyle w:val="Compact"/>
              <w:jc w:val="left"/>
            </w:pPr>
            <w:r>
              <w:t xml:space="preserve">p. 44</w:t>
            </w:r>
          </w:p>
        </w:tc>
        <w:tc>
          <w:tcPr/>
          <w:p>
            <w:pPr>
              <w:pStyle w:val="Compact"/>
              <w:jc w:val="left"/>
            </w:pPr>
            <w:r>
              <w:t xml:space="preserve">5+ unexcused</w:t>
            </w:r>
          </w:p>
        </w:tc>
        <w:tc>
          <w:tcPr/>
          <w:p>
            <w:pPr>
              <w:pStyle w:val="Compact"/>
              <w:jc w:val="left"/>
            </w:pPr>
            <w:r>
              <w:t xml:space="preserve">Reached Oct 27</w:t>
            </w:r>
          </w:p>
        </w:tc>
        <w:tc>
          <w:tcPr/>
          <w:p>
            <w:pPr>
              <w:pStyle w:val="Compact"/>
              <w:jc w:val="left"/>
            </w:pPr>
            <w:r>
              <w:t xml:space="preserve">Yes — not notified</w:t>
            </w:r>
          </w:p>
        </w:tc>
      </w:tr>
      <w:tr>
        <w:tc>
          <w:tcPr/>
          <w:p>
            <w:pPr>
              <w:pStyle w:val="Compact"/>
              <w:jc w:val="left"/>
            </w:pPr>
            <w:r>
              <w:t xml:space="preserve">Mandatory intervention</w:t>
            </w:r>
          </w:p>
        </w:tc>
        <w:tc>
          <w:tcPr/>
          <w:p>
            <w:pPr>
              <w:pStyle w:val="Compact"/>
              <w:jc w:val="left"/>
            </w:pPr>
            <w:r>
              <w:t xml:space="preserve">p. 44</w:t>
            </w:r>
          </w:p>
        </w:tc>
        <w:tc>
          <w:tcPr/>
          <w:p>
            <w:pPr>
              <w:pStyle w:val="Compact"/>
              <w:jc w:val="left"/>
            </w:pPr>
            <w:r>
              <w:t xml:space="preserve">Action plan + meeting</w:t>
            </w:r>
          </w:p>
        </w:tc>
        <w:tc>
          <w:tcPr/>
          <w:p>
            <w:pPr>
              <w:pStyle w:val="Compact"/>
              <w:jc w:val="left"/>
            </w:pPr>
            <w:r>
              <w:t xml:space="preserve">Reached Oct 27</w:t>
            </w:r>
          </w:p>
        </w:tc>
        <w:tc>
          <w:tcPr/>
          <w:p>
            <w:pPr>
              <w:pStyle w:val="Compact"/>
              <w:jc w:val="left"/>
            </w:pPr>
            <w:r>
              <w:t xml:space="preserve">Yes — never performed</w:t>
            </w:r>
          </w:p>
        </w:tc>
      </w:tr>
      <w:tr>
        <w:tc>
          <w:tcPr/>
          <w:p>
            <w:pPr>
              <w:pStyle w:val="Compact"/>
              <w:jc w:val="left"/>
            </w:pPr>
            <w:r>
              <w:t xml:space="preserve">Habitual truancy</w:t>
            </w:r>
          </w:p>
        </w:tc>
        <w:tc>
          <w:tcPr/>
          <w:p>
            <w:pPr>
              <w:pStyle w:val="Compact"/>
              <w:jc w:val="left"/>
            </w:pPr>
            <w:r>
              <w:t xml:space="preserve">MGL c. 119 § 21</w:t>
            </w:r>
          </w:p>
        </w:tc>
        <w:tc>
          <w:tcPr/>
          <w:p>
            <w:pPr>
              <w:pStyle w:val="Compact"/>
              <w:jc w:val="left"/>
            </w:pPr>
            <w:r>
              <w:t xml:space="preserve">8+ unexcused per quarter</w:t>
            </w:r>
          </w:p>
        </w:tc>
        <w:tc>
          <w:tcPr/>
          <w:p>
            <w:pPr>
              <w:pStyle w:val="Compact"/>
              <w:jc w:val="left"/>
            </w:pPr>
            <w:r>
              <w:t xml:space="preserve">Q1=5, Q2=2, Q3=4, Q4=0</w:t>
            </w:r>
          </w:p>
        </w:tc>
        <w:tc>
          <w:tcPr/>
          <w:p>
            <w:pPr>
              <w:pStyle w:val="Compact"/>
              <w:jc w:val="left"/>
            </w:pPr>
            <w:r>
              <w:t xml:space="preserve">No</w:t>
            </w:r>
          </w:p>
        </w:tc>
      </w:tr>
      <w:tr>
        <w:tc>
          <w:tcPr/>
          <w:p>
            <w:pPr>
              <w:pStyle w:val="Compact"/>
              <w:jc w:val="left"/>
            </w:pPr>
            <w:r>
              <w:t xml:space="preserve">Parent criminal liability</w:t>
            </w:r>
          </w:p>
        </w:tc>
        <w:tc>
          <w:tcPr/>
          <w:p>
            <w:pPr>
              <w:pStyle w:val="Compact"/>
              <w:jc w:val="left"/>
            </w:pPr>
            <w:r>
              <w:t xml:space="preserve">MGL c. 76 § 2</w:t>
            </w:r>
          </w:p>
        </w:tc>
        <w:tc>
          <w:tcPr/>
          <w:p>
            <w:pPr>
              <w:pStyle w:val="Compact"/>
              <w:jc w:val="left"/>
            </w:pPr>
            <w:r>
              <w:t xml:space="preserve">7+ unexcused in 6 months</w:t>
            </w:r>
          </w:p>
        </w:tc>
        <w:tc>
          <w:tcPr/>
          <w:p>
            <w:pPr>
              <w:pStyle w:val="Compact"/>
              <w:jc w:val="left"/>
            </w:pPr>
            <w:r>
              <w:t xml:space="preserve">S1=7, S2=4</w:t>
            </w:r>
          </w:p>
        </w:tc>
        <w:tc>
          <w:tcPr/>
          <w:p>
            <w:pPr>
              <w:pStyle w:val="Compact"/>
              <w:jc w:val="left"/>
            </w:pPr>
            <w:r>
              <w:t xml:space="preserve">No</w:t>
            </w:r>
          </w:p>
        </w:tc>
      </w:tr>
      <w:tr>
        <w:tc>
          <w:tcPr/>
          <w:p>
            <w:pPr>
              <w:pStyle w:val="Compact"/>
              <w:jc w:val="left"/>
            </w:pPr>
            <w:r>
              <w:t xml:space="preserve">Chronic absenteeism</w:t>
            </w:r>
          </w:p>
        </w:tc>
        <w:tc>
          <w:tcPr/>
          <w:p>
            <w:pPr>
              <w:pStyle w:val="Compact"/>
              <w:jc w:val="left"/>
            </w:pPr>
            <w:r>
              <w:t xml:space="preserve">DESE</w:t>
            </w:r>
          </w:p>
        </w:tc>
        <w:tc>
          <w:tcPr/>
          <w:p>
            <w:pPr>
              <w:pStyle w:val="Compact"/>
              <w:jc w:val="left"/>
            </w:pPr>
            <w:r>
              <w:t xml:space="preserve">18 days (10% of 180)</w:t>
            </w:r>
          </w:p>
        </w:tc>
        <w:tc>
          <w:tcPr/>
          <w:p>
            <w:pPr>
              <w:pStyle w:val="Compact"/>
              <w:jc w:val="left"/>
            </w:pPr>
            <w:r>
              <w:t xml:space="preserve">16 days (8.9%)</w:t>
            </w:r>
          </w:p>
        </w:tc>
        <w:tc>
          <w:tcPr/>
          <w:p>
            <w:pPr>
              <w:pStyle w:val="Compact"/>
              <w:jc w:val="left"/>
            </w:pPr>
            <w:r>
              <w:t xml:space="preserve">No</w:t>
            </w:r>
          </w:p>
        </w:tc>
      </w:tr>
      <w:tr>
        <w:tc>
          <w:tcPr/>
          <w:p>
            <w:pPr>
              <w:pStyle w:val="Compact"/>
              <w:jc w:val="left"/>
            </w:pPr>
            <w:r>
              <w:t xml:space="preserve">Credit retrieval bar</w:t>
            </w:r>
          </w:p>
        </w:tc>
        <w:tc>
          <w:tcPr/>
          <w:p>
            <w:pPr>
              <w:pStyle w:val="Compact"/>
              <w:jc w:val="left"/>
            </w:pPr>
            <w:r>
              <w:t xml:space="preserve">p. 45</w:t>
            </w:r>
          </w:p>
        </w:tc>
        <w:tc>
          <w:tcPr/>
          <w:p>
            <w:pPr>
              <w:pStyle w:val="Compact"/>
              <w:jc w:val="left"/>
            </w:pPr>
            <w:r>
              <w:t xml:space="preserve">20+ unexcused</w:t>
            </w:r>
          </w:p>
        </w:tc>
        <w:tc>
          <w:tcPr/>
          <w:p>
            <w:pPr>
              <w:pStyle w:val="Compact"/>
              <w:jc w:val="left"/>
            </w:pPr>
            <w:r>
              <w:t xml:space="preserve">11 unexcused</w:t>
            </w:r>
          </w:p>
        </w:tc>
        <w:tc>
          <w:tcPr/>
          <w:p>
            <w:pPr>
              <w:pStyle w:val="Compact"/>
              <w:jc w:val="left"/>
            </w:pPr>
            <w:r>
              <w:t xml:space="preserve">No</w:t>
            </w:r>
          </w:p>
        </w:tc>
      </w:tr>
      <w:tr>
        <w:tc>
          <w:tcPr/>
          <w:p>
            <w:pPr>
              <w:pStyle w:val="Compact"/>
              <w:jc w:val="left"/>
            </w:pPr>
            <w:r>
              <w:t xml:space="preserve">NC — all courses</w:t>
            </w:r>
          </w:p>
        </w:tc>
        <w:tc>
          <w:tcPr/>
          <w:p>
            <w:pPr>
              <w:pStyle w:val="Compact"/>
              <w:jc w:val="left"/>
            </w:pPr>
            <w:r>
              <w:t xml:space="preserve">p. 45</w:t>
            </w:r>
          </w:p>
        </w:tc>
        <w:tc>
          <w:tcPr/>
          <w:p>
            <w:pPr>
              <w:pStyle w:val="Compact"/>
              <w:jc w:val="left"/>
            </w:pPr>
            <w:r>
              <w:t xml:space="preserve">9+ total days absent</w:t>
            </w:r>
          </w:p>
        </w:tc>
        <w:tc>
          <w:tcPr/>
          <w:p>
            <w:pPr>
              <w:pStyle w:val="Compact"/>
              <w:jc w:val="left"/>
            </w:pPr>
            <w:r>
              <w:t xml:space="preserve">16 total</w:t>
            </w:r>
          </w:p>
        </w:tc>
        <w:tc>
          <w:tcPr/>
          <w:p>
            <w:pPr>
              <w:pStyle w:val="Compact"/>
              <w:jc w:val="left"/>
            </w:pPr>
            <w:r>
              <w:t xml:space="preserve">Yes</w:t>
            </w:r>
          </w:p>
        </w:tc>
      </w:tr>
      <w:tr>
        <w:tc>
          <w:tcPr/>
          <w:p>
            <w:pPr>
              <w:pStyle w:val="Compact"/>
              <w:jc w:val="left"/>
            </w:pPr>
            <w:r>
              <w:t xml:space="preserve">CP — per marking period</w:t>
            </w:r>
          </w:p>
        </w:tc>
        <w:tc>
          <w:tcPr/>
          <w:p>
            <w:pPr>
              <w:pStyle w:val="Compact"/>
              <w:jc w:val="left"/>
            </w:pPr>
            <w:r>
              <w:t xml:space="preserve">p. 45</w:t>
            </w:r>
          </w:p>
        </w:tc>
        <w:tc>
          <w:tcPr/>
          <w:p>
            <w:pPr>
              <w:pStyle w:val="Compact"/>
              <w:jc w:val="left"/>
            </w:pPr>
            <w:r>
              <w:t xml:space="preserve">3+ classes missed/quarter</w:t>
            </w:r>
          </w:p>
        </w:tc>
        <w:tc>
          <w:tcPr/>
          <w:p>
            <w:pPr>
              <w:pStyle w:val="Compact"/>
              <w:jc w:val="left"/>
            </w:pPr>
            <w:r>
              <w:t xml:space="preserve">~7.5 per quarter</w:t>
            </w:r>
          </w:p>
        </w:tc>
        <w:tc>
          <w:tcPr/>
          <w:p>
            <w:pPr>
              <w:pStyle w:val="Compact"/>
              <w:jc w:val="left"/>
            </w:pPr>
            <w:r>
              <w:t xml:space="preserve">Yes</w:t>
            </w:r>
          </w:p>
        </w:tc>
      </w:tr>
    </w:tbl>
    <w:p>
      <w:pPr>
        <w:pStyle w:val="BodyText"/>
      </w:pPr>
      <w:r>
        <w:t xml:space="preserve">Angelina meets exactly two thresholds:</w:t>
      </w:r>
    </w:p>
    <w:p>
      <w:pPr>
        <w:numPr>
          <w:ilvl w:val="0"/>
          <w:numId w:val="1004"/>
        </w:numPr>
        <w:pStyle w:val="Compact"/>
      </w:pPr>
      <w:r>
        <w:t xml:space="preserve">The intervention trigger (which the school ignored).</w:t>
      </w:r>
    </w:p>
    <w:p>
      <w:pPr>
        <w:numPr>
          <w:ilvl w:val="0"/>
          <w:numId w:val="1004"/>
        </w:numPr>
        <w:pStyle w:val="Compact"/>
      </w:pPr>
      <w:r>
        <w:t xml:space="preserve">The NC trigger (which exists only because the school ignored the intervention that could have prevented her from reaching it).</w:t>
      </w:r>
    </w:p>
    <w:p>
      <w:pPr>
        <w:pStyle w:val="FirstParagraph"/>
      </w:pPr>
      <w:r>
        <w:t xml:space="preserve">She does not meet the threshold for habitual truancy, parental liability, chronic absenteeism, or the credit retrieval bar.</w:t>
      </w:r>
    </w:p>
    <w:bookmarkEnd w:id="31"/>
    <w:bookmarkStart w:id="36" w:name="vii.-legal-violations"/>
    <w:p>
      <w:pPr>
        <w:pStyle w:val="Heading2"/>
      </w:pPr>
      <w:r>
        <w:t xml:space="preserve">VII. LEGAL VIOLATIONS</w:t>
      </w:r>
    </w:p>
    <w:bookmarkStart w:id="32" w:name="a.-state-law"/>
    <w:p>
      <w:pPr>
        <w:pStyle w:val="Heading3"/>
      </w:pPr>
      <w:r>
        <w:t xml:space="preserve">A. State Law</w:t>
      </w:r>
    </w:p>
    <w:p>
      <w:pPr>
        <w:pStyle w:val="FirstParagraph"/>
      </w:pPr>
      <w:r>
        <w:rPr>
          <w:bCs/>
          <w:b/>
        </w:rPr>
        <w:t xml:space="preserve">MGL c. 76, § 1B</w:t>
      </w:r>
      <w:r>
        <w:t xml:space="preserve"> </w:t>
      </w:r>
      <w:r>
        <w:t xml:space="preserve">— The school committee must establish and uniformly apply a policy of reasonable-effort notification for absences and meeting-and-plan development for repeated absences. The handbook does so on Page 44. The school did not apply it.</w:t>
      </w:r>
    </w:p>
    <w:p>
      <w:pPr>
        <w:pStyle w:val="BodyText"/>
      </w:pPr>
      <w:r>
        <w:rPr>
          <w:bCs/>
          <w:b/>
        </w:rPr>
        <w:t xml:space="preserve">MGL c. 119, § 21</w:t>
      </w:r>
      <w:r>
        <w:t xml:space="preserve"> </w:t>
      </w:r>
      <w:r>
        <w:t xml:space="preserve">— Before pursuing truancy proceedings, the school must make a reasonable effort to notify and meet. No such effort was made. No CRA petition has been filed. This is raised to preserve the issue.</w:t>
      </w:r>
    </w:p>
    <w:bookmarkEnd w:id="32"/>
    <w:bookmarkStart w:id="33" w:name="b.-federal-law"/>
    <w:p>
      <w:pPr>
        <w:pStyle w:val="Heading3"/>
      </w:pPr>
      <w:r>
        <w:t xml:space="preserve">B. Federal Law</w:t>
      </w:r>
    </w:p>
    <w:p>
      <w:pPr>
        <w:pStyle w:val="FirstParagraph"/>
      </w:pPr>
      <w:r>
        <w:rPr>
          <w:bCs/>
          <w:b/>
        </w:rPr>
        <w:t xml:space="preserve">14th Amendment, U.S. Constitution</w:t>
      </w:r>
      <w:r>
        <w:t xml:space="preserve"> </w:t>
      </w:r>
      <w:r>
        <w:t xml:space="preserve">— Procedural due process was denied. A credit designation on a transcript is a protected property interest requiring notice and an opportunity to be heard. Goss v. Lopez, 419 U.S. 565 (1975). Neither notice nor a hearing was provided.</w:t>
      </w:r>
    </w:p>
    <w:p>
      <w:pPr>
        <w:pStyle w:val="BodyText"/>
      </w:pPr>
      <w:r>
        <w:rPr>
          <w:bCs/>
          <w:b/>
        </w:rPr>
        <w:t xml:space="preserve">FERPA, 20 U.S.C. § 1232g and 34 CFR Part 99</w:t>
      </w:r>
      <w:r>
        <w:t xml:space="preserve"> </w:t>
      </w:r>
      <w:r>
        <w:t xml:space="preserve">— The parent’s right to inspect records, seek amendment, obtain a hearing on refusal, and place a statement of disagreement in the record has been invoked. (See separately filed FERPA Complaint.)</w:t>
      </w:r>
    </w:p>
    <w:bookmarkEnd w:id="33"/>
    <w:bookmarkStart w:id="34" w:name="c.-state-regulations"/>
    <w:p>
      <w:pPr>
        <w:pStyle w:val="Heading3"/>
      </w:pPr>
      <w:r>
        <w:t xml:space="preserve">C. State Regulations</w:t>
      </w:r>
    </w:p>
    <w:p>
      <w:pPr>
        <w:pStyle w:val="FirstParagraph"/>
      </w:pPr>
      <w:r>
        <w:rPr>
          <w:bCs/>
          <w:b/>
        </w:rPr>
        <w:t xml:space="preserve">603 CMR 23.07 and 23.09</w:t>
      </w:r>
      <w:r>
        <w:t xml:space="preserve"> </w:t>
      </w:r>
      <w:r>
        <w:t xml:space="preserve">— The parent challenges the accuracy of the student record. Timeline: Principal has until July 1, 2026 to respond. Superintendent has until July 15, 2026. School Committee hearing must be held within 30 days. These deadlines run on calendar days and are not suspended by summer break.</w:t>
      </w:r>
    </w:p>
    <w:bookmarkEnd w:id="34"/>
    <w:bookmarkStart w:id="35" w:name="d.-dese-policy"/>
    <w:p>
      <w:pPr>
        <w:pStyle w:val="Heading3"/>
      </w:pPr>
      <w:r>
        <w:t xml:space="preserve">D. DESE Policy</w:t>
      </w:r>
    </w:p>
    <w:p>
      <w:pPr>
        <w:pStyle w:val="FirstParagraph"/>
      </w:pPr>
      <w:r>
        <w:rPr>
          <w:bCs/>
          <w:b/>
        </w:rPr>
        <w:t xml:space="preserve">DESE Chronic Absenteeism Guidance</w:t>
      </w:r>
      <w:r>
        <w:t xml:space="preserve"> </w:t>
      </w:r>
      <w:r>
        <w:t xml:space="preserve">— The threshold is 18 days (10%). Angelina has 16 (8.9%). She cannot be classified as chronically absent under DESE standards.</w:t>
      </w:r>
    </w:p>
    <w:bookmarkEnd w:id="35"/>
    <w:bookmarkEnd w:id="36"/>
    <w:bookmarkStart w:id="43" w:name="viii.-legal-arguments"/>
    <w:p>
      <w:pPr>
        <w:pStyle w:val="Heading2"/>
      </w:pPr>
      <w:r>
        <w:t xml:space="preserve">VIII. LEGAL ARGUMENTS</w:t>
      </w:r>
    </w:p>
    <w:bookmarkStart w:id="37" w:name="X25b0d950444c3167a6e3bcd4dc0a770405260f6"/>
    <w:p>
      <w:pPr>
        <w:pStyle w:val="Heading3"/>
      </w:pPr>
      <w:r>
        <w:t xml:space="preserve">Argument 1: The Handbook Requires Intervention Before Penalty</w:t>
      </w:r>
    </w:p>
    <w:p>
      <w:pPr>
        <w:pStyle w:val="FirstParagraph"/>
      </w:pPr>
      <w:r>
        <w:t xml:space="preserve">The handbook’s plain language makes the intervention sequence mandatory. The school did not perform any of the three required actions. The penalty imposed without the required intervention is void.</w:t>
      </w:r>
    </w:p>
    <w:bookmarkEnd w:id="37"/>
    <w:bookmarkStart w:id="38" w:name="X2ff2601e3c54b359393b08b64f8d8de8372d191"/>
    <w:p>
      <w:pPr>
        <w:pStyle w:val="Heading3"/>
      </w:pPr>
      <w:r>
        <w:t xml:space="preserve">Argument 2: The Penalty Results From the School’s Own Failure</w:t>
      </w:r>
    </w:p>
    <w:p>
      <w:pPr>
        <w:pStyle w:val="FirstParagraph"/>
      </w:pPr>
      <w:r>
        <w:t xml:space="preserve">The school cannot rely on its procedural failures as the basis for a penalty. If the school had intervened on October 27, 2025 as required, the parent would have been notified, an action plan would have been in place, and Angelina’s attendance pattern could have been addressed before it reached the NC threshold.</w:t>
      </w:r>
    </w:p>
    <w:bookmarkEnd w:id="38"/>
    <w:bookmarkStart w:id="39" w:name="X72bddc0acb2dfd5556368ec023ceb834ebe6dcc"/>
    <w:p>
      <w:pPr>
        <w:pStyle w:val="Heading3"/>
      </w:pPr>
      <w:r>
        <w:t xml:space="preserve">Argument 3: The Handbook Is Internally Contradictory</w:t>
      </w:r>
    </w:p>
    <w:p>
      <w:pPr>
        <w:pStyle w:val="FirstParagraph"/>
      </w:pPr>
      <w:r>
        <w:t xml:space="preserve">A policy that cannot consistently state whether excused and unexcused absences are the same or different cannot be enforced against a particular student. The NC/CP designation rests on the application of contradictory rules.</w:t>
      </w:r>
    </w:p>
    <w:bookmarkEnd w:id="39"/>
    <w:bookmarkStart w:id="40" w:name="Xf00a6427de38d31cd14895b97f7ea358443b91d"/>
    <w:p>
      <w:pPr>
        <w:pStyle w:val="Heading3"/>
      </w:pPr>
      <w:r>
        <w:t xml:space="preserve">Argument 4: Angelina Does Not Meet Any Massachusetts or DESE Threshold for the Penalty</w:t>
      </w:r>
    </w:p>
    <w:p>
      <w:pPr>
        <w:pStyle w:val="FirstParagraph"/>
      </w:pPr>
      <w:r>
        <w:t xml:space="preserve">Angelina is not a habitual truant. She is not chronically absent. Her parent is not exposed to criminal liability. She is not barred from credit retrieval. The penalty exceeds what Massachusetts law and DESE policy support for a student with her absence record.</w:t>
      </w:r>
    </w:p>
    <w:bookmarkEnd w:id="40"/>
    <w:bookmarkStart w:id="41" w:name="X3dc4f8d07919cf00073fe824961c973f26fc34f"/>
    <w:p>
      <w:pPr>
        <w:pStyle w:val="Heading3"/>
      </w:pPr>
      <w:r>
        <w:t xml:space="preserve">Argument 5: Procedural Due Process Was Denied</w:t>
      </w:r>
    </w:p>
    <w:p>
      <w:pPr>
        <w:pStyle w:val="FirstParagraph"/>
      </w:pPr>
      <w:r>
        <w:t xml:space="preserve">The school provided no notice of the proposed penalty, no opportunity to be heard, and no written decision. A permanent credit designation without notice or a hearing is a violation of the 14th Amendment.</w:t>
      </w:r>
    </w:p>
    <w:bookmarkEnd w:id="41"/>
    <w:bookmarkStart w:id="42" w:name="X12e25033af8bc1fbe4434fb4d4b84b22027032a"/>
    <w:p>
      <w:pPr>
        <w:pStyle w:val="Heading3"/>
      </w:pPr>
      <w:r>
        <w:t xml:space="preserve">Argument 6: The School Ignored Angelina’s IEP</w:t>
      </w:r>
    </w:p>
    <w:p>
      <w:pPr>
        <w:pStyle w:val="FirstParagraph"/>
      </w:pPr>
      <w:r>
        <w:t xml:space="preserve">Angelina has had an IEP since third grade. The school was on notice of this IEP. The IEP team should have been convened to address attendance as it relates to her identified needs. The school’s failure to engage the IEP process in response to accumulating absences is a separate and independent violation of the IDEA, Section 504, and Massachusetts special education regulations.</w:t>
      </w:r>
    </w:p>
    <w:bookmarkEnd w:id="42"/>
    <w:bookmarkEnd w:id="43"/>
    <w:bookmarkStart w:id="44" w:name="ix.-remedy-requested"/>
    <w:p>
      <w:pPr>
        <w:pStyle w:val="Heading2"/>
      </w:pPr>
      <w:r>
        <w:t xml:space="preserve">IX. REMEDY REQUESTED</w:t>
      </w:r>
    </w:p>
    <w:p>
      <w:pPr>
        <w:pStyle w:val="FirstParagraph"/>
      </w:pPr>
      <w:r>
        <w:t xml:space="preserve">The parent respectfully requests:</w:t>
      </w:r>
    </w:p>
    <w:p>
      <w:pPr>
        <w:numPr>
          <w:ilvl w:val="0"/>
          <w:numId w:val="1005"/>
        </w:numPr>
        <w:pStyle w:val="Compact"/>
      </w:pPr>
      <w:r>
        <w:t xml:space="preserve">Rescind the summer school requirement.</w:t>
      </w:r>
    </w:p>
    <w:p>
      <w:pPr>
        <w:numPr>
          <w:ilvl w:val="0"/>
          <w:numId w:val="1005"/>
        </w:numPr>
        <w:pStyle w:val="Compact"/>
      </w:pPr>
      <w:r>
        <w:t xml:space="preserve">Remove all NC and CP designations and preserve grades as earned.</w:t>
      </w:r>
    </w:p>
    <w:p>
      <w:pPr>
        <w:numPr>
          <w:ilvl w:val="0"/>
          <w:numId w:val="1005"/>
        </w:numPr>
        <w:pStyle w:val="Compact"/>
      </w:pPr>
      <w:r>
        <w:t xml:space="preserve">Acknowledge in writing the school’s failure to follow the mandatory Page 44 intervention process.</w:t>
      </w:r>
    </w:p>
    <w:p>
      <w:pPr>
        <w:numPr>
          <w:ilvl w:val="0"/>
          <w:numId w:val="1005"/>
        </w:numPr>
        <w:pStyle w:val="Compact"/>
      </w:pPr>
      <w:r>
        <w:t xml:space="preserve">Reconcile the internal contradictions in the attendance policy.</w:t>
      </w:r>
    </w:p>
    <w:p>
      <w:pPr>
        <w:numPr>
          <w:ilvl w:val="0"/>
          <w:numId w:val="1005"/>
        </w:numPr>
        <w:pStyle w:val="Compact"/>
      </w:pPr>
      <w:r>
        <w:t xml:space="preserve">Schedule the Attendance Review Committee hearing required by Page 45.</w:t>
      </w:r>
    </w:p>
    <w:p>
      <w:pPr>
        <w:numPr>
          <w:ilvl w:val="0"/>
          <w:numId w:val="1005"/>
        </w:numPr>
        <w:pStyle w:val="Compact"/>
      </w:pPr>
      <w:r>
        <w:t xml:space="preserve">Process the records challenge under 603 CMR 23.07 and 23.09 on the statutory timeline.</w:t>
      </w:r>
    </w:p>
    <w:p>
      <w:pPr>
        <w:numPr>
          <w:ilvl w:val="0"/>
          <w:numId w:val="1005"/>
        </w:numPr>
        <w:pStyle w:val="Compact"/>
      </w:pPr>
      <w:r>
        <w:t xml:space="preserve">Convene the IEP team to address how Angelina’s disability-related needs intersect with the attendance policy.</w:t>
      </w:r>
    </w:p>
    <w:bookmarkEnd w:id="44"/>
    <w:bookmarkStart w:id="45" w:name="x.-evidence"/>
    <w:p>
      <w:pPr>
        <w:pStyle w:val="Heading2"/>
      </w:pPr>
      <w:r>
        <w:t xml:space="preserve">X. EVIDENCE</w:t>
      </w:r>
    </w:p>
    <w:p>
      <w:pPr>
        <w:numPr>
          <w:ilvl w:val="0"/>
          <w:numId w:val="1006"/>
        </w:numPr>
        <w:pStyle w:val="Compact"/>
      </w:pPr>
      <w:r>
        <w:t xml:space="preserve">PowerSchool Attendance Records (Angelina Crooker, 2025-2026)</w:t>
      </w:r>
    </w:p>
    <w:p>
      <w:pPr>
        <w:numPr>
          <w:ilvl w:val="0"/>
          <w:numId w:val="1006"/>
        </w:numPr>
        <w:pStyle w:val="Compact"/>
      </w:pPr>
      <w:r>
        <w:t xml:space="preserve">Dean Christine Cinelli Email (June 23, 2026)</w:t>
      </w:r>
    </w:p>
    <w:p>
      <w:pPr>
        <w:numPr>
          <w:ilvl w:val="0"/>
          <w:numId w:val="1006"/>
        </w:numPr>
        <w:pStyle w:val="Compact"/>
      </w:pPr>
      <w:r>
        <w:t xml:space="preserve">PowerSchool Attendance Code Legend</w:t>
      </w:r>
    </w:p>
    <w:p>
      <w:pPr>
        <w:numPr>
          <w:ilvl w:val="0"/>
          <w:numId w:val="1006"/>
        </w:numPr>
        <w:pStyle w:val="Compact"/>
      </w:pPr>
      <w:r>
        <w:t xml:space="preserve">Wareham High School Handbook Pages 42-45</w:t>
      </w:r>
    </w:p>
    <w:p>
      <w:pPr>
        <w:numPr>
          <w:ilvl w:val="0"/>
          <w:numId w:val="1006"/>
        </w:numPr>
        <w:pStyle w:val="Compact"/>
      </w:pPr>
      <w:r>
        <w:t xml:space="preserve">Massachusetts General Laws cited herein</w:t>
      </w:r>
    </w:p>
    <w:p>
      <w:pPr>
        <w:numPr>
          <w:ilvl w:val="0"/>
          <w:numId w:val="1006"/>
        </w:numPr>
        <w:pStyle w:val="Compact"/>
      </w:pPr>
      <w:r>
        <w:t xml:space="preserve">Gmail search results confirming zero school communications</w:t>
      </w:r>
    </w:p>
    <w:p>
      <w:pPr>
        <w:numPr>
          <w:ilvl w:val="0"/>
          <w:numId w:val="1006"/>
        </w:numPr>
        <w:pStyle w:val="Compact"/>
      </w:pPr>
      <w:r>
        <w:t xml:space="preserve">Two Honor Roll Certificates</w:t>
      </w:r>
    </w:p>
    <w:p>
      <w:pPr>
        <w:numPr>
          <w:ilvl w:val="0"/>
          <w:numId w:val="1006"/>
        </w:numPr>
        <w:pStyle w:val="Compact"/>
      </w:pPr>
      <w:r>
        <w:t xml:space="preserve">Grade reports (Q1-Q4)</w:t>
      </w:r>
    </w:p>
    <w:p>
      <w:pPr>
        <w:numPr>
          <w:ilvl w:val="0"/>
          <w:numId w:val="1006"/>
        </w:numPr>
        <w:pStyle w:val="Compact"/>
      </w:pPr>
      <w:r>
        <w:t xml:space="preserve">Correspondence with Principal Palladino (June 23-24, 2026)</w:t>
      </w:r>
    </w:p>
    <w:p>
      <w:pPr>
        <w:numPr>
          <w:ilvl w:val="0"/>
          <w:numId w:val="1006"/>
        </w:numPr>
        <w:pStyle w:val="Compact"/>
      </w:pPr>
      <w:r>
        <w:t xml:space="preserve">603 CMR 23.00 — Student Records Regulations</w:t>
      </w:r>
    </w:p>
    <w:p>
      <w:pPr>
        <w:numPr>
          <w:ilvl w:val="0"/>
          <w:numId w:val="1006"/>
        </w:numPr>
        <w:pStyle w:val="Compact"/>
      </w:pPr>
      <w:r>
        <w:t xml:space="preserve">Angelina Crooker IEP documentation (on file with Wareham Public Schools since third grade)</w:t>
      </w:r>
    </w:p>
    <w:p>
      <w:r>
        <w:pict>
          <v:rect style="width:0;height:1.5pt" o:hralign="center" o:hrstd="t" o:hr="t"/>
        </w:pict>
      </w:r>
    </w:p>
    <w:p>
      <w:pPr>
        <w:pStyle w:val="FirstParagraph"/>
      </w:pPr>
      <w:r>
        <w:t xml:space="preserve">This brief is filed without prejudice to the parent’s pending records challenge under 603 CMR 23.07 and 23.09, the right to file a complaint with DESE, the right to file a FERPA complaint, and the right to file a motion in Plymouth Juvenile Court.</w:t>
      </w:r>
    </w:p>
    <w:p>
      <w:pPr>
        <w:pStyle w:val="BodyText"/>
      </w:pPr>
      <w:r>
        <w:t xml:space="preserve">Filed June 30, 2026.</w:t>
      </w:r>
    </w:p>
    <w:p>
      <w:pPr>
        <w:pStyle w:val="BodyText"/>
      </w:pPr>
      <w:r>
        <w:rPr>
          <w:bCs/>
          <w:b/>
        </w:rPr>
        <w:t xml:space="preserve">Sarah Crooker</w:t>
      </w:r>
      <w:r>
        <w:t xml:space="preserve"> </w:t>
      </w:r>
      <w:r>
        <w:t xml:space="preserve">Parent of Angelina Karima Crooker (Grade 9)</w:t>
      </w:r>
      <w:r>
        <w:t xml:space="preserve"> </w:t>
      </w:r>
      <w:r>
        <w:t xml:space="preserve">sarahcrooker586@yahoo.com</w:t>
      </w:r>
      <w:r>
        <w:t xml:space="preserve"> </w:t>
      </w:r>
      <w:r>
        <w:t xml:space="preserve">sarahcrooker586@gmail.com</w:t>
      </w:r>
    </w:p>
    <w:p>
      <w:r>
        <w:pict>
          <v:rect style="width:0;height:1.5pt" o:hralign="center" o:hrstd="t" o:hr="t"/>
        </w:pict>
      </w:r>
    </w:p>
    <w:bookmarkEnd w:id="45"/>
    <w:bookmarkStart w:id="46" w:name="addendum-iep-status-and-attendance"/>
    <w:p>
      <w:pPr>
        <w:pStyle w:val="Heading2"/>
      </w:pPr>
      <w:r>
        <w:t xml:space="preserve">ADDENDUM — IEP STATUS AND ATTENDANCE</w:t>
      </w:r>
    </w:p>
    <w:p>
      <w:pPr>
        <w:pStyle w:val="FirstParagraph"/>
      </w:pPr>
      <w:r>
        <w:t xml:space="preserve">Angelina Crooker has had an Individualized Education Program since third grade. The Wareham Public Schools has maintained this IEP on file, has provided services under it, and has been on notice of it throughout the 2025-2026 school year.</w:t>
      </w:r>
    </w:p>
    <w:p>
      <w:pPr>
        <w:pStyle w:val="BodyText"/>
      </w:pPr>
      <w:r>
        <w:t xml:space="preserve">The school knew or should have known that Angelina’s attendance patterns could be related to the disability for which the IEP was developed. Under the Individuals with Disabilities Education Act (IDEA), 20 U.S.C. §§ 1400 et seq., Section 504 of the Rehabilitation Act, 29 U.S.C. § 794, and Massachusetts special education regulations (603 CMR 28.00), the school had an affirmative obligation to:</w:t>
      </w:r>
    </w:p>
    <w:p>
      <w:pPr>
        <w:numPr>
          <w:ilvl w:val="0"/>
          <w:numId w:val="1007"/>
        </w:numPr>
        <w:pStyle w:val="Compact"/>
      </w:pPr>
      <w:r>
        <w:t xml:space="preserve">Convene the IEP team when Angelina’s attendance pattern indicated a potential need for revised services, accommodations, or behavioral supports.</w:t>
      </w:r>
    </w:p>
    <w:p>
      <w:pPr>
        <w:numPr>
          <w:ilvl w:val="0"/>
          <w:numId w:val="1007"/>
        </w:numPr>
        <w:pStyle w:val="Compact"/>
      </w:pPr>
      <w:r>
        <w:t xml:space="preserve">Determine whether her absences constituted a manifestation of her disability requiring modified interventions rather than punitive measures.</w:t>
      </w:r>
    </w:p>
    <w:p>
      <w:pPr>
        <w:numPr>
          <w:ilvl w:val="0"/>
          <w:numId w:val="1007"/>
        </w:numPr>
        <w:pStyle w:val="Compact"/>
      </w:pPr>
      <w:r>
        <w:t xml:space="preserve">Provide the parent with prior written notice before changing Angelina’s educational placement — including the imposition of credit penalties that effectively deny her access to educational benefit.</w:t>
      </w:r>
    </w:p>
    <w:p>
      <w:pPr>
        <w:pStyle w:val="FirstParagraph"/>
      </w:pPr>
      <w:r>
        <w:t xml:space="preserve">The school did none of these things. It treated Angelina’s attendance as a purely disciplinary matter while ignoring the IEP it had maintained for years.</w:t>
      </w:r>
    </w:p>
    <w:p>
      <w:pPr>
        <w:pStyle w:val="BodyText"/>
      </w:pPr>
      <w:r>
        <w:t xml:space="preserve">The penalty imposed — summer school and credit loss — constitutes a change in educational placement. The IDEA requires procedural protections before such a change, including notice to the parent, an opportunity to participate in the decision, and consideration of whether the conduct is a manifestation of the disability. None of these protections were provided.</w:t>
      </w:r>
    </w:p>
    <w:p>
      <w:pPr>
        <w:pStyle w:val="BodyText"/>
      </w:pPr>
      <w:r>
        <w:t xml:space="preserve">The parent raises this now to preserve all remedies available under the IDEA, Section 504, Title II of the ADA, and Massachusetts law. The school’s failure to engage the IEP process is an independent ground for voiding the penalty and for requiring the remedies listed in Section IX above.</w:t>
      </w:r>
    </w:p>
    <w:p>
      <w:r>
        <w:pict>
          <v:rect style="width:0;height:1.5pt" o:hralign="center" o:hrstd="t" o:hr="t"/>
        </w:pict>
      </w:r>
    </w:p>
    <w:p>
      <w:pPr>
        <w:pStyle w:val="FirstParagraph"/>
      </w:pPr>
      <w:r>
        <w:rPr>
          <w:bCs/>
          <w:b/>
        </w:rPr>
        <w:t xml:space="preserve">Sarah Crooker</w:t>
      </w:r>
      <w:r>
        <w:t xml:space="preserve"> </w:t>
      </w:r>
      <w:r>
        <w:t xml:space="preserve">June 30, 2026</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2026-07-01T20:41:09Z</dcterms:created>
  <dcterms:modified xsi:type="dcterms:W3CDTF">2026-07-01T20:41:09Z</dcterms:modified>
</cp:coreProperties>
</file>

<file path=docProps/custom.xml><?xml version="1.0" encoding="utf-8"?>
<Properties xmlns="http://schemas.openxmlformats.org/officeDocument/2006/custom-properties" xmlns:vt="http://schemas.openxmlformats.org/officeDocument/2006/docPropsVTypes"/>
</file>