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6175"/>
      </w:tblGrid>
      <w:tr w:rsidR="003F1512" w14:paraId="20CA9822" w14:textId="77777777" w:rsidTr="005E07DD">
        <w:tc>
          <w:tcPr>
            <w:tcW w:w="85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2CFCC" w14:textId="77777777" w:rsidR="003F1512" w:rsidRDefault="003F1512" w:rsidP="005E07DD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Informe sobre la vulnerabilidad encontrada</w:t>
            </w:r>
          </w:p>
        </w:tc>
      </w:tr>
      <w:tr w:rsidR="003F1512" w14:paraId="0078ABE6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0DB8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C9E" w14:textId="6F2B21E7" w:rsidR="003F1512" w:rsidRDefault="003F1512" w:rsidP="005E07DD">
            <w:pPr>
              <w:pStyle w:val="PreformattedText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Exploit con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Bluekeep</w:t>
            </w:r>
            <w:proofErr w:type="spellEnd"/>
          </w:p>
        </w:tc>
      </w:tr>
      <w:tr w:rsidR="003F1512" w14:paraId="78A0BB6B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74982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Módulo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C77D" w14:textId="395E0C2D" w:rsidR="003F1512" w:rsidRDefault="003F1512" w:rsidP="005E07DD">
            <w:pPr>
              <w:pStyle w:val="PreformattedText"/>
              <w:jc w:val="both"/>
              <w:rPr>
                <w:rFonts w:ascii="Calibri" w:eastAsia="WenQuanYi Micro Hei" w:hAnsi="Calibri" w:cs="Lohit Devanaga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windows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rdp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/cve_2019_0708_bluekeep_rce</w:t>
            </w:r>
          </w:p>
        </w:tc>
      </w:tr>
      <w:tr w:rsidR="003F1512" w14:paraId="2043F100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2F87C" w14:textId="77777777" w:rsidR="003F1512" w:rsidRDefault="003F1512" w:rsidP="005E07DD">
            <w:pPr>
              <w:pStyle w:val="TableContents"/>
            </w:pPr>
            <w:proofErr w:type="spellStart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Payload</w:t>
            </w:r>
            <w:proofErr w:type="spellEnd"/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91FA" w14:textId="2125C918" w:rsidR="003F1512" w:rsidRDefault="003F1512" w:rsidP="005E07DD">
            <w:pPr>
              <w:pStyle w:val="PreformattedTex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Por defecto. Windows/x64/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meterpreter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reverse_tcp</w:t>
            </w:r>
            <w:proofErr w:type="spellEnd"/>
          </w:p>
        </w:tc>
      </w:tr>
      <w:tr w:rsidR="003F1512" w14:paraId="669745A2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143EC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Plataformas afectadas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7940C" w14:textId="5FE01BEE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Windows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7 / Windows 2008</w:t>
            </w:r>
          </w:p>
        </w:tc>
      </w:tr>
      <w:tr w:rsidR="003F1512" w14:paraId="44AA43A5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7374F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Medio de infección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1BB46" w14:textId="34AE54C6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través de la red, cuando un atacante no autenticado se conecta con una máquina mediante RDP y envía peticiones.</w:t>
            </w:r>
          </w:p>
        </w:tc>
      </w:tr>
      <w:tr w:rsidR="003F1512" w14:paraId="67D68BD9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FB44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vulnerabilidad recogida en el CVE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2FE1" w14:textId="0797897C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(CVE-2019-0708)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Vulnerability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Remote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Desktop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Service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Remote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execution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F1512" w14:paraId="638EAF93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FFE1E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Posibles objetivos</w:t>
            </w:r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8928" w14:textId="6F782909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Cualquier usuario con Windows</w:t>
            </w:r>
            <w:r>
              <w:rPr>
                <w:rFonts w:ascii="Calibri" w:hAnsi="Calibri"/>
                <w:sz w:val="22"/>
                <w:szCs w:val="22"/>
              </w:rPr>
              <w:t xml:space="preserve"> 7 o Windows 2008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F1512" w14:paraId="7DA5A7B9" w14:textId="77777777" w:rsidTr="005E07DD">
        <w:tc>
          <w:tcPr>
            <w:tcW w:w="2327" w:type="dxa"/>
            <w:tcBorders>
              <w:top w:val="single" w:sz="1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97C1" w14:textId="77777777" w:rsidR="003F1512" w:rsidRDefault="003F1512" w:rsidP="005E07D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75" w:type="dxa"/>
            <w:tcBorders>
              <w:top w:val="single" w:sz="1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C2E5" w14:textId="6015B5D1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Realiza una denegación de servicios a la máquina vulnerable, realizando un ataque de pantallazo azul.</w:t>
            </w:r>
          </w:p>
        </w:tc>
      </w:tr>
      <w:tr w:rsidR="003F1512" w14:paraId="0FB0BBCD" w14:textId="77777777" w:rsidTr="005E07DD">
        <w:tc>
          <w:tcPr>
            <w:tcW w:w="2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70EC" w14:textId="77777777" w:rsidR="003F1512" w:rsidRDefault="003F1512" w:rsidP="005E07DD">
            <w:pPr>
              <w:pStyle w:val="TableContents"/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Contra-medidas</w:t>
            </w:r>
            <w:proofErr w:type="spellEnd"/>
            <w:proofErr w:type="gramEnd"/>
          </w:p>
        </w:tc>
        <w:tc>
          <w:tcPr>
            <w:tcW w:w="6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EC5F" w14:textId="71B620D4" w:rsidR="003F1512" w:rsidRDefault="003F1512" w:rsidP="005E07DD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Actualizar el sistema operativo y no abrir los puertos de máquinas remotas a personas sin autenticación.</w:t>
            </w:r>
          </w:p>
        </w:tc>
      </w:tr>
    </w:tbl>
    <w:p w14:paraId="0336CCE5" w14:textId="731663DE" w:rsidR="00D97C37" w:rsidRDefault="0043568D"/>
    <w:p w14:paraId="3D02296B" w14:textId="533AA8AD" w:rsidR="003F1512" w:rsidRDefault="003F1512">
      <w:r>
        <w:t>Pasos seguidos:</w:t>
      </w:r>
    </w:p>
    <w:p w14:paraId="0C65D3EF" w14:textId="11877D5C" w:rsidR="003F1512" w:rsidRDefault="003F1512">
      <w:r>
        <w:tab/>
        <w:t xml:space="preserve">Primero, realizamos la configuración para conectar ambas máquinas como en el </w:t>
      </w:r>
      <w:proofErr w:type="spellStart"/>
      <w:r>
        <w:t>guión</w:t>
      </w:r>
      <w:proofErr w:type="spellEnd"/>
      <w:r>
        <w:t xml:space="preserve"> de la práctica.</w:t>
      </w:r>
      <w:r w:rsidR="005A1ACC">
        <w:t xml:space="preserve"> Tras realizar </w:t>
      </w:r>
      <w:proofErr w:type="gramStart"/>
      <w:r w:rsidR="005A1ACC">
        <w:t>estos paso</w:t>
      </w:r>
      <w:proofErr w:type="gramEnd"/>
      <w:r w:rsidR="005A1ACC">
        <w:t xml:space="preserve">, y comprobar que ambas máquinas se han conectado correctamente, procedemos a entrar en </w:t>
      </w:r>
      <w:proofErr w:type="spellStart"/>
      <w:r w:rsidR="005A1ACC">
        <w:t>msfconsole</w:t>
      </w:r>
      <w:proofErr w:type="spellEnd"/>
      <w:r w:rsidR="005A1ACC">
        <w:t>.</w:t>
      </w:r>
    </w:p>
    <w:p w14:paraId="15E10046" w14:textId="78A0DF0A" w:rsidR="005A1ACC" w:rsidRDefault="005A1ACC">
      <w:r>
        <w:tab/>
        <w:t xml:space="preserve">Dentro de la consola buscamos el </w:t>
      </w:r>
      <w:proofErr w:type="spellStart"/>
      <w:r>
        <w:t>exploit</w:t>
      </w:r>
      <w:proofErr w:type="spellEnd"/>
      <w:r>
        <w:t xml:space="preserve"> que queremos utilizar, en este caso, ‘</w:t>
      </w:r>
      <w:proofErr w:type="spellStart"/>
      <w:r>
        <w:t>bluekeep</w:t>
      </w:r>
      <w:proofErr w:type="spellEnd"/>
      <w:r>
        <w:t>’ y seleccionamos la opción que queremos, que es, “</w:t>
      </w:r>
      <w:proofErr w:type="spellStart"/>
      <w:r>
        <w:t>exploit</w:t>
      </w:r>
      <w:proofErr w:type="spellEnd"/>
      <w:r>
        <w:t>/Windows/</w:t>
      </w:r>
      <w:proofErr w:type="spellStart"/>
      <w:r>
        <w:t>rdp</w:t>
      </w:r>
      <w:proofErr w:type="spellEnd"/>
      <w:r>
        <w:t>/cve_2019_0708_bluekeep_rce”.</w:t>
      </w:r>
    </w:p>
    <w:p w14:paraId="4E997100" w14:textId="2054B951" w:rsidR="005A1ACC" w:rsidRDefault="005A1ACC">
      <w:r>
        <w:rPr>
          <w:noProof/>
        </w:rPr>
        <w:drawing>
          <wp:inline distT="0" distB="0" distL="0" distR="0" wp14:anchorId="3ED04FCA" wp14:editId="1A408DAB">
            <wp:extent cx="5400040" cy="326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4B6" w14:textId="77777777" w:rsidR="005A1ACC" w:rsidRDefault="005A1ACC">
      <w:r>
        <w:tab/>
        <w:t xml:space="preserve">En el siguiente paso, la máquina vulnerable tendremos que configurarla para que permita acceso a máquinas remotas sin autenticación, abriendo el puerto 3389. Para esto tendremos que ir a Panel de control -&gt; Propiedades -&gt;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y dentro de esta, permitir las conexiones remotas en este ordenador.</w:t>
      </w:r>
    </w:p>
    <w:p w14:paraId="6D561A5C" w14:textId="4D2A1605" w:rsidR="005A1ACC" w:rsidRDefault="005A1ACC">
      <w:r>
        <w:rPr>
          <w:noProof/>
        </w:rPr>
        <w:lastRenderedPageBreak/>
        <w:drawing>
          <wp:inline distT="0" distB="0" distL="0" distR="0" wp14:anchorId="77C1C664" wp14:editId="5D5F5EA6">
            <wp:extent cx="5400040" cy="4097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97BB" w14:textId="519BFDDF" w:rsidR="005A1ACC" w:rsidRDefault="005A1ACC">
      <w:r>
        <w:tab/>
        <w:t xml:space="preserve">Una vez realizado este paso miraremos las opciones que tenemos que configurar en la máquina atacante, los puertos a configurar en este caso serán LHOST, RHOST y el PAYLOAD. Excepcionalmente para este </w:t>
      </w:r>
      <w:proofErr w:type="spellStart"/>
      <w:r>
        <w:t>exploit</w:t>
      </w:r>
      <w:proofErr w:type="spellEnd"/>
      <w:r>
        <w:t xml:space="preserve"> también habrá que seleccionar el TARGET, a que máquina y desde cual se va a realizar el ataque.</w:t>
      </w:r>
      <w:r>
        <w:rPr>
          <w:noProof/>
        </w:rPr>
        <w:drawing>
          <wp:inline distT="0" distB="0" distL="0" distR="0" wp14:anchorId="576ED265" wp14:editId="1174D29D">
            <wp:extent cx="5400040" cy="3580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2575" w14:textId="77777777" w:rsidR="00462110" w:rsidRDefault="00462110"/>
    <w:p w14:paraId="050C64C3" w14:textId="68926E53" w:rsidR="005A1ACC" w:rsidRDefault="00462110">
      <w:r>
        <w:rPr>
          <w:noProof/>
        </w:rPr>
        <w:lastRenderedPageBreak/>
        <w:drawing>
          <wp:inline distT="0" distB="0" distL="0" distR="0" wp14:anchorId="11E53A5A" wp14:editId="08741691">
            <wp:extent cx="5391785" cy="4839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6398" w14:textId="16C4A901" w:rsidR="005A1ACC" w:rsidRDefault="005A1ACC">
      <w:r>
        <w:tab/>
        <w:t xml:space="preserve">Configuramos los puertos que se nos piden que hemos comprobado en </w:t>
      </w:r>
      <w:proofErr w:type="gramStart"/>
      <w:r>
        <w:t>Show</w:t>
      </w:r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. Seleccionaremos el </w:t>
      </w:r>
      <w:proofErr w:type="gramStart"/>
      <w:r>
        <w:t>target</w:t>
      </w:r>
      <w:proofErr w:type="gramEnd"/>
      <w:r>
        <w:t xml:space="preserve"> 2, ya que el ataque lo realizaremos en Windows 7 desde </w:t>
      </w:r>
      <w:proofErr w:type="spellStart"/>
      <w:r>
        <w:t>Virtualbox</w:t>
      </w:r>
      <w:proofErr w:type="spellEnd"/>
      <w:r>
        <w:t xml:space="preserve"> 6.1.</w:t>
      </w:r>
    </w:p>
    <w:p w14:paraId="119440DE" w14:textId="549F4217" w:rsidR="00462110" w:rsidRDefault="00462110">
      <w:r>
        <w:rPr>
          <w:noProof/>
        </w:rPr>
        <w:drawing>
          <wp:inline distT="0" distB="0" distL="0" distR="0" wp14:anchorId="40FAD430" wp14:editId="6D29892F">
            <wp:extent cx="5400040" cy="17856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4152" w14:textId="129280D6" w:rsidR="00462110" w:rsidRDefault="00462110">
      <w:r>
        <w:lastRenderedPageBreak/>
        <w:t xml:space="preserve">Una vez configurado, ya podemos </w:t>
      </w:r>
      <w:proofErr w:type="gramStart"/>
      <w:r>
        <w:t>proceder a hacer</w:t>
      </w:r>
      <w:proofErr w:type="gramEnd"/>
      <w:r>
        <w:t xml:space="preserve"> el </w:t>
      </w:r>
      <w:proofErr w:type="spellStart"/>
      <w:r>
        <w:t>exploit</w:t>
      </w:r>
      <w:proofErr w:type="spellEnd"/>
      <w:r>
        <w:t>, usando los comandos ‘</w:t>
      </w:r>
      <w:proofErr w:type="spellStart"/>
      <w:r>
        <w:t>exploit</w:t>
      </w:r>
      <w:proofErr w:type="spellEnd"/>
      <w:r>
        <w:t>’ o ‘run’.</w:t>
      </w:r>
      <w:r>
        <w:rPr>
          <w:noProof/>
        </w:rPr>
        <w:drawing>
          <wp:inline distT="0" distB="0" distL="0" distR="0" wp14:anchorId="40901078" wp14:editId="5C737AAC">
            <wp:extent cx="5400040" cy="2734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13C0" w14:textId="3553C3DF" w:rsidR="00462110" w:rsidRDefault="00462110">
      <w:r>
        <w:t xml:space="preserve">En nuestro caso, el </w:t>
      </w:r>
      <w:proofErr w:type="spellStart"/>
      <w:r>
        <w:t>exploit</w:t>
      </w:r>
      <w:proofErr w:type="spellEnd"/>
      <w:r>
        <w:t xml:space="preserve"> ha </w:t>
      </w:r>
      <w:proofErr w:type="gramStart"/>
      <w:r>
        <w:t>funcionado</w:t>
      </w:r>
      <w:proofErr w:type="gramEnd"/>
      <w:r>
        <w:t xml:space="preserve"> pero no crea una sesión, por lo que no conseguimos realizar el ataque con éxito (el pantallazo azul en la máquina vulnerable). Esto se debe a que el puntero del script que realiza este </w:t>
      </w:r>
      <w:proofErr w:type="spellStart"/>
      <w:r>
        <w:t>exploit</w:t>
      </w:r>
      <w:proofErr w:type="spellEnd"/>
      <w:r>
        <w:t xml:space="preserve"> hay veces que no se encuentra en donde debería estar y por eso no se realiza correctamente. Para corregir esto habría que realizar un volcado de memoria, para obtener el valor en el que debería estar el puntero y reemplazarlo en el script correspondiente.</w:t>
      </w:r>
    </w:p>
    <w:p w14:paraId="698E1E19" w14:textId="68BBDF43" w:rsidR="00462110" w:rsidRDefault="00462110">
      <w:r>
        <w:tab/>
        <w:t xml:space="preserve">Sin embargo, hemos intentado realizar estos </w:t>
      </w:r>
      <w:proofErr w:type="gramStart"/>
      <w:r>
        <w:t>pasos</w:t>
      </w:r>
      <w:proofErr w:type="gramEnd"/>
      <w:r>
        <w:t xml:space="preserve"> pero nos ha resultado imposible. Por lo que no hemos conseguido explotar la vulnerabilidad correctamente.</w:t>
      </w:r>
    </w:p>
    <w:sectPr w:rsidR="0046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imbus Mono L"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12"/>
    <w:rsid w:val="003F1512"/>
    <w:rsid w:val="0043568D"/>
    <w:rsid w:val="00462110"/>
    <w:rsid w:val="005A1ACC"/>
    <w:rsid w:val="00D83B5B"/>
    <w:rsid w:val="00E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A80B"/>
  <w15:chartTrackingRefBased/>
  <w15:docId w15:val="{C221E8C2-5CE7-4ED4-941A-3619E44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3F1512"/>
    <w:pPr>
      <w:spacing w:after="0" w:line="240" w:lineRule="auto"/>
    </w:pPr>
    <w:rPr>
      <w:rFonts w:ascii="Liberation Mono" w:eastAsia="Nimbus Mono L" w:hAnsi="Liberation Mono" w:cs="Liberation Mono"/>
      <w:color w:val="00000A"/>
      <w:lang w:eastAsia="zh-CN" w:bidi="hi-IN"/>
    </w:rPr>
  </w:style>
  <w:style w:type="paragraph" w:customStyle="1" w:styleId="TableContents">
    <w:name w:val="Table Contents"/>
    <w:basedOn w:val="Normal"/>
    <w:rsid w:val="003F1512"/>
    <w:pPr>
      <w:suppressLineNumbers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Mendes Da Graça</dc:creator>
  <cp:keywords/>
  <dc:description/>
  <cp:lastModifiedBy>tyson Mendes Da Graça</cp:lastModifiedBy>
  <cp:revision>1</cp:revision>
  <dcterms:created xsi:type="dcterms:W3CDTF">2021-02-17T21:34:00Z</dcterms:created>
  <dcterms:modified xsi:type="dcterms:W3CDTF">2021-02-17T22:05:00Z</dcterms:modified>
</cp:coreProperties>
</file>