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0.png" ContentType="image/png"/>
  <Override PartName="/word/media/rId46.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Ty</w:t>
      </w:r>
      <w:r>
        <w:t xml:space="preserve"> </w:t>
      </w:r>
      <w:r>
        <w:t xml:space="preserve">Stanford,</w:t>
      </w:r>
      <w:r>
        <w:t xml:space="preserve"> </w:t>
      </w:r>
      <w:r>
        <w:t xml:space="preserve">Lan</w:t>
      </w:r>
      <w:r>
        <w:t xml:space="preserve"> </w:t>
      </w:r>
      <w:r>
        <w:t xml:space="preserve">Kelly,</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pPr>
        <w:numPr>
          <w:ilvl w:val="0"/>
          <w:numId w:val="1001"/>
        </w:numPr>
        <w:pStyle w:val="Compact"/>
      </w:pPr>
      <w:r>
        <w:t xml:space="preserve">implementing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reporting retrospective time-to-signal findings for pelvic mesh devices associated with pain adverse events for analysis pipeline feasibility,</w:t>
      </w:r>
    </w:p>
    <w:p>
      <w:pPr>
        <w:numPr>
          <w:ilvl w:val="0"/>
          <w:numId w:val="1001"/>
        </w:numPr>
        <w:pStyle w:val="Compact"/>
      </w:pPr>
      <w:r>
        <w:t xml:space="preserve">evaluating the sensitivity of signal detection methods to assumed data accumulation length and rates (e.g., the critical value calculation for maxSPRT), and</w:t>
      </w:r>
    </w:p>
    <w:p>
      <w:pPr>
        <w:numPr>
          <w:ilvl w:val="0"/>
          <w:numId w:val="1001"/>
        </w:numPr>
        <w:pStyle w:val="Compact"/>
      </w:pPr>
      <w:r>
        <w:t xml:space="preserve">comparing the retrospective time-to-signal to the timings of the withdrawl of pelvic mesh devices in Australia.</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using the 95th percentile of</w:t>
      </w:r>
      <w:r>
        <w:t xml:space="preserve"> </w:t>
      </w:r>
      <m:oMath>
        <m:r>
          <m:t>L</m:t>
        </m:r>
        <m:r>
          <m:t>L</m:t>
        </m:r>
        <m:sSub>
          <m:e>
            <m:r>
              <m:t>R</m:t>
            </m:r>
          </m:e>
          <m:sub>
            <m:r>
              <m:t>t</m:t>
            </m:r>
          </m:sub>
        </m:sSub>
      </m:oMath>
      <w:r>
        <w:t xml:space="preserve"> </w:t>
      </w:r>
      <w:r>
        <w:t xml:space="preserve">values with the exact joint binomial probabilities over</w:t>
      </w:r>
      <w:r>
        <w:t xml:space="preserve"> </w:t>
      </w:r>
      <m:oMath>
        <m:r>
          <m:t>k</m:t>
        </m:r>
      </m:oMath>
      <w:r>
        <w:t xml:space="preserve"> </w:t>
      </w:r>
      <w:r>
        <w:t xml:space="preserve">looks of the data accumulation under the null hypothesis, or by MCMC sampling of binomial event accumulation (and associated</w:t>
      </w:r>
      <w:r>
        <w:t xml:space="preserve"> </w:t>
      </w:r>
      <m:oMath>
        <m:r>
          <m:t>L</m:t>
        </m:r>
        <m:r>
          <m:t>L</m:t>
        </m:r>
        <m:sSub>
          <m:e>
            <m:r>
              <m:t>R</m:t>
            </m:r>
          </m:e>
          <m:sub>
            <m:r>
              <m:t>t</m:t>
            </m:r>
          </m:sub>
        </m:sSub>
      </m:oMath>
      <w:r>
        <w:t xml:space="preserve"> </w:t>
      </w:r>
      <w:r>
        <w:t xml:space="preserve">values) to approximate the</w:t>
      </w:r>
      <w:r>
        <w:t xml:space="preserve"> </w:t>
      </w:r>
      <m:oMath>
        <m:r>
          <m:t>L</m:t>
        </m:r>
        <m:r>
          <m:t>L</m:t>
        </m:r>
        <m:r>
          <m:t>R</m:t>
        </m:r>
      </m:oMath>
      <w:r>
        <w:t xml:space="preserve"> </w:t>
      </w:r>
      <w:r>
        <w:t xml:space="preserve">distribution when the exact CV computation is computationally intractable.</w:t>
      </w:r>
    </w:p>
    <w:p>
      <w:r>
        <w:br w:type="page"/>
      </w:r>
    </w:p>
    <w:bookmarkEnd w:id="33"/>
    <w:bookmarkEnd w:id="34"/>
    <w:bookmarkStart w:id="35" w:name="analysis-choices"/>
    <w:p>
      <w:pPr>
        <w:pStyle w:val="Heading2"/>
      </w:pPr>
      <w:r>
        <w:t xml:space="preserve">3.4 Analysis choices</w:t>
      </w:r>
    </w:p>
    <w:p>
      <w:pPr>
        <w:pStyle w:val="FirstParagraph"/>
      </w:pPr>
      <w:r>
        <w:t xml:space="preserve">A large unknown what threshold should be used to dichotomise P(</w:t>
      </w:r>
      <w:r>
        <w:rPr>
          <w:rStyle w:val="VerbatimChar"/>
        </w:rPr>
        <w:t xml:space="preserve">topic == "pain"</w:t>
      </w:r>
      <w:r>
        <w:t xml:space="preserve"> </w:t>
      </w:r>
      <w:r>
        <w:t xml:space="preserve">|</w:t>
      </w:r>
      <w:r>
        <w:t xml:space="preserve"> </w:t>
      </w:r>
      <w:r>
        <w:rPr>
          <w:rStyle w:val="VerbatimChar"/>
        </w:rPr>
        <w:t xml:space="preserve">Doc</w:t>
      </w:r>
      <w:r>
        <w:t xml:space="preserve">) into pain and non-pain spontaneous event report.</w:t>
      </w:r>
      <w:r>
        <w:t xml:space="preserve"> </w:t>
      </w:r>
      <w:r>
        <w:t xml:space="preserve">The threshold can roughly be interpreted as the proportion of the spontaneous event report free text relates to</w:t>
      </w:r>
      <w:r>
        <w:t xml:space="preserve"> </w:t>
      </w:r>
      <w:r>
        <w:t xml:space="preserve">“</w:t>
      </w:r>
      <w:r>
        <w:t xml:space="preserve">pain</w:t>
      </w:r>
      <w:r>
        <w:t xml:space="preserve">”</w:t>
      </w:r>
      <w:r>
        <w:t xml:space="preserve"> </w:t>
      </w:r>
      <w:r>
        <w:t xml:space="preserve">topics.</w:t>
      </w:r>
      <w:r>
        <w:t xml:space="preserve"> </w:t>
      </w:r>
      <w:r>
        <w:t xml:space="preserve">It is a balancing act, likely with some</w:t>
      </w:r>
      <w:r>
        <w:t xml:space="preserve"> </w:t>
      </w:r>
      <w:r>
        <w:t xml:space="preserve">“</w:t>
      </w:r>
      <w:r>
        <w:t xml:space="preserve">safe zone</w:t>
      </w:r>
      <w:r>
        <w:t xml:space="preserve">”</w:t>
      </w:r>
      <w:r>
        <w:t xml:space="preserv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w:t>
      </w:r>
      <w:r>
        <w:t xml:space="preserve"> </w:t>
      </w:r>
      <w:r>
        <w:t xml:space="preserve">From pilot feasibility exploration, the thresholds considered were from 0.5% to 10% of the free text, i.e., using thresholds</w:t>
      </w:r>
      <w:r>
        <w:t xml:space="preserve"> </w:t>
      </w:r>
      <m:oMath>
        <m:sSub>
          <m:e>
            <m:r>
              <m:t>e</m:t>
            </m:r>
          </m:e>
          <m:sub>
            <m:r>
              <m:t>t</m:t>
            </m:r>
            <m:r>
              <m:t>o</m:t>
            </m:r>
            <m:r>
              <m:t>p</m:t>
            </m:r>
            <m:r>
              <m:t>i</m:t>
            </m:r>
            <m:r>
              <m:t>c</m:t>
            </m:r>
          </m:sub>
        </m:sSub>
        <m:r>
          <m:rPr>
            <m:sty m:val="p"/>
          </m:rPr>
          <m:t>=</m:t>
        </m:r>
        <m:d>
          <m:dPr>
            <m:begChr m:val="{"/>
            <m:endChr m:val="}"/>
            <m:sepChr m:val=""/>
            <m:grow/>
          </m:dPr>
          <m:e>
            <m:r>
              <m:t>0.005</m:t>
            </m:r>
            <m:r>
              <m:rPr>
                <m:sty m:val="p"/>
              </m:rPr>
              <m:t>,</m:t>
            </m:r>
            <m:r>
              <m:t>0.010</m:t>
            </m:r>
            <m:r>
              <m:rPr>
                <m:sty m:val="p"/>
              </m:rPr>
              <m:t>,</m:t>
            </m:r>
            <m:r>
              <m:rPr>
                <m:sty m:val="p"/>
              </m:rPr>
              <m:t>.</m:t>
            </m:r>
            <m:r>
              <m:rPr>
                <m:sty m:val="p"/>
              </m:rPr>
              <m:t>.</m:t>
            </m:r>
            <m:r>
              <m:rPr>
                <m:sty m:val="p"/>
              </m:rPr>
              <m:t>.</m:t>
            </m:r>
            <m:r>
              <m:rPr>
                <m:sty m:val="p"/>
              </m:rPr>
              <m:t>,</m:t>
            </m:r>
            <m:r>
              <m:t>0.100</m:t>
            </m:r>
          </m:e>
        </m:d>
      </m:oMath>
      <w:r>
        <w:t xml:space="preserve">.</w:t>
      </w:r>
      <w:r>
        <w:t xml:space="preserve"> </w:t>
      </w:r>
      <w:r>
        <w:t xml:space="preserve">Further complicating matters, it should be noted, optimal P(</w:t>
      </w:r>
      <w:r>
        <w:rPr>
          <w:rStyle w:val="VerbatimChar"/>
        </w:rPr>
        <w:t xml:space="preserve">topic == "pain"</w:t>
      </w:r>
      <w:r>
        <w:t xml:space="preserve"> </w:t>
      </w:r>
      <w:r>
        <w:t xml:space="preserve">|</w:t>
      </w:r>
      <w:r>
        <w:t xml:space="preserve"> </w:t>
      </w:r>
      <w:r>
        <w:rPr>
          <w:rStyle w:val="VerbatimChar"/>
        </w:rPr>
        <w:t xml:space="preserve">Doc</w:t>
      </w:r>
      <w:r>
        <w:t xml:space="preserve">) thresholds may be different for differing event topics, however, we only consider the pain topic in this study.</w:t>
      </w:r>
    </w:p>
    <w:p>
      <w:pPr>
        <w:pStyle w:val="BodyText"/>
      </w:pPr>
      <w:r>
        <w:t xml:space="preserve">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w:t>
      </w:r>
      <w:r>
        <w:t xml:space="preserve"> </w:t>
      </w:r>
      <m:oMath>
        <m:r>
          <m:t>ν</m:t>
        </m:r>
        <m:r>
          <m:rPr>
            <m:sty m:val="p"/>
          </m:rPr>
          <m:t>=</m:t>
        </m:r>
        <m:f>
          <m:fPr>
            <m:type m:val="bar"/>
          </m:fPr>
          <m:num>
            <m:r>
              <m:t>1</m:t>
            </m:r>
          </m:num>
          <m:den>
            <m:r>
              <m:t>2</m:t>
            </m:r>
          </m:den>
        </m:f>
      </m:oMath>
      <w:r>
        <w:t xml:space="preserve"> </w:t>
      </w:r>
      <w:r>
        <w:t xml:space="preserve">because of its wide use and reasonable proporties.</w:t>
      </w:r>
    </w:p>
    <w:p>
      <w:pPr>
        <w:pStyle w:val="BodyText"/>
      </w:pPr>
      <w:r>
        <w:t xml:space="preserve">The statistical analysis enumerates the following choices:</w:t>
      </w:r>
    </w:p>
    <w:p>
      <w:pPr>
        <w:numPr>
          <w:ilvl w:val="0"/>
          <w:numId w:val="1007"/>
        </w:numPr>
        <w:pStyle w:val="Compact"/>
      </w:pPr>
      <w:r>
        <w:t xml:space="preserve">comparator: pelvic mesh is compared to a range of specific (hernia mesh) to less specific (all other devices) comparator groups to characterise analysis performance,</w:t>
      </w:r>
    </w:p>
    <w:p>
      <w:pPr>
        <w:numPr>
          <w:ilvl w:val="0"/>
          <w:numId w:val="1007"/>
        </w:numPr>
        <w:pStyle w:val="Compact"/>
      </w:pPr>
      <w:r>
        <w:t xml:space="preserve">pain topic threshold, and</w:t>
      </w:r>
    </w:p>
    <w:p>
      <w:pPr>
        <w:numPr>
          <w:ilvl w:val="0"/>
          <w:numId w:val="1007"/>
        </w:numPr>
        <w:pStyle w:val="Compact"/>
      </w:pPr>
      <w:r>
        <w:t xml:space="preserve">competing signal detection methods in alpha-spend adjusted BCPNN IC calculations and maxSPRT.</w:t>
      </w:r>
    </w:p>
    <w:p>
      <w:pPr>
        <w:pStyle w:val="FirstParagraph"/>
      </w:pPr>
    </w:p>
    <w:p>
      <w:r>
        <w:br w:type="page"/>
      </w:r>
    </w:p>
    <w:bookmarkEnd w:id="35"/>
    <w:bookmarkEnd w:id="36"/>
    <w:bookmarkStart w:id="52"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Figure 2 demonstrates …</w:t>
      </w:r>
    </w:p>
    <w:p>
      <w:pPr>
        <w:pStyle w:val="BodyText"/>
      </w:pPr>
      <w:r>
        <w:t xml:space="preserve">While not the values used for determining significance, they are the statistics that are most familiar to interested parties.</w:t>
      </w:r>
      <w:r>
        <w:t xml:space="preserve"> </w:t>
      </w:r>
      <w:r>
        <w:t xml:space="preserve">The RR estimates for maxSPRT and PRR methods are of course identical, the methods differ in using the LLR and Wald testing respectively.</w:t>
      </w:r>
      <w:r>
        <w:t xml:space="preserve"> </w:t>
      </w:r>
      <w:r>
        <w:t xml:space="preserve">The IC statistic is not directly comparable to RR, it does share similarities in that values above the null value represent disproportionate reporting rate in the cohort of interest.</w:t>
      </w:r>
      <w:r>
        <w:t xml:space="preserve"> </w:t>
      </w:r>
      <w:r>
        <w:t xml:space="preserve">(include a 2^IC vs RR numeric example here)</w:t>
      </w:r>
    </w:p>
    <w:p>
      <w:pPr>
        <w:pStyle w:val="BodyText"/>
      </w:pPr>
      <w:r>
        <w:t xml:space="preserve">The columns of the plot depict increasing pain topic thresholds. Within each threshold, the reporting ratio estimates are reasonably stable after some initial fluctuation as a result of the uncertainty discrete nature of the data accumulated over time. However, the RR estimates for the larger thresholds show a general increase in the reporting ratio estimates over time. Interestingly, this is not the case for the BCPNN which actually decreases for the 0.08 threshold from 2016 onward. Common to all methods though are increased reporting ratio estimates for larger thresholds within their respective method suggesting that larger P(topic =</w:t>
      </w:r>
      <w:r>
        <w:t xml:space="preserve"> </w:t>
      </w:r>
      <w:r>
        <w:t xml:space="preserve">“</w:t>
      </w:r>
      <w:r>
        <w:t xml:space="preserve">pain</w:t>
      </w:r>
      <w:r>
        <w:t xml:space="preserve">”</w:t>
      </w:r>
      <w:r>
        <w:t xml:space="preserve">| document) are more frequent in the pelvic mesh group. This higher threshold comes with a cost, that the higher barrier to pain events means insufficient data are available to produce a reporting ratio estimate early in the data accumulation. Further demonstrating competing constraints of a threshold sensitive enough to identify pain events and …</w:t>
      </w:r>
    </w:p>
    <w:p>
      <w:pPr>
        <w:pStyle w:val="BodyText"/>
      </w:pPr>
      <w:r>
        <w:t xml:space="preserve">Note these stats are not affected by multiple comparison adjustment</w:t>
      </w:r>
    </w:p>
    <w:p>
      <w:pPr>
        <w:pStyle w:val="BodyText"/>
      </w:pPr>
      <w:r>
        <w:t xml:space="preserve">Vertical lines are when H0 is rejected for the various methods which don’t necessarily coincide with the largest reporting ratio estimate but with the …</w:t>
      </w:r>
    </w:p>
    <w:p>
      <w:pPr>
        <w:pStyle w:val="BodyText"/>
      </w:pPr>
      <w:r>
        <w:t xml:space="preserve">Significance was reached at the same time for all methods (last quarter of 2014), except for the PRR method at the 0.08 threshold which was a delayed an additional quarter.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1500"/>
                  <wp:effectExtent b="0" l="0" r="0" t="0"/>
                  <wp:docPr descr="" title="" id="41" name="Picture"/>
                  <a:graphic>
                    <a:graphicData uri="http://schemas.openxmlformats.org/drawingml/2006/picture">
                      <pic:pic>
                        <pic:nvPicPr>
                          <pic:cNvPr descr="2_report_files/figure-docx/stat_over_time_plot2-1.png" id="42"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Reporting ratio estimates for the pelvic mesh v hernia mesh comparison over time for the three signal detection methods at different pain topic thresholds.</w:t>
            </w:r>
          </w:p>
        </w:tc>
      </w:tr>
    </w:tbl>
    <w:p>
      <w:pPr>
        <w:pStyle w:val="BodyText"/>
      </w:pPr>
      <w:r>
        <w:t xml:space="preserve">Figure 3 shows how significance is determined for the three methods. The vertical line is when significance is reached</w:t>
      </w:r>
    </w:p>
    <w:p>
      <w:pPr>
        <w:pStyle w:val="BodyText"/>
      </w:pPr>
      <w:r>
        <w:t xml:space="preserve">LLR valuyes have been truncated at 30 for</w:t>
      </w:r>
    </w:p>
    <w:p>
      <w:pPr>
        <w:pStyle w:val="BodyText"/>
      </w:pPr>
      <w:r>
        <w:t xml:space="preserve">The CV values for each maxSPRT analysis for the different comparators are different (values here), although not obvious from the graph</w:t>
      </w:r>
    </w:p>
    <w:p>
      <w:pPr>
        <w:pStyle w:val="BodyText"/>
      </w:pPr>
      <w:r>
        <w:t xml:space="preserve">The Henernia mesh v Other mesh group serves a negative control as it is not expected to produce a significant signal. Indeed no signal detection method reaches significance for this comparison.</w:t>
      </w:r>
    </w:p>
    <w:p>
      <w:pPr>
        <w:pStyle w:val="SourceCode"/>
      </w:pPr>
      <w:r>
        <w:rPr>
          <w:rStyle w:val="VerbatimChar"/>
        </w:rPr>
        <w:t xml:space="preserve">Warning: Removed 54 rows containing missing values (`geom_vline()`).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4" name="Picture"/>
                  <a:graphic>
                    <a:graphicData uri="http://schemas.openxmlformats.org/drawingml/2006/picture">
                      <pic:pic>
                        <pic:nvPicPr>
                          <pic:cNvPr descr="2_report_files/figure-docx/stat_over_time_plot1-1.png" id="45"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Disproportionality test statistic values for heneria mesh compared to three copmparison groups over time with their respective critical values. The P(topic =</w:t>
            </w:r>
            <w:r>
              <w:t xml:space="preserve"> </w:t>
            </w:r>
            <w:r>
              <w:t xml:space="preserve">‘</w:t>
            </w:r>
            <w:r>
              <w:t xml:space="preserve">pain</w:t>
            </w:r>
            <w:r>
              <w:t xml:space="preserve">’</w:t>
            </w:r>
            <w:r>
              <w:t xml:space="preserve">| document) threshold is set at 0.04.</w:t>
            </w:r>
          </w:p>
        </w:tc>
      </w:tr>
    </w:tbl>
    <w:p>
      <w:pPr>
        <w:pStyle w:val="SourceCode"/>
      </w:pPr>
      <w:r>
        <w:rPr>
          <w:rStyle w:val="VerbatimChar"/>
        </w:rPr>
        <w:t xml:space="preserve">Warning: Removed 54 rows containing missing values (`geom_vline()`).</w:t>
      </w:r>
    </w:p>
    <w:p>
      <w:pPr>
        <w:pStyle w:val="FirstParagraph"/>
      </w:pPr>
      <w:r>
        <w:t xml:space="preserve">Figure 4 shows how the different signal detection methods reached significance at different pain thresholds.</w:t>
      </w:r>
    </w:p>
    <w:p>
      <w:pPr>
        <w:pStyle w:val="BodyText"/>
      </w:pPr>
      <w:r>
        <w:t xml:space="preserve">The highest thresholds risk delayed signal detection or not reaching significance at all, especially in the least data rich comparison of pelvic mesh v hernia mesh.</w:t>
      </w:r>
    </w:p>
    <w:p>
      <w:pPr>
        <w:pStyle w:val="BodyText"/>
      </w:pPr>
      <w:r>
        <w:t xml:space="preserve">xxx where the thresholds that ensured all methods for the mesh only comparisons were detected prior to 2015</w:t>
      </w:r>
    </w:p>
    <w:p>
      <w:pPr>
        <w:pStyle w:val="BodyText"/>
      </w:pPr>
      <w:r>
        <w:t xml:space="preserve">while the prr allowed earlier detection in the pelvic v all comparison (2012 Q4) for thresholds xxxx, these thresholds were sub-optimal for the other methods of signal detection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7" name="Picture"/>
                  <a:graphic>
                    <a:graphicData uri="http://schemas.openxmlformats.org/drawingml/2006/picture">
                      <pic:pic>
                        <pic:nvPicPr>
                          <pic:cNvPr descr="2_report_files/figure-docx/time_to_sig_plot1-1.png" id="48"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50" name="Picture"/>
                  <a:graphic>
                    <a:graphicData uri="http://schemas.openxmlformats.org/drawingml/2006/picture">
                      <pic:pic>
                        <pic:nvPicPr>
                          <pic:cNvPr descr="2_report_files/figure-docx/time_to_sig_plot_alts-1.png" id="51"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 using different assumed a priori variables for CV calculation.</w:t>
            </w:r>
          </w:p>
        </w:tc>
      </w:tr>
    </w:tbl>
    <w:bookmarkEnd w:id="52"/>
    <w:bookmarkStart w:id="53"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53"/>
    <w:bookmarkStart w:id="54"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"04 Dec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time zone: Australia/Adelaide</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arrow_12.0.1.1  gsDesign_3.5.0  knitr_1.43      ggrepel_0.9.3  </w:t>
      </w:r>
      <w:r>
        <w:br/>
      </w:r>
      <w:r>
        <w:rPr>
          <w:rStyle w:val="VerbatimChar"/>
        </w:rPr>
        <w:t xml:space="preserve"> [5] ggthemes_5.0.0  ggplot2_3.4.2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gt_0.9.0          utf8_1.2.3        generics_0.1.3    xml2_1.3.5       </w:t>
      </w:r>
      <w:r>
        <w:br/>
      </w:r>
      <w:r>
        <w:rPr>
          <w:rStyle w:val="VerbatimChar"/>
        </w:rPr>
        <w:t xml:space="preserve"> [5] stringi_1.7.12    hms_1.1.3         digest_0.6.33     magrittr_2.0.3   </w:t>
      </w:r>
      <w:r>
        <w:br/>
      </w:r>
      <w:r>
        <w:rPr>
          <w:rStyle w:val="VerbatimChar"/>
        </w:rPr>
        <w:t xml:space="preserve"> [9] evaluate_0.21     grid_4.3.1        timechange_0.2.0  fastmap_1.1.1    </w:t>
      </w:r>
      <w:r>
        <w:br/>
      </w:r>
      <w:r>
        <w:rPr>
          <w:rStyle w:val="VerbatimChar"/>
        </w:rPr>
        <w:t xml:space="preserve">[13] jsonlite_1.8.7    purrr_1.0.1       fansi_1.0.4       scales_1.2.1     </w:t>
      </w:r>
      <w:r>
        <w:br/>
      </w:r>
      <w:r>
        <w:rPr>
          <w:rStyle w:val="VerbatimChar"/>
        </w:rPr>
        <w:t xml:space="preserve">[17] textshaping_0.3.6 cli_3.6.1         rlang_1.1.1       bit64_4.0.5      </w:t>
      </w:r>
      <w:r>
        <w:br/>
      </w:r>
      <w:r>
        <w:rPr>
          <w:rStyle w:val="VerbatimChar"/>
        </w:rPr>
        <w:t xml:space="preserve">[21] munsell_0.5.0     withr_2.5.0       yaml_2.3.7        tools_4.3.1      </w:t>
      </w:r>
      <w:r>
        <w:br/>
      </w:r>
      <w:r>
        <w:rPr>
          <w:rStyle w:val="VerbatimChar"/>
        </w:rPr>
        <w:t xml:space="preserve">[25] tzdb_0.4.0        colorspace_2.1-0  assertthat_0.2.1  vctrs_0.6.3      </w:t>
      </w:r>
      <w:r>
        <w:br/>
      </w:r>
      <w:r>
        <w:rPr>
          <w:rStyle w:val="VerbatimChar"/>
        </w:rPr>
        <w:t xml:space="preserve">[29] R6_2.5.1          lifecycle_1.0.3   bit_4.0.5         ragg_1.2.5       </w:t>
      </w:r>
      <w:r>
        <w:br/>
      </w:r>
      <w:r>
        <w:rPr>
          <w:rStyle w:val="VerbatimChar"/>
        </w:rPr>
        <w:t xml:space="preserve">[33] pkgconfig_2.0.3   pillar_1.9.0      gtable_0.3.3      glue_1.6.2       </w:t>
      </w:r>
      <w:r>
        <w:br/>
      </w:r>
      <w:r>
        <w:rPr>
          <w:rStyle w:val="VerbatimChar"/>
        </w:rPr>
        <w:t xml:space="preserve">[37] Rcpp_1.0.11       systemfonts_1.0.4 xfun_0.39         tibble_3.2.1     </w:t>
      </w:r>
      <w:r>
        <w:br/>
      </w:r>
      <w:r>
        <w:rPr>
          <w:rStyle w:val="VerbatimChar"/>
        </w:rPr>
        <w:t xml:space="preserve">[41] tidyselect_1.2.0  rstudioapi_0.15.0 farver_2.1.1      xtable_1.8-4     </w:t>
      </w:r>
      <w:r>
        <w:br/>
      </w:r>
      <w:r>
        <w:rPr>
          <w:rStyle w:val="VerbatimChar"/>
        </w:rPr>
        <w:t xml:space="preserve">[45] htmltools_0.5.5   labeling_0.4.2    rmarkdown_2.23    compiler_4.3.1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et al.</dc:creator>
  <cp:keywords/>
  <dcterms:created xsi:type="dcterms:W3CDTF">2023-12-04T13:01:09Z</dcterms:created>
  <dcterms:modified xsi:type="dcterms:W3CDTF">2023-12-04T13:01:09Z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