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9E427" w14:textId="77777777" w:rsidR="00B476F1" w:rsidRDefault="00000000">
      <w:pPr>
        <w:pStyle w:val="Title"/>
      </w:pPr>
      <w:r>
        <w:t>Report</w:t>
      </w:r>
    </w:p>
    <w:p w14:paraId="6882B5F5" w14:textId="77777777" w:rsidR="00B476F1" w:rsidRDefault="00000000">
      <w:pPr>
        <w:pStyle w:val="Subtitle"/>
      </w:pPr>
      <w:r>
        <w:t>Signal detection of spontaneous medical device reports over time accounting for multiple comparisons</w:t>
      </w:r>
    </w:p>
    <w:p w14:paraId="798B79B4" w14:textId="77777777" w:rsidR="00B476F1" w:rsidRDefault="00000000">
      <w:pPr>
        <w:pStyle w:val="Author"/>
      </w:pPr>
      <w:r>
        <w:t>Ty Stanford, Lan Kelly, Marianne Gillam, et al.</w:t>
      </w:r>
    </w:p>
    <w:sdt>
      <w:sdtPr>
        <w:rPr>
          <w:rFonts w:asciiTheme="minorHAnsi" w:eastAsiaTheme="minorHAnsi" w:hAnsiTheme="minorHAnsi" w:cstheme="minorBidi"/>
          <w:color w:val="auto"/>
          <w:sz w:val="24"/>
          <w:szCs w:val="24"/>
        </w:rPr>
        <w:id w:val="1629974629"/>
        <w:docPartObj>
          <w:docPartGallery w:val="Table of Contents"/>
          <w:docPartUnique/>
        </w:docPartObj>
      </w:sdtPr>
      <w:sdtContent>
        <w:p w14:paraId="76C8D856" w14:textId="77777777" w:rsidR="00B476F1" w:rsidRDefault="00000000">
          <w:pPr>
            <w:pStyle w:val="TOCHeading"/>
          </w:pPr>
          <w:r>
            <w:t>Table of contents</w:t>
          </w:r>
        </w:p>
        <w:p w14:paraId="12205574" w14:textId="77777777" w:rsidR="0018388A" w:rsidRDefault="00000000">
          <w:pPr>
            <w:pStyle w:val="TOC1"/>
            <w:tabs>
              <w:tab w:val="right" w:leader="dot" w:pos="9350"/>
            </w:tabs>
            <w:rPr>
              <w:noProof/>
            </w:rPr>
          </w:pPr>
          <w:r>
            <w:fldChar w:fldCharType="begin"/>
          </w:r>
          <w:r>
            <w:instrText>TOC \o "1-3" \h \z \u</w:instrText>
          </w:r>
          <w:r>
            <w:fldChar w:fldCharType="separate"/>
          </w:r>
          <w:hyperlink w:anchor="_Toc154170397" w:history="1">
            <w:r w:rsidR="0018388A" w:rsidRPr="00991BB8">
              <w:rPr>
                <w:rStyle w:val="Hyperlink"/>
                <w:noProof/>
              </w:rPr>
              <w:t>1. Abstract</w:t>
            </w:r>
            <w:r w:rsidR="0018388A">
              <w:rPr>
                <w:noProof/>
                <w:webHidden/>
              </w:rPr>
              <w:tab/>
            </w:r>
            <w:r w:rsidR="0018388A">
              <w:rPr>
                <w:noProof/>
                <w:webHidden/>
              </w:rPr>
              <w:fldChar w:fldCharType="begin"/>
            </w:r>
            <w:r w:rsidR="0018388A">
              <w:rPr>
                <w:noProof/>
                <w:webHidden/>
              </w:rPr>
              <w:instrText xml:space="preserve"> PAGEREF _Toc154170397 \h </w:instrText>
            </w:r>
            <w:r w:rsidR="0018388A">
              <w:rPr>
                <w:noProof/>
                <w:webHidden/>
              </w:rPr>
            </w:r>
            <w:r w:rsidR="0018388A">
              <w:rPr>
                <w:noProof/>
                <w:webHidden/>
              </w:rPr>
              <w:fldChar w:fldCharType="separate"/>
            </w:r>
            <w:r w:rsidR="0018388A">
              <w:rPr>
                <w:noProof/>
                <w:webHidden/>
              </w:rPr>
              <w:t>2</w:t>
            </w:r>
            <w:r w:rsidR="0018388A">
              <w:rPr>
                <w:noProof/>
                <w:webHidden/>
              </w:rPr>
              <w:fldChar w:fldCharType="end"/>
            </w:r>
          </w:hyperlink>
        </w:p>
        <w:p w14:paraId="7D7B0081" w14:textId="77777777" w:rsidR="0018388A" w:rsidRDefault="0018388A">
          <w:pPr>
            <w:pStyle w:val="TOC1"/>
            <w:tabs>
              <w:tab w:val="right" w:leader="dot" w:pos="9350"/>
            </w:tabs>
            <w:rPr>
              <w:noProof/>
            </w:rPr>
          </w:pPr>
          <w:hyperlink w:anchor="_Toc154170398" w:history="1">
            <w:r w:rsidRPr="00991BB8">
              <w:rPr>
                <w:rStyle w:val="Hyperlink"/>
                <w:noProof/>
              </w:rPr>
              <w:t>2. Introduction</w:t>
            </w:r>
            <w:r>
              <w:rPr>
                <w:noProof/>
                <w:webHidden/>
              </w:rPr>
              <w:tab/>
            </w:r>
            <w:r>
              <w:rPr>
                <w:noProof/>
                <w:webHidden/>
              </w:rPr>
              <w:fldChar w:fldCharType="begin"/>
            </w:r>
            <w:r>
              <w:rPr>
                <w:noProof/>
                <w:webHidden/>
              </w:rPr>
              <w:instrText xml:space="preserve"> PAGEREF _Toc154170398 \h </w:instrText>
            </w:r>
            <w:r>
              <w:rPr>
                <w:noProof/>
                <w:webHidden/>
              </w:rPr>
            </w:r>
            <w:r>
              <w:rPr>
                <w:noProof/>
                <w:webHidden/>
              </w:rPr>
              <w:fldChar w:fldCharType="separate"/>
            </w:r>
            <w:r>
              <w:rPr>
                <w:noProof/>
                <w:webHidden/>
              </w:rPr>
              <w:t>3</w:t>
            </w:r>
            <w:r>
              <w:rPr>
                <w:noProof/>
                <w:webHidden/>
              </w:rPr>
              <w:fldChar w:fldCharType="end"/>
            </w:r>
          </w:hyperlink>
        </w:p>
        <w:p w14:paraId="72CF4BFF" w14:textId="77777777" w:rsidR="0018388A" w:rsidRDefault="0018388A">
          <w:pPr>
            <w:pStyle w:val="TOC1"/>
            <w:tabs>
              <w:tab w:val="right" w:leader="dot" w:pos="9350"/>
            </w:tabs>
            <w:rPr>
              <w:noProof/>
            </w:rPr>
          </w:pPr>
          <w:hyperlink w:anchor="_Toc154170399" w:history="1">
            <w:r w:rsidRPr="00991BB8">
              <w:rPr>
                <w:rStyle w:val="Hyperlink"/>
                <w:noProof/>
              </w:rPr>
              <w:t>3. Methods</w:t>
            </w:r>
            <w:r>
              <w:rPr>
                <w:noProof/>
                <w:webHidden/>
              </w:rPr>
              <w:tab/>
            </w:r>
            <w:r>
              <w:rPr>
                <w:noProof/>
                <w:webHidden/>
              </w:rPr>
              <w:fldChar w:fldCharType="begin"/>
            </w:r>
            <w:r>
              <w:rPr>
                <w:noProof/>
                <w:webHidden/>
              </w:rPr>
              <w:instrText xml:space="preserve"> PAGEREF _Toc154170399 \h </w:instrText>
            </w:r>
            <w:r>
              <w:rPr>
                <w:noProof/>
                <w:webHidden/>
              </w:rPr>
            </w:r>
            <w:r>
              <w:rPr>
                <w:noProof/>
                <w:webHidden/>
              </w:rPr>
              <w:fldChar w:fldCharType="separate"/>
            </w:r>
            <w:r>
              <w:rPr>
                <w:noProof/>
                <w:webHidden/>
              </w:rPr>
              <w:t>5</w:t>
            </w:r>
            <w:r>
              <w:rPr>
                <w:noProof/>
                <w:webHidden/>
              </w:rPr>
              <w:fldChar w:fldCharType="end"/>
            </w:r>
          </w:hyperlink>
        </w:p>
        <w:p w14:paraId="15A36EA6" w14:textId="77777777" w:rsidR="0018388A" w:rsidRDefault="0018388A">
          <w:pPr>
            <w:pStyle w:val="TOC2"/>
            <w:tabs>
              <w:tab w:val="right" w:leader="dot" w:pos="9350"/>
            </w:tabs>
            <w:rPr>
              <w:noProof/>
            </w:rPr>
          </w:pPr>
          <w:hyperlink w:anchor="_Toc154170400" w:history="1">
            <w:r w:rsidRPr="00991BB8">
              <w:rPr>
                <w:rStyle w:val="Hyperlink"/>
                <w:noProof/>
              </w:rPr>
              <w:t>3.1 Data aquisition</w:t>
            </w:r>
            <w:r>
              <w:rPr>
                <w:noProof/>
                <w:webHidden/>
              </w:rPr>
              <w:tab/>
            </w:r>
            <w:r>
              <w:rPr>
                <w:noProof/>
                <w:webHidden/>
              </w:rPr>
              <w:fldChar w:fldCharType="begin"/>
            </w:r>
            <w:r>
              <w:rPr>
                <w:noProof/>
                <w:webHidden/>
              </w:rPr>
              <w:instrText xml:space="preserve"> PAGEREF _Toc154170400 \h </w:instrText>
            </w:r>
            <w:r>
              <w:rPr>
                <w:noProof/>
                <w:webHidden/>
              </w:rPr>
            </w:r>
            <w:r>
              <w:rPr>
                <w:noProof/>
                <w:webHidden/>
              </w:rPr>
              <w:fldChar w:fldCharType="separate"/>
            </w:r>
            <w:r>
              <w:rPr>
                <w:noProof/>
                <w:webHidden/>
              </w:rPr>
              <w:t>5</w:t>
            </w:r>
            <w:r>
              <w:rPr>
                <w:noProof/>
                <w:webHidden/>
              </w:rPr>
              <w:fldChar w:fldCharType="end"/>
            </w:r>
          </w:hyperlink>
        </w:p>
        <w:p w14:paraId="39D89745" w14:textId="77777777" w:rsidR="0018388A" w:rsidRDefault="0018388A">
          <w:pPr>
            <w:pStyle w:val="TOC2"/>
            <w:tabs>
              <w:tab w:val="right" w:leader="dot" w:pos="9350"/>
            </w:tabs>
            <w:rPr>
              <w:noProof/>
            </w:rPr>
          </w:pPr>
          <w:hyperlink w:anchor="_Toc154170401" w:history="1">
            <w:r w:rsidRPr="00991BB8">
              <w:rPr>
                <w:rStyle w:val="Hyperlink"/>
                <w:noProof/>
              </w:rPr>
              <w:t>3.2 Analysis data</w:t>
            </w:r>
            <w:r>
              <w:rPr>
                <w:noProof/>
                <w:webHidden/>
              </w:rPr>
              <w:tab/>
            </w:r>
            <w:r>
              <w:rPr>
                <w:noProof/>
                <w:webHidden/>
              </w:rPr>
              <w:fldChar w:fldCharType="begin"/>
            </w:r>
            <w:r>
              <w:rPr>
                <w:noProof/>
                <w:webHidden/>
              </w:rPr>
              <w:instrText xml:space="preserve"> PAGEREF _Toc154170401 \h </w:instrText>
            </w:r>
            <w:r>
              <w:rPr>
                <w:noProof/>
                <w:webHidden/>
              </w:rPr>
            </w:r>
            <w:r>
              <w:rPr>
                <w:noProof/>
                <w:webHidden/>
              </w:rPr>
              <w:fldChar w:fldCharType="separate"/>
            </w:r>
            <w:r>
              <w:rPr>
                <w:noProof/>
                <w:webHidden/>
              </w:rPr>
              <w:t>9</w:t>
            </w:r>
            <w:r>
              <w:rPr>
                <w:noProof/>
                <w:webHidden/>
              </w:rPr>
              <w:fldChar w:fldCharType="end"/>
            </w:r>
          </w:hyperlink>
        </w:p>
        <w:p w14:paraId="452FF80D" w14:textId="77777777" w:rsidR="0018388A" w:rsidRDefault="0018388A">
          <w:pPr>
            <w:pStyle w:val="TOC2"/>
            <w:tabs>
              <w:tab w:val="right" w:leader="dot" w:pos="9350"/>
            </w:tabs>
            <w:rPr>
              <w:noProof/>
            </w:rPr>
          </w:pPr>
          <w:hyperlink w:anchor="_Toc154170402" w:history="1">
            <w:r w:rsidRPr="00991BB8">
              <w:rPr>
                <w:rStyle w:val="Hyperlink"/>
                <w:noProof/>
              </w:rPr>
              <w:t>3.3 Signal detection over time</w:t>
            </w:r>
            <w:r>
              <w:rPr>
                <w:noProof/>
                <w:webHidden/>
              </w:rPr>
              <w:tab/>
            </w:r>
            <w:r>
              <w:rPr>
                <w:noProof/>
                <w:webHidden/>
              </w:rPr>
              <w:fldChar w:fldCharType="begin"/>
            </w:r>
            <w:r>
              <w:rPr>
                <w:noProof/>
                <w:webHidden/>
              </w:rPr>
              <w:instrText xml:space="preserve"> PAGEREF _Toc154170402 \h </w:instrText>
            </w:r>
            <w:r>
              <w:rPr>
                <w:noProof/>
                <w:webHidden/>
              </w:rPr>
            </w:r>
            <w:r>
              <w:rPr>
                <w:noProof/>
                <w:webHidden/>
              </w:rPr>
              <w:fldChar w:fldCharType="separate"/>
            </w:r>
            <w:r>
              <w:rPr>
                <w:noProof/>
                <w:webHidden/>
              </w:rPr>
              <w:t>9</w:t>
            </w:r>
            <w:r>
              <w:rPr>
                <w:noProof/>
                <w:webHidden/>
              </w:rPr>
              <w:fldChar w:fldCharType="end"/>
            </w:r>
          </w:hyperlink>
        </w:p>
        <w:p w14:paraId="5C4BD739" w14:textId="77777777" w:rsidR="0018388A" w:rsidRDefault="0018388A">
          <w:pPr>
            <w:pStyle w:val="TOC3"/>
            <w:tabs>
              <w:tab w:val="right" w:leader="dot" w:pos="9350"/>
            </w:tabs>
            <w:rPr>
              <w:noProof/>
            </w:rPr>
          </w:pPr>
          <w:hyperlink w:anchor="_Toc154170403" w:history="1">
            <w:r w:rsidRPr="00991BB8">
              <w:rPr>
                <w:rStyle w:val="Hyperlink"/>
                <w:noProof/>
              </w:rPr>
              <w:t>3.3.1 Proportional reporting ratio (PRR)</w:t>
            </w:r>
            <w:r>
              <w:rPr>
                <w:noProof/>
                <w:webHidden/>
              </w:rPr>
              <w:tab/>
            </w:r>
            <w:r>
              <w:rPr>
                <w:noProof/>
                <w:webHidden/>
              </w:rPr>
              <w:fldChar w:fldCharType="begin"/>
            </w:r>
            <w:r>
              <w:rPr>
                <w:noProof/>
                <w:webHidden/>
              </w:rPr>
              <w:instrText xml:space="preserve"> PAGEREF _Toc154170403 \h </w:instrText>
            </w:r>
            <w:r>
              <w:rPr>
                <w:noProof/>
                <w:webHidden/>
              </w:rPr>
            </w:r>
            <w:r>
              <w:rPr>
                <w:noProof/>
                <w:webHidden/>
              </w:rPr>
              <w:fldChar w:fldCharType="separate"/>
            </w:r>
            <w:r>
              <w:rPr>
                <w:noProof/>
                <w:webHidden/>
              </w:rPr>
              <w:t>10</w:t>
            </w:r>
            <w:r>
              <w:rPr>
                <w:noProof/>
                <w:webHidden/>
              </w:rPr>
              <w:fldChar w:fldCharType="end"/>
            </w:r>
          </w:hyperlink>
        </w:p>
        <w:p w14:paraId="648C9101" w14:textId="77777777" w:rsidR="0018388A" w:rsidRDefault="0018388A">
          <w:pPr>
            <w:pStyle w:val="TOC3"/>
            <w:tabs>
              <w:tab w:val="right" w:leader="dot" w:pos="9350"/>
            </w:tabs>
            <w:rPr>
              <w:noProof/>
            </w:rPr>
          </w:pPr>
          <w:hyperlink w:anchor="_Toc154170404" w:history="1">
            <w:r w:rsidRPr="00991BB8">
              <w:rPr>
                <w:rStyle w:val="Hyperlink"/>
                <w:noProof/>
              </w:rPr>
              <w:t>3.3.2 Bayesian Confidence Propagation Neural Network (BCPNN) Information Component (IC)</w:t>
            </w:r>
            <w:r>
              <w:rPr>
                <w:noProof/>
                <w:webHidden/>
              </w:rPr>
              <w:tab/>
            </w:r>
            <w:r>
              <w:rPr>
                <w:noProof/>
                <w:webHidden/>
              </w:rPr>
              <w:fldChar w:fldCharType="begin"/>
            </w:r>
            <w:r>
              <w:rPr>
                <w:noProof/>
                <w:webHidden/>
              </w:rPr>
              <w:instrText xml:space="preserve"> PAGEREF _Toc154170404 \h </w:instrText>
            </w:r>
            <w:r>
              <w:rPr>
                <w:noProof/>
                <w:webHidden/>
              </w:rPr>
            </w:r>
            <w:r>
              <w:rPr>
                <w:noProof/>
                <w:webHidden/>
              </w:rPr>
              <w:fldChar w:fldCharType="separate"/>
            </w:r>
            <w:r>
              <w:rPr>
                <w:noProof/>
                <w:webHidden/>
              </w:rPr>
              <w:t>11</w:t>
            </w:r>
            <w:r>
              <w:rPr>
                <w:noProof/>
                <w:webHidden/>
              </w:rPr>
              <w:fldChar w:fldCharType="end"/>
            </w:r>
          </w:hyperlink>
        </w:p>
        <w:p w14:paraId="7FA3B165" w14:textId="77777777" w:rsidR="0018388A" w:rsidRDefault="0018388A">
          <w:pPr>
            <w:pStyle w:val="TOC3"/>
            <w:tabs>
              <w:tab w:val="right" w:leader="dot" w:pos="9350"/>
            </w:tabs>
            <w:rPr>
              <w:noProof/>
            </w:rPr>
          </w:pPr>
          <w:hyperlink w:anchor="_Toc154170405" w:history="1">
            <w:r w:rsidRPr="00991BB8">
              <w:rPr>
                <w:rStyle w:val="Hyperlink"/>
                <w:noProof/>
              </w:rPr>
              <w:t>3.3.3 maxSPRT</w:t>
            </w:r>
            <w:r>
              <w:rPr>
                <w:noProof/>
                <w:webHidden/>
              </w:rPr>
              <w:tab/>
            </w:r>
            <w:r>
              <w:rPr>
                <w:noProof/>
                <w:webHidden/>
              </w:rPr>
              <w:fldChar w:fldCharType="begin"/>
            </w:r>
            <w:r>
              <w:rPr>
                <w:noProof/>
                <w:webHidden/>
              </w:rPr>
              <w:instrText xml:space="preserve"> PAGEREF _Toc154170405 \h </w:instrText>
            </w:r>
            <w:r>
              <w:rPr>
                <w:noProof/>
                <w:webHidden/>
              </w:rPr>
            </w:r>
            <w:r>
              <w:rPr>
                <w:noProof/>
                <w:webHidden/>
              </w:rPr>
              <w:fldChar w:fldCharType="separate"/>
            </w:r>
            <w:r>
              <w:rPr>
                <w:noProof/>
                <w:webHidden/>
              </w:rPr>
              <w:t>11</w:t>
            </w:r>
            <w:r>
              <w:rPr>
                <w:noProof/>
                <w:webHidden/>
              </w:rPr>
              <w:fldChar w:fldCharType="end"/>
            </w:r>
          </w:hyperlink>
        </w:p>
        <w:p w14:paraId="45D96E52" w14:textId="77777777" w:rsidR="0018388A" w:rsidRDefault="0018388A">
          <w:pPr>
            <w:pStyle w:val="TOC2"/>
            <w:tabs>
              <w:tab w:val="right" w:leader="dot" w:pos="9350"/>
            </w:tabs>
            <w:rPr>
              <w:noProof/>
            </w:rPr>
          </w:pPr>
          <w:hyperlink w:anchor="_Toc154170406" w:history="1">
            <w:r w:rsidRPr="00991BB8">
              <w:rPr>
                <w:rStyle w:val="Hyperlink"/>
                <w:noProof/>
              </w:rPr>
              <w:t>3.4 Analysis choices</w:t>
            </w:r>
            <w:r>
              <w:rPr>
                <w:noProof/>
                <w:webHidden/>
              </w:rPr>
              <w:tab/>
            </w:r>
            <w:r>
              <w:rPr>
                <w:noProof/>
                <w:webHidden/>
              </w:rPr>
              <w:fldChar w:fldCharType="begin"/>
            </w:r>
            <w:r>
              <w:rPr>
                <w:noProof/>
                <w:webHidden/>
              </w:rPr>
              <w:instrText xml:space="preserve"> PAGEREF _Toc154170406 \h </w:instrText>
            </w:r>
            <w:r>
              <w:rPr>
                <w:noProof/>
                <w:webHidden/>
              </w:rPr>
            </w:r>
            <w:r>
              <w:rPr>
                <w:noProof/>
                <w:webHidden/>
              </w:rPr>
              <w:fldChar w:fldCharType="separate"/>
            </w:r>
            <w:r>
              <w:rPr>
                <w:noProof/>
                <w:webHidden/>
              </w:rPr>
              <w:t>13</w:t>
            </w:r>
            <w:r>
              <w:rPr>
                <w:noProof/>
                <w:webHidden/>
              </w:rPr>
              <w:fldChar w:fldCharType="end"/>
            </w:r>
          </w:hyperlink>
        </w:p>
        <w:p w14:paraId="416A18BB" w14:textId="77777777" w:rsidR="0018388A" w:rsidRDefault="0018388A">
          <w:pPr>
            <w:pStyle w:val="TOC2"/>
            <w:tabs>
              <w:tab w:val="right" w:leader="dot" w:pos="9350"/>
            </w:tabs>
            <w:rPr>
              <w:noProof/>
            </w:rPr>
          </w:pPr>
          <w:hyperlink w:anchor="_Toc154170407" w:history="1">
            <w:r w:rsidRPr="00991BB8">
              <w:rPr>
                <w:rStyle w:val="Hyperlink"/>
                <w:noProof/>
              </w:rPr>
              <w:t>3.5 Software and code availability</w:t>
            </w:r>
            <w:r>
              <w:rPr>
                <w:noProof/>
                <w:webHidden/>
              </w:rPr>
              <w:tab/>
            </w:r>
            <w:r>
              <w:rPr>
                <w:noProof/>
                <w:webHidden/>
              </w:rPr>
              <w:fldChar w:fldCharType="begin"/>
            </w:r>
            <w:r>
              <w:rPr>
                <w:noProof/>
                <w:webHidden/>
              </w:rPr>
              <w:instrText xml:space="preserve"> PAGEREF _Toc154170407 \h </w:instrText>
            </w:r>
            <w:r>
              <w:rPr>
                <w:noProof/>
                <w:webHidden/>
              </w:rPr>
            </w:r>
            <w:r>
              <w:rPr>
                <w:noProof/>
                <w:webHidden/>
              </w:rPr>
              <w:fldChar w:fldCharType="separate"/>
            </w:r>
            <w:r>
              <w:rPr>
                <w:noProof/>
                <w:webHidden/>
              </w:rPr>
              <w:t>13</w:t>
            </w:r>
            <w:r>
              <w:rPr>
                <w:noProof/>
                <w:webHidden/>
              </w:rPr>
              <w:fldChar w:fldCharType="end"/>
            </w:r>
          </w:hyperlink>
        </w:p>
        <w:p w14:paraId="1E4388B7" w14:textId="77777777" w:rsidR="0018388A" w:rsidRDefault="0018388A">
          <w:pPr>
            <w:pStyle w:val="TOC1"/>
            <w:tabs>
              <w:tab w:val="right" w:leader="dot" w:pos="9350"/>
            </w:tabs>
            <w:rPr>
              <w:noProof/>
            </w:rPr>
          </w:pPr>
          <w:hyperlink w:anchor="_Toc154170408" w:history="1">
            <w:r w:rsidRPr="00991BB8">
              <w:rPr>
                <w:rStyle w:val="Hyperlink"/>
                <w:noProof/>
              </w:rPr>
              <w:t>4. Results</w:t>
            </w:r>
            <w:r>
              <w:rPr>
                <w:noProof/>
                <w:webHidden/>
              </w:rPr>
              <w:tab/>
            </w:r>
            <w:r>
              <w:rPr>
                <w:noProof/>
                <w:webHidden/>
              </w:rPr>
              <w:fldChar w:fldCharType="begin"/>
            </w:r>
            <w:r>
              <w:rPr>
                <w:noProof/>
                <w:webHidden/>
              </w:rPr>
              <w:instrText xml:space="preserve"> PAGEREF _Toc154170408 \h </w:instrText>
            </w:r>
            <w:r>
              <w:rPr>
                <w:noProof/>
                <w:webHidden/>
              </w:rPr>
            </w:r>
            <w:r>
              <w:rPr>
                <w:noProof/>
                <w:webHidden/>
              </w:rPr>
              <w:fldChar w:fldCharType="separate"/>
            </w:r>
            <w:r>
              <w:rPr>
                <w:noProof/>
                <w:webHidden/>
              </w:rPr>
              <w:t>14</w:t>
            </w:r>
            <w:r>
              <w:rPr>
                <w:noProof/>
                <w:webHidden/>
              </w:rPr>
              <w:fldChar w:fldCharType="end"/>
            </w:r>
          </w:hyperlink>
        </w:p>
        <w:p w14:paraId="1FE09299" w14:textId="77777777" w:rsidR="0018388A" w:rsidRDefault="0018388A">
          <w:pPr>
            <w:pStyle w:val="TOC1"/>
            <w:tabs>
              <w:tab w:val="right" w:leader="dot" w:pos="9350"/>
            </w:tabs>
            <w:rPr>
              <w:noProof/>
            </w:rPr>
          </w:pPr>
          <w:hyperlink w:anchor="_Toc154170409" w:history="1">
            <w:r w:rsidRPr="00991BB8">
              <w:rPr>
                <w:rStyle w:val="Hyperlink"/>
                <w:noProof/>
              </w:rPr>
              <w:t>5. Conclusion</w:t>
            </w:r>
            <w:r>
              <w:rPr>
                <w:noProof/>
                <w:webHidden/>
              </w:rPr>
              <w:tab/>
            </w:r>
            <w:r>
              <w:rPr>
                <w:noProof/>
                <w:webHidden/>
              </w:rPr>
              <w:fldChar w:fldCharType="begin"/>
            </w:r>
            <w:r>
              <w:rPr>
                <w:noProof/>
                <w:webHidden/>
              </w:rPr>
              <w:instrText xml:space="preserve"> PAGEREF _Toc154170409 \h </w:instrText>
            </w:r>
            <w:r>
              <w:rPr>
                <w:noProof/>
                <w:webHidden/>
              </w:rPr>
            </w:r>
            <w:r>
              <w:rPr>
                <w:noProof/>
                <w:webHidden/>
              </w:rPr>
              <w:fldChar w:fldCharType="separate"/>
            </w:r>
            <w:r>
              <w:rPr>
                <w:noProof/>
                <w:webHidden/>
              </w:rPr>
              <w:t>19</w:t>
            </w:r>
            <w:r>
              <w:rPr>
                <w:noProof/>
                <w:webHidden/>
              </w:rPr>
              <w:fldChar w:fldCharType="end"/>
            </w:r>
          </w:hyperlink>
        </w:p>
        <w:p w14:paraId="0564C151" w14:textId="77777777" w:rsidR="0018388A" w:rsidRDefault="0018388A">
          <w:pPr>
            <w:pStyle w:val="TOC1"/>
            <w:tabs>
              <w:tab w:val="right" w:leader="dot" w:pos="9350"/>
            </w:tabs>
            <w:rPr>
              <w:noProof/>
            </w:rPr>
          </w:pPr>
          <w:hyperlink w:anchor="_Toc154170410" w:history="1">
            <w:r w:rsidRPr="00991BB8">
              <w:rPr>
                <w:rStyle w:val="Hyperlink"/>
                <w:noProof/>
              </w:rPr>
              <w:t>6. Session information</w:t>
            </w:r>
            <w:r>
              <w:rPr>
                <w:noProof/>
                <w:webHidden/>
              </w:rPr>
              <w:tab/>
            </w:r>
            <w:r>
              <w:rPr>
                <w:noProof/>
                <w:webHidden/>
              </w:rPr>
              <w:fldChar w:fldCharType="begin"/>
            </w:r>
            <w:r>
              <w:rPr>
                <w:noProof/>
                <w:webHidden/>
              </w:rPr>
              <w:instrText xml:space="preserve"> PAGEREF _Toc154170410 \h </w:instrText>
            </w:r>
            <w:r>
              <w:rPr>
                <w:noProof/>
                <w:webHidden/>
              </w:rPr>
            </w:r>
            <w:r>
              <w:rPr>
                <w:noProof/>
                <w:webHidden/>
              </w:rPr>
              <w:fldChar w:fldCharType="separate"/>
            </w:r>
            <w:r>
              <w:rPr>
                <w:noProof/>
                <w:webHidden/>
              </w:rPr>
              <w:t>20</w:t>
            </w:r>
            <w:r>
              <w:rPr>
                <w:noProof/>
                <w:webHidden/>
              </w:rPr>
              <w:fldChar w:fldCharType="end"/>
            </w:r>
          </w:hyperlink>
        </w:p>
        <w:p w14:paraId="0558E9B7" w14:textId="77777777" w:rsidR="00B476F1" w:rsidRDefault="00000000">
          <w:r>
            <w:fldChar w:fldCharType="end"/>
          </w:r>
        </w:p>
      </w:sdtContent>
    </w:sdt>
    <w:p w14:paraId="3F0AC82E" w14:textId="77777777" w:rsidR="00B476F1" w:rsidRDefault="00000000">
      <w:r>
        <w:br w:type="page"/>
      </w:r>
    </w:p>
    <w:p w14:paraId="1BAE571E" w14:textId="77777777" w:rsidR="00B476F1" w:rsidRDefault="00000000">
      <w:pPr>
        <w:pStyle w:val="FirstParagraph"/>
      </w:pPr>
      <w:hyperlink r:id="rId7">
        <w:r>
          <w:rPr>
            <w:rStyle w:val="Hyperlink"/>
          </w:rPr>
          <w:t>https://academic.oup.com/jamia/pages/General_Instructions</w:t>
        </w:r>
      </w:hyperlink>
    </w:p>
    <w:p w14:paraId="0A50DB8A" w14:textId="77777777" w:rsidR="00B476F1" w:rsidRDefault="00000000">
      <w:pPr>
        <w:pStyle w:val="BodyText"/>
      </w:pPr>
      <w:r>
        <w:rPr>
          <w:b/>
          <w:bCs/>
        </w:rPr>
        <w:t>Research and Applications</w:t>
      </w:r>
    </w:p>
    <w:p w14:paraId="5B02F51A" w14:textId="77777777" w:rsidR="00B476F1" w:rsidRDefault="00000000">
      <w:pPr>
        <w:pStyle w:val="BodyText"/>
      </w:pPr>
      <w:r>
        <w:t>Research and Applications articles describe original work in the formulation, implementation, or evaluation of informatics-based studies and investigations. The articles do not need to be limited to hypothesis-driven research, and they can, for example, report on an innovative application of information technology, the detailed description of a new methodology, or the formulation and formative evaluation of a new model. The structured abstract should contain the headings: Objective, Materials and Methods, Results, Discussion, and Conclusion. The main text should, in addition to the sections corresponding to these headings, include a section describing Background and Significance.</w:t>
      </w:r>
    </w:p>
    <w:p w14:paraId="1B81DA96" w14:textId="77777777" w:rsidR="00B476F1" w:rsidRDefault="00000000">
      <w:pPr>
        <w:pStyle w:val="BodyText"/>
      </w:pPr>
      <w:r>
        <w:t>(Word count: up to 4000 words. Structured abstract: up to 250 words. Tables: up to 4. Figures: up to 6. References: unlimited.)</w:t>
      </w:r>
    </w:p>
    <w:p w14:paraId="5FAB74CC" w14:textId="77777777" w:rsidR="00B476F1" w:rsidRDefault="00000000">
      <w:pPr>
        <w:pStyle w:val="BodyText"/>
      </w:pPr>
      <w:r>
        <w:rPr>
          <w:b/>
          <w:bCs/>
        </w:rPr>
        <w:t>Brief Communications</w:t>
      </w:r>
    </w:p>
    <w:p w14:paraId="4FAC9AD0" w14:textId="77777777" w:rsidR="00B476F1" w:rsidRDefault="00000000">
      <w:pPr>
        <w:pStyle w:val="BodyText"/>
      </w:pPr>
      <w:r>
        <w:t>Brief Communications are short versions of Research and Applications articles, often describing focused approaches to solve a particular problem, or preliminary evaluation of a novel system or methodology.</w:t>
      </w:r>
    </w:p>
    <w:p w14:paraId="2BBBFC33" w14:textId="77777777" w:rsidR="00B476F1" w:rsidRDefault="00000000">
      <w:pPr>
        <w:pStyle w:val="BodyText"/>
      </w:pPr>
      <w:r>
        <w:t>Word count: up to 2000 words. Structured abstract: up to 150 words. Tables: up to 2. Figures: up to 3. References: unlimited.</w:t>
      </w:r>
    </w:p>
    <w:p w14:paraId="65C6F3D0" w14:textId="77777777" w:rsidR="00B476F1" w:rsidRDefault="00000000">
      <w:pPr>
        <w:pStyle w:val="Heading1"/>
      </w:pPr>
      <w:bookmarkStart w:id="0" w:name="abstract"/>
      <w:bookmarkStart w:id="1" w:name="_Toc154170397"/>
      <w:r>
        <w:t>1. Abstract</w:t>
      </w:r>
      <w:bookmarkEnd w:id="1"/>
    </w:p>
    <w:p w14:paraId="1C8450C0" w14:textId="77777777" w:rsidR="00B476F1" w:rsidRDefault="00000000">
      <w:pPr>
        <w:pStyle w:val="FirstParagraph"/>
      </w:pPr>
      <w:r>
        <w:t>Objective</w:t>
      </w:r>
    </w:p>
    <w:p w14:paraId="1B1A9597" w14:textId="77777777" w:rsidR="00B476F1" w:rsidRDefault="00000000">
      <w:pPr>
        <w:pStyle w:val="BodyText"/>
      </w:pPr>
      <w:r>
        <w:t>Materials and Methods</w:t>
      </w:r>
    </w:p>
    <w:p w14:paraId="65E99267" w14:textId="77777777" w:rsidR="00B476F1" w:rsidRDefault="00000000">
      <w:pPr>
        <w:pStyle w:val="BodyText"/>
      </w:pPr>
      <w:r>
        <w:t>Results</w:t>
      </w:r>
    </w:p>
    <w:p w14:paraId="4CA25D5F" w14:textId="77777777" w:rsidR="00B476F1" w:rsidRDefault="00000000">
      <w:pPr>
        <w:pStyle w:val="BodyText"/>
      </w:pPr>
      <w:r>
        <w:t>Discussion</w:t>
      </w:r>
    </w:p>
    <w:p w14:paraId="0BE4EB31" w14:textId="77777777" w:rsidR="00B476F1" w:rsidRDefault="00000000">
      <w:pPr>
        <w:pStyle w:val="BodyText"/>
      </w:pPr>
      <w:r>
        <w:t>Conclusion</w:t>
      </w:r>
    </w:p>
    <w:p w14:paraId="681F7CEE" w14:textId="77777777" w:rsidR="00B476F1" w:rsidRDefault="00000000">
      <w:r>
        <w:br w:type="page"/>
      </w:r>
    </w:p>
    <w:p w14:paraId="1B08B744" w14:textId="77777777" w:rsidR="00B476F1" w:rsidRDefault="00000000">
      <w:pPr>
        <w:pStyle w:val="Heading1"/>
      </w:pPr>
      <w:bookmarkStart w:id="2" w:name="introduction"/>
      <w:bookmarkStart w:id="3" w:name="_Toc154170398"/>
      <w:bookmarkEnd w:id="0"/>
      <w:r>
        <w:lastRenderedPageBreak/>
        <w:t>2. Introduction</w:t>
      </w:r>
      <w:bookmarkEnd w:id="3"/>
    </w:p>
    <w:p w14:paraId="386B6865" w14:textId="77777777" w:rsidR="00B476F1" w:rsidRDefault="00000000">
      <w:pPr>
        <w:pStyle w:val="FirstParagraph"/>
      </w:pPr>
      <w:r>
        <w:t>Adverse events from implantable medical devices are commonly reported to regulatory bodies in the form of unstructured free-text in spontaneous reports. Detecting safety signals from the reports for post-market surveillance can be challenging. Spontaneous reports of adverse events may be submitted by manufacturers, clinicians and consumers to the Database of Adverse Event Notifications (DAEN), maintained by the Australian Therapeutic Goods Administration (TGA) in the form of unstructured free text. Pelvic (urogynaecological) mesh was used to treat women for pelvic organ prolapse and stress urinary incontinence. While the device provided benefits to some women, others experienced serious complications.</w:t>
      </w:r>
    </w:p>
    <w:p w14:paraId="0B90C97B" w14:textId="77777777" w:rsidR="00B476F1" w:rsidRDefault="00000000">
      <w:pPr>
        <w:pStyle w:val="BodyText"/>
      </w:pPr>
      <w:r>
        <w:t>The pelvic mesh was removed from market in …</w:t>
      </w:r>
    </w:p>
    <w:p w14:paraId="4C8E1E8B" w14:textId="77777777" w:rsidR="00B476F1" w:rsidRDefault="00000000">
      <w:pPr>
        <w:pStyle w:val="BodyText"/>
      </w:pPr>
      <w:r>
        <w:t xml:space="preserve">There is still ongoing heath, financial and legal fallout from the device’s use </w:t>
      </w:r>
      <w:hyperlink r:id="rId8">
        <w:r>
          <w:rPr>
            <w:rStyle w:val="Hyperlink"/>
          </w:rPr>
          <w:t>Dec 22</w:t>
        </w:r>
      </w:hyperlink>
    </w:p>
    <w:p w14:paraId="03369071" w14:textId="77777777" w:rsidR="00B476F1" w:rsidRDefault="00000000">
      <w:pPr>
        <w:pStyle w:val="BodyText"/>
      </w:pPr>
      <w:r>
        <w:t>Post-market safety signal detection plays an important role in ongoing monitoring of medical devices and medicines at large scales. The oft-considered gold standard of clinical trials are normally targeted for effectiveness outcomes and do not have to the scope or data abundance to monitor multi-system safety signals. Large spontaneous report databases provide large-scale data, whether nationally or internationally, that can be mined to uncover disproportionate numbers of adverse events reported based on exposure groups (medical device classifications for example). Uncovered relationships of disproportionate adverse event reporting may be used for screening of more targeted investigations of the exposure-outcome pairs for patient safety.</w:t>
      </w:r>
    </w:p>
    <w:p w14:paraId="5F4FFFA3" w14:textId="77777777" w:rsidR="00B476F1" w:rsidRDefault="00000000">
      <w:pPr>
        <w:pStyle w:val="BodyText"/>
      </w:pPr>
      <w:r>
        <w:t>Oftentimes, signal detection is performed at snapshots in time based on specific concerns or interest in the exposure or outcome. A more complicated periodic re-assessment of safety signals is also possible. This can be done by alpha-adjustment of the to account for multiple looks at the estimates over time, or use methods like maxSPRT which also consider multiple looks at the potential signal estimates, however the detection thresholds are calculated so the type I error remains nominal for the entirety of the follow-up.</w:t>
      </w:r>
    </w:p>
    <w:p w14:paraId="1B0F0016" w14:textId="77777777" w:rsidR="00B476F1" w:rsidRDefault="00000000">
      <w:pPr>
        <w:pStyle w:val="BodyText"/>
      </w:pPr>
      <w:r>
        <w:t>Considered here are the periodic signal detection methods as we aim to retrospectively determine, if periodic evaluation of safety signals (specifically for pain) were assessed for pelvic mesh, at what point would a signal have been detected.</w:t>
      </w:r>
    </w:p>
    <w:p w14:paraId="29831DBE" w14:textId="77777777" w:rsidR="00B476F1" w:rsidRDefault="00000000">
      <w:pPr>
        <w:pStyle w:val="BodyText"/>
      </w:pPr>
      <w:r>
        <w:t>Traditionally, signal detection mining has used structured data in spontaneous databases based on structured reports from patients, medical practitioners, government bodies or device or medication sponsors. However, with both the increase in digital data such as free-text data, maturing natural language processing machine learning methods and increased computational power, an opportunity is available to leverage free-text data in safety signal detection.</w:t>
      </w:r>
    </w:p>
    <w:p w14:paraId="2618BC05" w14:textId="77777777" w:rsidR="00B476F1" w:rsidRDefault="00000000">
      <w:pPr>
        <w:pStyle w:val="BodyText"/>
      </w:pPr>
      <w:r>
        <w:t>[has there been any NLP of free-text in adverse events/safety monitoring? Need to do literature search of examples + references]</w:t>
      </w:r>
    </w:p>
    <w:p w14:paraId="1DF1D5EC" w14:textId="77777777" w:rsidR="00B476F1" w:rsidRDefault="00000000">
      <w:pPr>
        <w:pStyle w:val="BodyText"/>
      </w:pPr>
      <w:r>
        <w:lastRenderedPageBreak/>
        <w:t>The purpose of this study was to develop an end-to-end pipeline, utilising free-text information to screen for medical device safety issues, using an Australian spontaneous report database of medical device adverse events (Database of Adverse Event Notifications, DAEN). The study aims to evaluate the feasibility of disproportional reporting rate methods to detect signals in free-text descriptions of adverse events using natural language processing (NLP) to classify DAEN reports into topics by:</w:t>
      </w:r>
    </w:p>
    <w:p w14:paraId="61A88ADC" w14:textId="77777777" w:rsidR="00B476F1" w:rsidRDefault="00000000">
      <w:pPr>
        <w:pStyle w:val="Compact"/>
        <w:numPr>
          <w:ilvl w:val="0"/>
          <w:numId w:val="2"/>
        </w:numPr>
      </w:pPr>
      <w:r>
        <w:t>implementing over time, repeated look adjusted disproportional reporting rate (“signal detection”) algorithms on medical device adverse event data,</w:t>
      </w:r>
    </w:p>
    <w:p w14:paraId="19E408BE" w14:textId="77777777" w:rsidR="00B476F1" w:rsidRDefault="00000000">
      <w:pPr>
        <w:pStyle w:val="Compact"/>
        <w:numPr>
          <w:ilvl w:val="0"/>
          <w:numId w:val="2"/>
        </w:numPr>
      </w:pPr>
      <w:r>
        <w:t>reporting retrospective time-to-signal findings for pelvic mesh devices associated with pain adverse events for analysis pipeline feasibility,</w:t>
      </w:r>
    </w:p>
    <w:p w14:paraId="5C302D4D" w14:textId="77777777" w:rsidR="00B476F1" w:rsidRDefault="00000000">
      <w:pPr>
        <w:pStyle w:val="Compact"/>
        <w:numPr>
          <w:ilvl w:val="0"/>
          <w:numId w:val="2"/>
        </w:numPr>
      </w:pPr>
      <w:r>
        <w:t>evaluating the sensitivity of signal detection methods to assumed data accumulation length and rates (e.g., the critical value calculation for maxSPRT), and</w:t>
      </w:r>
    </w:p>
    <w:p w14:paraId="3F46B95E" w14:textId="77777777" w:rsidR="00B476F1" w:rsidRDefault="00000000">
      <w:pPr>
        <w:pStyle w:val="Compact"/>
        <w:numPr>
          <w:ilvl w:val="0"/>
          <w:numId w:val="2"/>
        </w:numPr>
      </w:pPr>
      <w:r>
        <w:t>comparing the retrospective time-to-signal to the timings of the withdrawl of pelvic mesh devices in Australia.</w:t>
      </w:r>
    </w:p>
    <w:p w14:paraId="17420F30" w14:textId="77777777" w:rsidR="00B476F1" w:rsidRDefault="00000000">
      <w:r>
        <w:br w:type="page"/>
      </w:r>
    </w:p>
    <w:p w14:paraId="5C4D5537" w14:textId="77777777" w:rsidR="00B476F1" w:rsidRDefault="00000000">
      <w:pPr>
        <w:pStyle w:val="Heading1"/>
      </w:pPr>
      <w:bookmarkStart w:id="4" w:name="methods"/>
      <w:bookmarkStart w:id="5" w:name="_Toc154170399"/>
      <w:bookmarkEnd w:id="2"/>
      <w:r>
        <w:lastRenderedPageBreak/>
        <w:t>3. Methods</w:t>
      </w:r>
      <w:bookmarkEnd w:id="5"/>
    </w:p>
    <w:p w14:paraId="1DCB0256" w14:textId="77777777" w:rsidR="00B476F1" w:rsidRDefault="00000000">
      <w:pPr>
        <w:pStyle w:val="FirstParagraph"/>
      </w:pPr>
      <w:r>
        <w:t xml:space="preserve">The DAEN spontaneous database was searched for free-text reports on all medical devices from 2012-2017 with an eye to focus on mesh devices and pelvic mesh, specifically, reporting pain as a post surgery outcome. Topic modelling, a Natural Language Processing (NLP) technique, was used to profile the unstructured text into mixtures of clinically relevant topics. A report was considered to contain a particular topic </w:t>
      </w:r>
      <m:oMath>
        <m:r>
          <w:rPr>
            <w:rFonts w:ascii="Cambria Math" w:hAnsi="Cambria Math"/>
          </w:rPr>
          <m:t>X</m:t>
        </m:r>
      </m:oMath>
      <w:r>
        <w:t xml:space="preserve"> if the probability it contains words relating to the topic, P(topic = </w:t>
      </w:r>
      <m:oMath>
        <m:r>
          <w:rPr>
            <w:rFonts w:ascii="Cambria Math" w:hAnsi="Cambria Math"/>
          </w:rPr>
          <m:t>X</m:t>
        </m:r>
      </m:oMath>
      <w:r>
        <w:t>| document), was over a certain threshold, therefore denoting a presumptive “pain” spontaneous event.</w:t>
      </w:r>
    </w:p>
    <w:p w14:paraId="1025718A" w14:textId="77777777" w:rsidR="00B476F1" w:rsidRDefault="00000000">
      <w:pPr>
        <w:pStyle w:val="BodyText"/>
      </w:pPr>
      <w:r>
        <w:t xml:space="preserve">Disproportionality analysis was used to detect potential signals from the most frequent clinical topic from pelvic mesh, with hernia mesh and other devices used as comparators. Measures are based on a </w:t>
      </w:r>
      <m:oMath>
        <m:r>
          <w:rPr>
            <w:rFonts w:ascii="Cambria Math" w:hAnsi="Cambria Math"/>
          </w:rPr>
          <m:t>2</m:t>
        </m:r>
        <m:r>
          <m:rPr>
            <m:sty m:val="p"/>
          </m:rPr>
          <w:rPr>
            <w:rFonts w:ascii="Cambria Math" w:hAnsi="Cambria Math"/>
          </w:rPr>
          <m:t>×</m:t>
        </m:r>
        <m:r>
          <w:rPr>
            <w:rFonts w:ascii="Cambria Math" w:hAnsi="Cambria Math"/>
          </w:rPr>
          <m:t>2</m:t>
        </m:r>
      </m:oMath>
      <w:r>
        <w:t xml:space="preserve"> contingency table for the number of adverse events with and without the most frequent topic in the device of interest and the comparator.</w:t>
      </w:r>
    </w:p>
    <w:p w14:paraId="07817BE0" w14:textId="77777777" w:rsidR="00B476F1" w:rsidRDefault="00000000">
      <w:pPr>
        <w:pStyle w:val="BodyText"/>
      </w:pPr>
      <w:r>
        <w:t>Testing was performed on the DAEN at quarterly intervals, if new data were accumulated in the interval, over the study period, commencing in 2012.</w:t>
      </w:r>
    </w:p>
    <w:p w14:paraId="0D79F175" w14:textId="77777777" w:rsidR="00B476F1" w:rsidRDefault="00000000">
      <w:pPr>
        <w:pStyle w:val="Heading2"/>
      </w:pPr>
      <w:bookmarkStart w:id="6" w:name="data-aquisition"/>
      <w:bookmarkStart w:id="7" w:name="_Toc154170400"/>
      <w:r>
        <w:t>3.1 Data aquisition</w:t>
      </w:r>
      <w:bookmarkEnd w:id="7"/>
    </w:p>
    <w:p w14:paraId="1A30C802" w14:textId="77777777" w:rsidR="00B476F1" w:rsidRDefault="00000000">
      <w:pPr>
        <w:pStyle w:val="FirstParagraph"/>
      </w:pPr>
      <w:r>
        <w:t xml:space="preserve">The data is thanks to </w:t>
      </w:r>
      <w:hyperlink r:id="rId9">
        <w:proofErr w:type="spellStart"/>
        <w:r>
          <w:rPr>
            <w:rStyle w:val="Hyperlink"/>
          </w:rPr>
          <w:t>curtis-murray</w:t>
        </w:r>
        <w:proofErr w:type="spellEnd"/>
      </w:hyperlink>
      <w:r>
        <w:t xml:space="preserve"> at his </w:t>
      </w:r>
      <w:hyperlink r:id="rId10">
        <w:proofErr w:type="spellStart"/>
        <w:r>
          <w:rPr>
            <w:rStyle w:val="Hyperlink"/>
          </w:rPr>
          <w:t>MedicalDevicesNLP</w:t>
        </w:r>
        <w:proofErr w:type="spellEnd"/>
      </w:hyperlink>
      <w:r>
        <w:t xml:space="preserve"> repo</w:t>
      </w:r>
    </w:p>
    <w:p w14:paraId="5C75B889" w14:textId="77777777" w:rsidR="00B476F1" w:rsidRDefault="00000000">
      <w:pPr>
        <w:pStyle w:val="Compact"/>
        <w:numPr>
          <w:ilvl w:val="0"/>
          <w:numId w:val="3"/>
        </w:numPr>
      </w:pPr>
      <w:r>
        <w:t>Natural language processing of the TGA spontaneous reports of medical device database (DAEN)</w:t>
      </w:r>
    </w:p>
    <w:p w14:paraId="2B35485F" w14:textId="77777777" w:rsidR="00B476F1" w:rsidRDefault="00000000">
      <w:pPr>
        <w:pStyle w:val="Compact"/>
        <w:numPr>
          <w:ilvl w:val="0"/>
          <w:numId w:val="3"/>
        </w:numPr>
      </w:pPr>
      <w:r>
        <w:t>Each record has an estimate of P(</w:t>
      </w:r>
      <w:r>
        <w:rPr>
          <w:rStyle w:val="VerbatimChar"/>
        </w:rPr>
        <w:t>topic == "pain"</w:t>
      </w:r>
      <w:r>
        <w:t xml:space="preserve"> | </w:t>
      </w:r>
      <w:r>
        <w:rPr>
          <w:rStyle w:val="VerbatimChar"/>
        </w:rPr>
        <w:t>Level</w:t>
      </w:r>
      <w:r>
        <w:t xml:space="preserve">, </w:t>
      </w:r>
      <w:r>
        <w:rPr>
          <w:rStyle w:val="VerbatimChar"/>
        </w:rPr>
        <w:t>Doc</w:t>
      </w:r>
      <w:r>
        <w:t>) using hierarchical stochastic block modelling (hSBM)</w:t>
      </w:r>
    </w:p>
    <w:p w14:paraId="36262DDE" w14:textId="77777777" w:rsidR="00B476F1" w:rsidRDefault="00000000">
      <w:pPr>
        <w:pStyle w:val="Compact"/>
        <w:numPr>
          <w:ilvl w:val="0"/>
          <w:numId w:val="3"/>
        </w:numPr>
      </w:pPr>
      <w:r>
        <w:t>P(</w:t>
      </w:r>
      <w:r>
        <w:rPr>
          <w:rStyle w:val="VerbatimChar"/>
        </w:rPr>
        <w:t>topic == "pain"</w:t>
      </w:r>
      <w:r>
        <w:t xml:space="preserve"> | </w:t>
      </w:r>
      <w:r>
        <w:rPr>
          <w:rStyle w:val="VerbatimChar"/>
        </w:rPr>
        <w:t>Level</w:t>
      </w:r>
      <w:r>
        <w:t xml:space="preserve">, </w:t>
      </w:r>
      <w:r>
        <w:rPr>
          <w:rStyle w:val="VerbatimChar"/>
        </w:rPr>
        <w:t>Doc</w:t>
      </w:r>
      <w:r>
        <w:t>) estimates for each record are roughly interpreted as the proportion of the NLP analysed free text that is considered as using/describing words related to pain</w:t>
      </w:r>
    </w:p>
    <w:p w14:paraId="71BA70D1" w14:textId="2A83EAC4" w:rsidR="0018388A" w:rsidRDefault="00000000">
      <w:pPr>
        <w:pStyle w:val="FirstParagraph"/>
      </w:pPr>
      <w:r>
        <w:t>And example record and processing values (description limited to 150 characters):</w:t>
      </w:r>
    </w:p>
    <w:p w14:paraId="5EA30E0A" w14:textId="77777777" w:rsidR="0018388A" w:rsidRDefault="0018388A">
      <w:pPr>
        <w:pStyle w:val="Compact"/>
        <w:jc w:val="right"/>
        <w:cnfStyle w:val="100000000000" w:firstRow="1" w:lastRow="0" w:firstColumn="0" w:lastColumn="0" w:oddVBand="0" w:evenVBand="0" w:oddHBand="0" w:evenHBand="0" w:firstRowFirstColumn="0" w:firstRowLastColumn="0" w:lastRowFirstColumn="0" w:lastRowLastColumn="0"/>
        <w:sectPr w:rsidR="0018388A">
          <w:pgSz w:w="12240" w:h="15840"/>
          <w:pgMar w:top="1440" w:right="1440" w:bottom="1440" w:left="1440" w:header="720" w:footer="720" w:gutter="0"/>
          <w:cols w:space="720"/>
        </w:sectPr>
      </w:pPr>
    </w:p>
    <w:tbl>
      <w:tblPr>
        <w:tblStyle w:val="Table"/>
        <w:tblW w:w="5000" w:type="pct"/>
        <w:tblLook w:val="0020" w:firstRow="1" w:lastRow="0" w:firstColumn="0" w:lastColumn="0" w:noHBand="0" w:noVBand="0"/>
      </w:tblPr>
      <w:tblGrid>
        <w:gridCol w:w="1161"/>
        <w:gridCol w:w="936"/>
        <w:gridCol w:w="1524"/>
        <w:gridCol w:w="907"/>
        <w:gridCol w:w="1536"/>
        <w:gridCol w:w="1017"/>
        <w:gridCol w:w="853"/>
        <w:gridCol w:w="1502"/>
        <w:gridCol w:w="1373"/>
        <w:gridCol w:w="2151"/>
      </w:tblGrid>
      <w:tr w:rsidR="00B476F1" w14:paraId="57AA76AE" w14:textId="77777777" w:rsidTr="00B476F1">
        <w:trPr>
          <w:cnfStyle w:val="100000000000" w:firstRow="1" w:lastRow="0" w:firstColumn="0" w:lastColumn="0" w:oddVBand="0" w:evenVBand="0" w:oddHBand="0" w:evenHBand="0" w:firstRowFirstColumn="0" w:firstRowLastColumn="0" w:lastRowFirstColumn="0" w:lastRowLastColumn="0"/>
          <w:tblHeader/>
        </w:trPr>
        <w:tc>
          <w:tcPr>
            <w:tcW w:w="0" w:type="auto"/>
          </w:tcPr>
          <w:p w14:paraId="1886F398" w14:textId="1629DA29" w:rsidR="00B476F1" w:rsidRDefault="0018388A">
            <w:pPr>
              <w:pStyle w:val="Compact"/>
              <w:jc w:val="right"/>
            </w:pPr>
            <w:r>
              <w:lastRenderedPageBreak/>
              <w:br w:type="page"/>
            </w:r>
            <w:proofErr w:type="spellStart"/>
            <w:r w:rsidR="00000000">
              <w:t>ReportID</w:t>
            </w:r>
            <w:proofErr w:type="spellEnd"/>
          </w:p>
        </w:tc>
        <w:tc>
          <w:tcPr>
            <w:tcW w:w="0" w:type="auto"/>
          </w:tcPr>
          <w:p w14:paraId="0C3BD6D4" w14:textId="77777777" w:rsidR="00B476F1" w:rsidRDefault="00000000">
            <w:pPr>
              <w:pStyle w:val="Compact"/>
            </w:pPr>
            <w:r>
              <w:t>Report date</w:t>
            </w:r>
          </w:p>
        </w:tc>
        <w:tc>
          <w:tcPr>
            <w:tcW w:w="0" w:type="auto"/>
          </w:tcPr>
          <w:p w14:paraId="6EAD36DD" w14:textId="77777777" w:rsidR="00B476F1" w:rsidRDefault="00000000">
            <w:pPr>
              <w:pStyle w:val="Compact"/>
            </w:pPr>
            <w:r>
              <w:t>Class</w:t>
            </w:r>
          </w:p>
        </w:tc>
        <w:tc>
          <w:tcPr>
            <w:tcW w:w="0" w:type="auto"/>
          </w:tcPr>
          <w:p w14:paraId="061EB0CD" w14:textId="77777777" w:rsidR="00B476F1" w:rsidRDefault="00000000">
            <w:pPr>
              <w:pStyle w:val="Compact"/>
            </w:pPr>
            <w:r>
              <w:t>Device</w:t>
            </w:r>
          </w:p>
        </w:tc>
        <w:tc>
          <w:tcPr>
            <w:tcW w:w="0" w:type="auto"/>
          </w:tcPr>
          <w:p w14:paraId="62716D54" w14:textId="77777777" w:rsidR="00B476F1" w:rsidRDefault="00000000">
            <w:pPr>
              <w:pStyle w:val="Compact"/>
              <w:jc w:val="right"/>
            </w:pPr>
            <w:r>
              <w:t>P(‘pain’|doc)</w:t>
            </w:r>
          </w:p>
        </w:tc>
        <w:tc>
          <w:tcPr>
            <w:tcW w:w="0" w:type="auto"/>
          </w:tcPr>
          <w:p w14:paraId="347C2CF2" w14:textId="77777777" w:rsidR="00B476F1" w:rsidRDefault="00000000">
            <w:pPr>
              <w:pStyle w:val="Compact"/>
              <w:jc w:val="right"/>
            </w:pPr>
            <w:r>
              <w:t>ARTG no.</w:t>
            </w:r>
          </w:p>
        </w:tc>
        <w:tc>
          <w:tcPr>
            <w:tcW w:w="0" w:type="auto"/>
          </w:tcPr>
          <w:p w14:paraId="1AD51C4E" w14:textId="77777777" w:rsidR="00B476F1" w:rsidRDefault="00000000">
            <w:pPr>
              <w:pStyle w:val="Compact"/>
            </w:pPr>
            <w:r>
              <w:t>Event</w:t>
            </w:r>
          </w:p>
        </w:tc>
        <w:tc>
          <w:tcPr>
            <w:tcW w:w="0" w:type="auto"/>
          </w:tcPr>
          <w:p w14:paraId="7CAB8E62" w14:textId="77777777" w:rsidR="00B476F1" w:rsidRDefault="00000000">
            <w:pPr>
              <w:pStyle w:val="Compact"/>
            </w:pPr>
            <w:r>
              <w:t>Source</w:t>
            </w:r>
          </w:p>
        </w:tc>
        <w:tc>
          <w:tcPr>
            <w:tcW w:w="0" w:type="auto"/>
          </w:tcPr>
          <w:p w14:paraId="5C8252B1" w14:textId="77777777" w:rsidR="00B476F1" w:rsidRDefault="00000000">
            <w:pPr>
              <w:pStyle w:val="Compact"/>
            </w:pPr>
            <w:r>
              <w:t>Event type</w:t>
            </w:r>
          </w:p>
        </w:tc>
        <w:tc>
          <w:tcPr>
            <w:tcW w:w="0" w:type="auto"/>
          </w:tcPr>
          <w:p w14:paraId="0EAB2B58" w14:textId="77777777" w:rsidR="00B476F1" w:rsidRDefault="00000000">
            <w:pPr>
              <w:pStyle w:val="Compact"/>
            </w:pPr>
            <w:r>
              <w:t>Description</w:t>
            </w:r>
          </w:p>
        </w:tc>
      </w:tr>
      <w:tr w:rsidR="00B476F1" w14:paraId="3885EF1F" w14:textId="77777777">
        <w:tc>
          <w:tcPr>
            <w:tcW w:w="0" w:type="auto"/>
          </w:tcPr>
          <w:p w14:paraId="4197D564" w14:textId="77777777" w:rsidR="00B476F1" w:rsidRDefault="00000000">
            <w:pPr>
              <w:pStyle w:val="Compact"/>
              <w:jc w:val="right"/>
            </w:pPr>
            <w:r>
              <w:t>37537</w:t>
            </w:r>
          </w:p>
        </w:tc>
        <w:tc>
          <w:tcPr>
            <w:tcW w:w="0" w:type="auto"/>
          </w:tcPr>
          <w:p w14:paraId="78E2318B" w14:textId="77777777" w:rsidR="00B476F1" w:rsidRDefault="00000000">
            <w:pPr>
              <w:pStyle w:val="Compact"/>
            </w:pPr>
            <w:r>
              <w:t>2015-02-06</w:t>
            </w:r>
          </w:p>
        </w:tc>
        <w:tc>
          <w:tcPr>
            <w:tcW w:w="0" w:type="auto"/>
          </w:tcPr>
          <w:p w14:paraId="1893A7FF" w14:textId="77777777" w:rsidR="00B476F1" w:rsidRDefault="00000000">
            <w:pPr>
              <w:pStyle w:val="Compact"/>
            </w:pPr>
            <w:r>
              <w:t>other_device</w:t>
            </w:r>
          </w:p>
        </w:tc>
        <w:tc>
          <w:tcPr>
            <w:tcW w:w="0" w:type="auto"/>
          </w:tcPr>
          <w:p w14:paraId="73A096E8" w14:textId="77777777" w:rsidR="00B476F1" w:rsidRDefault="00000000">
            <w:pPr>
              <w:pStyle w:val="Compact"/>
            </w:pPr>
            <w:r>
              <w:t>Class IIa</w:t>
            </w:r>
          </w:p>
        </w:tc>
        <w:tc>
          <w:tcPr>
            <w:tcW w:w="0" w:type="auto"/>
          </w:tcPr>
          <w:p w14:paraId="72CA481A" w14:textId="77777777" w:rsidR="00B476F1" w:rsidRDefault="00000000">
            <w:pPr>
              <w:pStyle w:val="Compact"/>
              <w:jc w:val="right"/>
            </w:pPr>
            <w:r>
              <w:t>0.029</w:t>
            </w:r>
          </w:p>
        </w:tc>
        <w:tc>
          <w:tcPr>
            <w:tcW w:w="0" w:type="auto"/>
          </w:tcPr>
          <w:p w14:paraId="553CF72B" w14:textId="77777777" w:rsidR="00B476F1" w:rsidRDefault="00000000">
            <w:pPr>
              <w:pStyle w:val="Compact"/>
              <w:jc w:val="right"/>
            </w:pPr>
            <w:r>
              <w:t>137859</w:t>
            </w:r>
          </w:p>
        </w:tc>
        <w:tc>
          <w:tcPr>
            <w:tcW w:w="0" w:type="auto"/>
          </w:tcPr>
          <w:p w14:paraId="1EE311DA" w14:textId="77777777" w:rsidR="00B476F1" w:rsidRDefault="00000000">
            <w:pPr>
              <w:pStyle w:val="Compact"/>
            </w:pPr>
            <w:r>
              <w:t>Injury</w:t>
            </w:r>
          </w:p>
        </w:tc>
        <w:tc>
          <w:tcPr>
            <w:tcW w:w="0" w:type="auto"/>
          </w:tcPr>
          <w:p w14:paraId="08309AE3" w14:textId="77777777" w:rsidR="00B476F1" w:rsidRDefault="00000000">
            <w:pPr>
              <w:pStyle w:val="Compact"/>
            </w:pPr>
            <w:r>
              <w:t>Industry</w:t>
            </w:r>
          </w:p>
        </w:tc>
        <w:tc>
          <w:tcPr>
            <w:tcW w:w="0" w:type="auto"/>
          </w:tcPr>
          <w:p w14:paraId="4BB29CE7" w14:textId="77777777" w:rsidR="00B476F1" w:rsidRDefault="00000000">
            <w:pPr>
              <w:pStyle w:val="Compact"/>
            </w:pPr>
            <w:r>
              <w:t>Mechanical</w:t>
            </w:r>
          </w:p>
        </w:tc>
        <w:tc>
          <w:tcPr>
            <w:tcW w:w="0" w:type="auto"/>
          </w:tcPr>
          <w:p w14:paraId="1E3A2ABA" w14:textId="77777777" w:rsidR="00B476F1" w:rsidRDefault="00000000">
            <w:pPr>
              <w:pStyle w:val="Compact"/>
            </w:pPr>
            <w:r>
              <w:t>Patient admitted for routine SFA angioplasty. The physician had completed the procedure without incident and had withdrawn the balloon catheter fro…</w:t>
            </w:r>
          </w:p>
        </w:tc>
      </w:tr>
      <w:tr w:rsidR="00B476F1" w14:paraId="63DB4C7E" w14:textId="77777777">
        <w:tc>
          <w:tcPr>
            <w:tcW w:w="0" w:type="auto"/>
          </w:tcPr>
          <w:p w14:paraId="05335208" w14:textId="77777777" w:rsidR="00B476F1" w:rsidRDefault="00000000">
            <w:pPr>
              <w:pStyle w:val="Compact"/>
              <w:jc w:val="right"/>
            </w:pPr>
            <w:r>
              <w:t>36797</w:t>
            </w:r>
          </w:p>
        </w:tc>
        <w:tc>
          <w:tcPr>
            <w:tcW w:w="0" w:type="auto"/>
          </w:tcPr>
          <w:p w14:paraId="1CDEA140" w14:textId="77777777" w:rsidR="00B476F1" w:rsidRDefault="00000000">
            <w:pPr>
              <w:pStyle w:val="Compact"/>
            </w:pPr>
            <w:r>
              <w:t>2015-08-27</w:t>
            </w:r>
          </w:p>
        </w:tc>
        <w:tc>
          <w:tcPr>
            <w:tcW w:w="0" w:type="auto"/>
          </w:tcPr>
          <w:p w14:paraId="23DCCB66" w14:textId="77777777" w:rsidR="00B476F1" w:rsidRDefault="00000000">
            <w:pPr>
              <w:pStyle w:val="Compact"/>
            </w:pPr>
            <w:r>
              <w:t>other_mesh</w:t>
            </w:r>
          </w:p>
        </w:tc>
        <w:tc>
          <w:tcPr>
            <w:tcW w:w="0" w:type="auto"/>
          </w:tcPr>
          <w:p w14:paraId="6873D5E7" w14:textId="77777777" w:rsidR="00B476F1" w:rsidRDefault="00000000">
            <w:pPr>
              <w:pStyle w:val="Compact"/>
            </w:pPr>
            <w:r>
              <w:t>Class III</w:t>
            </w:r>
          </w:p>
        </w:tc>
        <w:tc>
          <w:tcPr>
            <w:tcW w:w="0" w:type="auto"/>
          </w:tcPr>
          <w:p w14:paraId="3EE1F48E" w14:textId="77777777" w:rsidR="00B476F1" w:rsidRDefault="00000000">
            <w:pPr>
              <w:pStyle w:val="Compact"/>
              <w:jc w:val="right"/>
            </w:pPr>
            <w:r>
              <w:t>0.020</w:t>
            </w:r>
          </w:p>
        </w:tc>
        <w:tc>
          <w:tcPr>
            <w:tcW w:w="0" w:type="auto"/>
          </w:tcPr>
          <w:p w14:paraId="7D6FCC2A" w14:textId="77777777" w:rsidR="00B476F1" w:rsidRDefault="00000000">
            <w:pPr>
              <w:pStyle w:val="Compact"/>
              <w:jc w:val="right"/>
            </w:pPr>
            <w:r>
              <w:t>219240</w:t>
            </w:r>
          </w:p>
        </w:tc>
        <w:tc>
          <w:tcPr>
            <w:tcW w:w="0" w:type="auto"/>
          </w:tcPr>
          <w:p w14:paraId="44F86CA1" w14:textId="77777777" w:rsidR="00B476F1" w:rsidRDefault="00000000">
            <w:pPr>
              <w:pStyle w:val="Compact"/>
            </w:pPr>
            <w:r>
              <w:t>Injury</w:t>
            </w:r>
          </w:p>
        </w:tc>
        <w:tc>
          <w:tcPr>
            <w:tcW w:w="0" w:type="auto"/>
          </w:tcPr>
          <w:p w14:paraId="096C429F" w14:textId="77777777" w:rsidR="00B476F1" w:rsidRDefault="00000000">
            <w:pPr>
              <w:pStyle w:val="Compact"/>
            </w:pPr>
            <w:r>
              <w:t>Industry</w:t>
            </w:r>
          </w:p>
        </w:tc>
        <w:tc>
          <w:tcPr>
            <w:tcW w:w="0" w:type="auto"/>
          </w:tcPr>
          <w:p w14:paraId="194470FB" w14:textId="77777777" w:rsidR="00B476F1" w:rsidRDefault="00000000">
            <w:pPr>
              <w:pStyle w:val="Compact"/>
            </w:pPr>
            <w:r>
              <w:t>Material</w:t>
            </w:r>
          </w:p>
        </w:tc>
        <w:tc>
          <w:tcPr>
            <w:tcW w:w="0" w:type="auto"/>
          </w:tcPr>
          <w:p w14:paraId="71AF0EE5" w14:textId="77777777" w:rsidR="00B476F1" w:rsidRDefault="00000000">
            <w:pPr>
              <w:pStyle w:val="Compact"/>
            </w:pPr>
            <w:r>
              <w:t>3 weeks post-op, patient contacted the surgeon saying that the wound was opening, and she could see the implant. The patient sent photos, and there…</w:t>
            </w:r>
          </w:p>
        </w:tc>
      </w:tr>
      <w:tr w:rsidR="00B476F1" w14:paraId="18A6D685" w14:textId="77777777">
        <w:tc>
          <w:tcPr>
            <w:tcW w:w="0" w:type="auto"/>
          </w:tcPr>
          <w:p w14:paraId="6F126DCA" w14:textId="77777777" w:rsidR="00B476F1" w:rsidRDefault="00000000">
            <w:pPr>
              <w:pStyle w:val="Compact"/>
              <w:jc w:val="right"/>
            </w:pPr>
            <w:r>
              <w:t>40917</w:t>
            </w:r>
          </w:p>
        </w:tc>
        <w:tc>
          <w:tcPr>
            <w:tcW w:w="0" w:type="auto"/>
          </w:tcPr>
          <w:p w14:paraId="310ACD6E" w14:textId="77777777" w:rsidR="00B476F1" w:rsidRDefault="00000000">
            <w:pPr>
              <w:pStyle w:val="Compact"/>
            </w:pPr>
            <w:r>
              <w:t>2016-04-24</w:t>
            </w:r>
          </w:p>
        </w:tc>
        <w:tc>
          <w:tcPr>
            <w:tcW w:w="0" w:type="auto"/>
          </w:tcPr>
          <w:p w14:paraId="0677AFEF" w14:textId="77777777" w:rsidR="00B476F1" w:rsidRDefault="00000000">
            <w:pPr>
              <w:pStyle w:val="Compact"/>
            </w:pPr>
            <w:r>
              <w:t>pelvic_mesh</w:t>
            </w:r>
          </w:p>
        </w:tc>
        <w:tc>
          <w:tcPr>
            <w:tcW w:w="0" w:type="auto"/>
          </w:tcPr>
          <w:p w14:paraId="38A5156D" w14:textId="77777777" w:rsidR="00B476F1" w:rsidRDefault="00000000">
            <w:pPr>
              <w:pStyle w:val="Compact"/>
            </w:pPr>
            <w:r>
              <w:t>Class IIb</w:t>
            </w:r>
          </w:p>
        </w:tc>
        <w:tc>
          <w:tcPr>
            <w:tcW w:w="0" w:type="auto"/>
          </w:tcPr>
          <w:p w14:paraId="3033D9E1" w14:textId="77777777" w:rsidR="00B476F1" w:rsidRDefault="00000000">
            <w:pPr>
              <w:pStyle w:val="Compact"/>
              <w:jc w:val="right"/>
            </w:pPr>
            <w:r>
              <w:t>0.538</w:t>
            </w:r>
          </w:p>
        </w:tc>
        <w:tc>
          <w:tcPr>
            <w:tcW w:w="0" w:type="auto"/>
          </w:tcPr>
          <w:p w14:paraId="503A5A10" w14:textId="77777777" w:rsidR="00B476F1" w:rsidRDefault="00000000">
            <w:pPr>
              <w:pStyle w:val="Compact"/>
              <w:jc w:val="right"/>
            </w:pPr>
            <w:r>
              <w:t>92718</w:t>
            </w:r>
          </w:p>
        </w:tc>
        <w:tc>
          <w:tcPr>
            <w:tcW w:w="0" w:type="auto"/>
          </w:tcPr>
          <w:p w14:paraId="699E0308" w14:textId="77777777" w:rsidR="00B476F1" w:rsidRDefault="00000000">
            <w:pPr>
              <w:pStyle w:val="Compact"/>
            </w:pPr>
            <w:r>
              <w:t>Injury</w:t>
            </w:r>
          </w:p>
        </w:tc>
        <w:tc>
          <w:tcPr>
            <w:tcW w:w="0" w:type="auto"/>
          </w:tcPr>
          <w:p w14:paraId="6DE74755" w14:textId="77777777" w:rsidR="00B476F1" w:rsidRDefault="00000000">
            <w:pPr>
              <w:pStyle w:val="Compact"/>
            </w:pPr>
            <w:r>
              <w:t>Consumer</w:t>
            </w:r>
          </w:p>
        </w:tc>
        <w:tc>
          <w:tcPr>
            <w:tcW w:w="0" w:type="auto"/>
          </w:tcPr>
          <w:p w14:paraId="5CA88AA1" w14:textId="77777777" w:rsidR="00B476F1" w:rsidRDefault="00000000">
            <w:pPr>
              <w:pStyle w:val="Compact"/>
            </w:pPr>
            <w:r>
              <w:t>Other</w:t>
            </w:r>
          </w:p>
        </w:tc>
        <w:tc>
          <w:tcPr>
            <w:tcW w:w="0" w:type="auto"/>
          </w:tcPr>
          <w:p w14:paraId="48DB1AFA" w14:textId="77777777" w:rsidR="00B476F1" w:rsidRDefault="00000000">
            <w:pPr>
              <w:pStyle w:val="Compact"/>
            </w:pPr>
            <w:r>
              <w:t>Have had pelvic pain, pain with sex incontinence with bowel and bladder, cannot sit, walk, stand on feet for extended time.</w:t>
            </w:r>
          </w:p>
        </w:tc>
      </w:tr>
      <w:tr w:rsidR="00B476F1" w14:paraId="0E1074AB" w14:textId="77777777">
        <w:tc>
          <w:tcPr>
            <w:tcW w:w="0" w:type="auto"/>
          </w:tcPr>
          <w:p w14:paraId="53805CCB" w14:textId="77777777" w:rsidR="00B476F1" w:rsidRDefault="00000000">
            <w:pPr>
              <w:pStyle w:val="Compact"/>
              <w:jc w:val="right"/>
            </w:pPr>
            <w:r>
              <w:t>45432</w:t>
            </w:r>
          </w:p>
        </w:tc>
        <w:tc>
          <w:tcPr>
            <w:tcW w:w="0" w:type="auto"/>
          </w:tcPr>
          <w:p w14:paraId="7E74C596" w14:textId="77777777" w:rsidR="00B476F1" w:rsidRDefault="00000000">
            <w:pPr>
              <w:pStyle w:val="Compact"/>
            </w:pPr>
            <w:r>
              <w:t>2017-03-29</w:t>
            </w:r>
          </w:p>
        </w:tc>
        <w:tc>
          <w:tcPr>
            <w:tcW w:w="0" w:type="auto"/>
          </w:tcPr>
          <w:p w14:paraId="60CD16A2" w14:textId="77777777" w:rsidR="00B476F1" w:rsidRDefault="00000000">
            <w:pPr>
              <w:pStyle w:val="Compact"/>
            </w:pPr>
            <w:r>
              <w:t>hernia_mesh</w:t>
            </w:r>
          </w:p>
        </w:tc>
        <w:tc>
          <w:tcPr>
            <w:tcW w:w="0" w:type="auto"/>
          </w:tcPr>
          <w:p w14:paraId="36EA2A88" w14:textId="77777777" w:rsidR="00B476F1" w:rsidRDefault="00000000">
            <w:pPr>
              <w:pStyle w:val="Compact"/>
            </w:pPr>
            <w:r>
              <w:t>Class IIb</w:t>
            </w:r>
          </w:p>
        </w:tc>
        <w:tc>
          <w:tcPr>
            <w:tcW w:w="0" w:type="auto"/>
          </w:tcPr>
          <w:p w14:paraId="506E698A" w14:textId="77777777" w:rsidR="00B476F1" w:rsidRDefault="00000000">
            <w:pPr>
              <w:pStyle w:val="Compact"/>
              <w:jc w:val="right"/>
            </w:pPr>
            <w:r>
              <w:t>0.214</w:t>
            </w:r>
          </w:p>
        </w:tc>
        <w:tc>
          <w:tcPr>
            <w:tcW w:w="0" w:type="auto"/>
          </w:tcPr>
          <w:p w14:paraId="36D3AD92" w14:textId="77777777" w:rsidR="00B476F1" w:rsidRDefault="00000000">
            <w:pPr>
              <w:pStyle w:val="Compact"/>
              <w:jc w:val="right"/>
            </w:pPr>
            <w:r>
              <w:t>98833</w:t>
            </w:r>
          </w:p>
        </w:tc>
        <w:tc>
          <w:tcPr>
            <w:tcW w:w="0" w:type="auto"/>
          </w:tcPr>
          <w:p w14:paraId="71B69D17" w14:textId="77777777" w:rsidR="00B476F1" w:rsidRDefault="00000000">
            <w:pPr>
              <w:pStyle w:val="Compact"/>
            </w:pPr>
            <w:r>
              <w:t>Injury</w:t>
            </w:r>
          </w:p>
        </w:tc>
        <w:tc>
          <w:tcPr>
            <w:tcW w:w="0" w:type="auto"/>
          </w:tcPr>
          <w:p w14:paraId="05B58082" w14:textId="77777777" w:rsidR="00B476F1" w:rsidRDefault="00000000">
            <w:pPr>
              <w:pStyle w:val="Compact"/>
            </w:pPr>
            <w:r>
              <w:t>Consumer</w:t>
            </w:r>
          </w:p>
        </w:tc>
        <w:tc>
          <w:tcPr>
            <w:tcW w:w="0" w:type="auto"/>
          </w:tcPr>
          <w:p w14:paraId="1F0FA62A" w14:textId="77777777" w:rsidR="00B476F1" w:rsidRDefault="00000000">
            <w:pPr>
              <w:pStyle w:val="Compact"/>
            </w:pPr>
            <w:r>
              <w:t>Other</w:t>
            </w:r>
          </w:p>
        </w:tc>
        <w:tc>
          <w:tcPr>
            <w:tcW w:w="0" w:type="auto"/>
          </w:tcPr>
          <w:p w14:paraId="36664FCE" w14:textId="77777777" w:rsidR="00B476F1" w:rsidRDefault="00000000">
            <w:pPr>
              <w:pStyle w:val="Compact"/>
            </w:pPr>
            <w:r>
              <w:t xml:space="preserve">Atrium mesh implanted in my abdomen. Severe right sided </w:t>
            </w:r>
            <w:r>
              <w:lastRenderedPageBreak/>
              <w:t>abdominal pain ongoing. Also had further surgery to repair hernia due to reoccurrence of he…</w:t>
            </w:r>
          </w:p>
        </w:tc>
      </w:tr>
      <w:tr w:rsidR="00B476F1" w14:paraId="13E73FBF" w14:textId="77777777">
        <w:tc>
          <w:tcPr>
            <w:tcW w:w="0" w:type="auto"/>
          </w:tcPr>
          <w:p w14:paraId="28588E01" w14:textId="77777777" w:rsidR="00B476F1" w:rsidRDefault="00000000">
            <w:pPr>
              <w:pStyle w:val="Compact"/>
              <w:jc w:val="right"/>
            </w:pPr>
            <w:r>
              <w:lastRenderedPageBreak/>
              <w:t>44402</w:t>
            </w:r>
          </w:p>
        </w:tc>
        <w:tc>
          <w:tcPr>
            <w:tcW w:w="0" w:type="auto"/>
          </w:tcPr>
          <w:p w14:paraId="684C7395" w14:textId="77777777" w:rsidR="00B476F1" w:rsidRDefault="00000000">
            <w:pPr>
              <w:pStyle w:val="Compact"/>
            </w:pPr>
            <w:r>
              <w:t>2017-12-01</w:t>
            </w:r>
          </w:p>
        </w:tc>
        <w:tc>
          <w:tcPr>
            <w:tcW w:w="0" w:type="auto"/>
          </w:tcPr>
          <w:p w14:paraId="57FB164F" w14:textId="77777777" w:rsidR="00B476F1" w:rsidRDefault="00000000">
            <w:pPr>
              <w:pStyle w:val="Compact"/>
            </w:pPr>
            <w:r>
              <w:t>other_device</w:t>
            </w:r>
          </w:p>
        </w:tc>
        <w:tc>
          <w:tcPr>
            <w:tcW w:w="0" w:type="auto"/>
          </w:tcPr>
          <w:p w14:paraId="5693C637" w14:textId="77777777" w:rsidR="00B476F1" w:rsidRDefault="00000000">
            <w:pPr>
              <w:pStyle w:val="Compact"/>
            </w:pPr>
            <w:r>
              <w:t>Class III</w:t>
            </w:r>
          </w:p>
        </w:tc>
        <w:tc>
          <w:tcPr>
            <w:tcW w:w="0" w:type="auto"/>
          </w:tcPr>
          <w:p w14:paraId="7E280CEF" w14:textId="77777777" w:rsidR="00B476F1" w:rsidRDefault="00000000">
            <w:pPr>
              <w:pStyle w:val="Compact"/>
              <w:jc w:val="right"/>
            </w:pPr>
            <w:r>
              <w:t>0.000</w:t>
            </w:r>
          </w:p>
        </w:tc>
        <w:tc>
          <w:tcPr>
            <w:tcW w:w="0" w:type="auto"/>
          </w:tcPr>
          <w:p w14:paraId="61852EAC" w14:textId="77777777" w:rsidR="00B476F1" w:rsidRDefault="00000000">
            <w:pPr>
              <w:pStyle w:val="Compact"/>
              <w:jc w:val="right"/>
            </w:pPr>
            <w:r>
              <w:t>149128</w:t>
            </w:r>
          </w:p>
        </w:tc>
        <w:tc>
          <w:tcPr>
            <w:tcW w:w="0" w:type="auto"/>
          </w:tcPr>
          <w:p w14:paraId="4D5C7472" w14:textId="77777777" w:rsidR="00B476F1" w:rsidRDefault="00000000">
            <w:pPr>
              <w:pStyle w:val="Compact"/>
            </w:pPr>
            <w:r>
              <w:t>No Injury</w:t>
            </w:r>
          </w:p>
        </w:tc>
        <w:tc>
          <w:tcPr>
            <w:tcW w:w="0" w:type="auto"/>
          </w:tcPr>
          <w:p w14:paraId="6EEC0BD5" w14:textId="77777777" w:rsidR="00B476F1" w:rsidRDefault="00000000">
            <w:pPr>
              <w:pStyle w:val="Compact"/>
            </w:pPr>
            <w:r>
              <w:t>Other</w:t>
            </w:r>
          </w:p>
        </w:tc>
        <w:tc>
          <w:tcPr>
            <w:tcW w:w="0" w:type="auto"/>
          </w:tcPr>
          <w:p w14:paraId="708EE316" w14:textId="77777777" w:rsidR="00B476F1" w:rsidRDefault="00000000">
            <w:pPr>
              <w:pStyle w:val="Compact"/>
            </w:pPr>
            <w:r>
              <w:t>Other</w:t>
            </w:r>
          </w:p>
        </w:tc>
        <w:tc>
          <w:tcPr>
            <w:tcW w:w="0" w:type="auto"/>
          </w:tcPr>
          <w:p w14:paraId="34AAB4CF" w14:textId="77777777" w:rsidR="00B476F1" w:rsidRDefault="00000000">
            <w:pPr>
              <w:pStyle w:val="Compact"/>
            </w:pPr>
            <w:r>
              <w:t>Sponsor distributed a Customer Letter dated 20th December 2016 announcing the immediate discontinuation of their CE-marked Umbilical Vessel Cathete…</w:t>
            </w:r>
          </w:p>
        </w:tc>
      </w:tr>
      <w:tr w:rsidR="00B476F1" w14:paraId="388FA7E9" w14:textId="77777777">
        <w:tc>
          <w:tcPr>
            <w:tcW w:w="0" w:type="auto"/>
          </w:tcPr>
          <w:p w14:paraId="29852DFF" w14:textId="77777777" w:rsidR="00B476F1" w:rsidRDefault="00000000">
            <w:pPr>
              <w:pStyle w:val="Compact"/>
              <w:jc w:val="right"/>
            </w:pPr>
            <w:r>
              <w:t>45624</w:t>
            </w:r>
          </w:p>
        </w:tc>
        <w:tc>
          <w:tcPr>
            <w:tcW w:w="0" w:type="auto"/>
          </w:tcPr>
          <w:p w14:paraId="75425E89" w14:textId="77777777" w:rsidR="00B476F1" w:rsidRDefault="00000000">
            <w:pPr>
              <w:pStyle w:val="Compact"/>
            </w:pPr>
            <w:r>
              <w:t>2017-12-04</w:t>
            </w:r>
          </w:p>
        </w:tc>
        <w:tc>
          <w:tcPr>
            <w:tcW w:w="0" w:type="auto"/>
          </w:tcPr>
          <w:p w14:paraId="0E3191E1" w14:textId="77777777" w:rsidR="00B476F1" w:rsidRDefault="00000000">
            <w:pPr>
              <w:pStyle w:val="Compact"/>
            </w:pPr>
            <w:r>
              <w:t>other_device</w:t>
            </w:r>
          </w:p>
        </w:tc>
        <w:tc>
          <w:tcPr>
            <w:tcW w:w="0" w:type="auto"/>
          </w:tcPr>
          <w:p w14:paraId="1EB60BA1" w14:textId="77777777" w:rsidR="00B476F1" w:rsidRDefault="00000000">
            <w:pPr>
              <w:pStyle w:val="Compact"/>
            </w:pPr>
            <w:r>
              <w:t>Class 1</w:t>
            </w:r>
          </w:p>
        </w:tc>
        <w:tc>
          <w:tcPr>
            <w:tcW w:w="0" w:type="auto"/>
          </w:tcPr>
          <w:p w14:paraId="48E8DD61" w14:textId="77777777" w:rsidR="00B476F1" w:rsidRDefault="00000000">
            <w:pPr>
              <w:pStyle w:val="Compact"/>
              <w:jc w:val="right"/>
            </w:pPr>
            <w:r>
              <w:t>0.000</w:t>
            </w:r>
          </w:p>
        </w:tc>
        <w:tc>
          <w:tcPr>
            <w:tcW w:w="0" w:type="auto"/>
          </w:tcPr>
          <w:p w14:paraId="2881AD6E" w14:textId="77777777" w:rsidR="00B476F1" w:rsidRDefault="00000000">
            <w:pPr>
              <w:pStyle w:val="Compact"/>
              <w:jc w:val="right"/>
            </w:pPr>
            <w:r>
              <w:t>121950</w:t>
            </w:r>
          </w:p>
        </w:tc>
        <w:tc>
          <w:tcPr>
            <w:tcW w:w="0" w:type="auto"/>
          </w:tcPr>
          <w:p w14:paraId="11E70A9D" w14:textId="77777777" w:rsidR="00B476F1" w:rsidRDefault="00000000">
            <w:pPr>
              <w:pStyle w:val="Compact"/>
            </w:pPr>
            <w:r>
              <w:t>No Injury</w:t>
            </w:r>
          </w:p>
        </w:tc>
        <w:tc>
          <w:tcPr>
            <w:tcW w:w="0" w:type="auto"/>
          </w:tcPr>
          <w:p w14:paraId="678EDE9B" w14:textId="77777777" w:rsidR="00B476F1" w:rsidRDefault="00000000">
            <w:pPr>
              <w:pStyle w:val="Compact"/>
            </w:pPr>
            <w:r>
              <w:t>Health Professional</w:t>
            </w:r>
          </w:p>
        </w:tc>
        <w:tc>
          <w:tcPr>
            <w:tcW w:w="0" w:type="auto"/>
          </w:tcPr>
          <w:p w14:paraId="6EFEDBA3" w14:textId="77777777" w:rsidR="00B476F1" w:rsidRDefault="00000000">
            <w:pPr>
              <w:pStyle w:val="Compact"/>
            </w:pPr>
            <w:r>
              <w:t>Mechanical</w:t>
            </w:r>
          </w:p>
        </w:tc>
        <w:tc>
          <w:tcPr>
            <w:tcW w:w="0" w:type="auto"/>
          </w:tcPr>
          <w:p w14:paraId="423CFBAB" w14:textId="77777777" w:rsidR="00B476F1" w:rsidRDefault="00000000">
            <w:pPr>
              <w:pStyle w:val="Compact"/>
            </w:pPr>
            <w:r>
              <w:t>Operating table started tilting patient on its own during procedure. Emergency stop button pressed - table stopped briefly and began to tilt patien…</w:t>
            </w:r>
          </w:p>
        </w:tc>
      </w:tr>
      <w:tr w:rsidR="00B476F1" w14:paraId="56AE81EE" w14:textId="77777777">
        <w:tc>
          <w:tcPr>
            <w:tcW w:w="0" w:type="auto"/>
          </w:tcPr>
          <w:p w14:paraId="7A2978D9" w14:textId="77777777" w:rsidR="00B476F1" w:rsidRDefault="00000000">
            <w:pPr>
              <w:pStyle w:val="Compact"/>
              <w:jc w:val="right"/>
            </w:pPr>
            <w:r>
              <w:t>45265</w:t>
            </w:r>
          </w:p>
        </w:tc>
        <w:tc>
          <w:tcPr>
            <w:tcW w:w="0" w:type="auto"/>
          </w:tcPr>
          <w:p w14:paraId="240E098E" w14:textId="77777777" w:rsidR="00B476F1" w:rsidRDefault="00000000">
            <w:pPr>
              <w:pStyle w:val="Compact"/>
            </w:pPr>
            <w:r>
              <w:t>2017-12-18</w:t>
            </w:r>
          </w:p>
        </w:tc>
        <w:tc>
          <w:tcPr>
            <w:tcW w:w="0" w:type="auto"/>
          </w:tcPr>
          <w:p w14:paraId="499155A4" w14:textId="77777777" w:rsidR="00B476F1" w:rsidRDefault="00000000">
            <w:pPr>
              <w:pStyle w:val="Compact"/>
            </w:pPr>
            <w:r>
              <w:t>other_device</w:t>
            </w:r>
          </w:p>
        </w:tc>
        <w:tc>
          <w:tcPr>
            <w:tcW w:w="0" w:type="auto"/>
          </w:tcPr>
          <w:p w14:paraId="678F523D" w14:textId="77777777" w:rsidR="00B476F1" w:rsidRDefault="00000000">
            <w:pPr>
              <w:pStyle w:val="Compact"/>
            </w:pPr>
            <w:r>
              <w:t>Class IIb</w:t>
            </w:r>
          </w:p>
        </w:tc>
        <w:tc>
          <w:tcPr>
            <w:tcW w:w="0" w:type="auto"/>
          </w:tcPr>
          <w:p w14:paraId="0052C9F4" w14:textId="77777777" w:rsidR="00B476F1" w:rsidRDefault="00000000">
            <w:pPr>
              <w:pStyle w:val="Compact"/>
              <w:jc w:val="right"/>
            </w:pPr>
            <w:r>
              <w:t>0.250</w:t>
            </w:r>
          </w:p>
        </w:tc>
        <w:tc>
          <w:tcPr>
            <w:tcW w:w="0" w:type="auto"/>
          </w:tcPr>
          <w:p w14:paraId="031A3650" w14:textId="77777777" w:rsidR="00B476F1" w:rsidRDefault="00000000">
            <w:pPr>
              <w:pStyle w:val="Compact"/>
              <w:jc w:val="right"/>
            </w:pPr>
            <w:r>
              <w:t>177101</w:t>
            </w:r>
          </w:p>
        </w:tc>
        <w:tc>
          <w:tcPr>
            <w:tcW w:w="0" w:type="auto"/>
          </w:tcPr>
          <w:p w14:paraId="1FA25609" w14:textId="77777777" w:rsidR="00B476F1" w:rsidRDefault="00000000">
            <w:pPr>
              <w:pStyle w:val="Compact"/>
            </w:pPr>
            <w:r>
              <w:t>Injury</w:t>
            </w:r>
          </w:p>
        </w:tc>
        <w:tc>
          <w:tcPr>
            <w:tcW w:w="0" w:type="auto"/>
          </w:tcPr>
          <w:p w14:paraId="31CB573F" w14:textId="77777777" w:rsidR="00B476F1" w:rsidRDefault="00000000">
            <w:pPr>
              <w:pStyle w:val="Compact"/>
            </w:pPr>
            <w:r>
              <w:t>Industry</w:t>
            </w:r>
          </w:p>
        </w:tc>
        <w:tc>
          <w:tcPr>
            <w:tcW w:w="0" w:type="auto"/>
          </w:tcPr>
          <w:p w14:paraId="60DEEA7B" w14:textId="77777777" w:rsidR="00B476F1" w:rsidRDefault="00000000">
            <w:pPr>
              <w:pStyle w:val="Compact"/>
            </w:pPr>
            <w:r>
              <w:t>Other</w:t>
            </w:r>
          </w:p>
        </w:tc>
        <w:tc>
          <w:tcPr>
            <w:tcW w:w="0" w:type="auto"/>
          </w:tcPr>
          <w:p w14:paraId="62D66A07" w14:textId="77777777" w:rsidR="00B476F1" w:rsidRDefault="00000000">
            <w:pPr>
              <w:pStyle w:val="Compact"/>
            </w:pPr>
            <w:r>
              <w:t>Pain, possible rupture and swelling around prosthesis.</w:t>
            </w:r>
          </w:p>
        </w:tc>
      </w:tr>
    </w:tbl>
    <w:p w14:paraId="6E4FDD50" w14:textId="77777777" w:rsidR="0018388A" w:rsidRDefault="00000000">
      <w:pPr>
        <w:sectPr w:rsidR="0018388A" w:rsidSect="0018388A">
          <w:pgSz w:w="15840" w:h="12240" w:orient="landscape"/>
          <w:pgMar w:top="1440" w:right="1440" w:bottom="1440" w:left="1440" w:header="720" w:footer="720" w:gutter="0"/>
          <w:cols w:space="720"/>
          <w:docGrid w:linePitch="326"/>
        </w:sectPr>
      </w:pPr>
      <w:r>
        <w:br w:type="page"/>
      </w:r>
    </w:p>
    <w:p w14:paraId="7FBB7D2B" w14:textId="528FB642" w:rsidR="0018388A" w:rsidRDefault="0018388A"/>
    <w:p w14:paraId="097A72A1" w14:textId="77777777" w:rsidR="00B476F1" w:rsidRDefault="00B476F1"/>
    <w:p w14:paraId="56BDE889" w14:textId="77777777" w:rsidR="00B476F1" w:rsidRDefault="00000000">
      <w:pPr>
        <w:pStyle w:val="Heading2"/>
      </w:pPr>
      <w:bookmarkStart w:id="8" w:name="analysis-data"/>
      <w:bookmarkStart w:id="9" w:name="_Toc154170401"/>
      <w:bookmarkEnd w:id="6"/>
      <w:r>
        <w:t>3.2 Analysis data</w:t>
      </w:r>
      <w:bookmarkEnd w:id="9"/>
    </w:p>
    <w:p w14:paraId="4E8EAACF" w14:textId="77777777" w:rsidR="00B476F1" w:rsidRDefault="00000000">
      <w:pPr>
        <w:pStyle w:val="FirstParagraph"/>
      </w:pPr>
      <w:r>
        <w:t xml:space="preserve">Signal detection of disproportionate adverse events (AEs) will often have tabulated count data accumulated over time. The data at time point </w:t>
      </w:r>
      <m:oMath>
        <m:r>
          <w:rPr>
            <w:rFonts w:ascii="Cambria Math" w:hAnsi="Cambria Math"/>
          </w:rPr>
          <m:t>t</m:t>
        </m:r>
      </m:oMath>
      <w:r>
        <w:t xml:space="preserve"> can be summarised as below:</w:t>
      </w:r>
    </w:p>
    <w:tbl>
      <w:tblPr>
        <w:tblStyle w:val="Table"/>
        <w:tblW w:w="0" w:type="auto"/>
        <w:jc w:val="center"/>
        <w:tblLook w:val="0020" w:firstRow="1" w:lastRow="0" w:firstColumn="0" w:lastColumn="0" w:noHBand="0" w:noVBand="0"/>
      </w:tblPr>
      <w:tblGrid>
        <w:gridCol w:w="2452"/>
        <w:gridCol w:w="1210"/>
        <w:gridCol w:w="1210"/>
      </w:tblGrid>
      <w:tr w:rsidR="00B476F1" w14:paraId="349800F6" w14:textId="77777777" w:rsidTr="0018388A">
        <w:trPr>
          <w:cnfStyle w:val="100000000000" w:firstRow="1" w:lastRow="0" w:firstColumn="0" w:lastColumn="0" w:oddVBand="0" w:evenVBand="0" w:oddHBand="0" w:evenHBand="0" w:firstRowFirstColumn="0" w:firstRowLastColumn="0" w:lastRowFirstColumn="0" w:lastRowLastColumn="0"/>
          <w:tblHeader/>
          <w:jc w:val="center"/>
        </w:trPr>
        <w:tc>
          <w:tcPr>
            <w:tcW w:w="0" w:type="auto"/>
          </w:tcPr>
          <w:p w14:paraId="523B9546" w14:textId="77777777" w:rsidR="00B476F1" w:rsidRDefault="00B476F1">
            <w:pPr>
              <w:pStyle w:val="Compact"/>
            </w:pPr>
          </w:p>
        </w:tc>
        <w:tc>
          <w:tcPr>
            <w:tcW w:w="0" w:type="auto"/>
          </w:tcPr>
          <w:p w14:paraId="52DA829C" w14:textId="77777777" w:rsidR="00B476F1" w:rsidRDefault="00000000">
            <w:pPr>
              <w:pStyle w:val="Compact"/>
              <w:jc w:val="right"/>
            </w:pPr>
            <w:r>
              <w:t xml:space="preserve">AE(s) </w:t>
            </w:r>
            <m:oMath>
              <m:r>
                <m:rPr>
                  <m:sty m:val="p"/>
                </m:rPr>
                <w:rPr>
                  <w:rFonts w:ascii="Cambria Math" w:hAnsi="Cambria Math"/>
                </w:rPr>
                <m:t>∈</m:t>
              </m:r>
              <m:r>
                <w:rPr>
                  <w:rFonts w:ascii="Cambria Math" w:hAnsi="Cambria Math"/>
                </w:rPr>
                <m:t>Y</m:t>
              </m:r>
            </m:oMath>
          </w:p>
        </w:tc>
        <w:tc>
          <w:tcPr>
            <w:tcW w:w="0" w:type="auto"/>
          </w:tcPr>
          <w:p w14:paraId="23D16EE5" w14:textId="77777777" w:rsidR="00B476F1" w:rsidRDefault="00000000">
            <w:pPr>
              <w:pStyle w:val="Compact"/>
              <w:jc w:val="right"/>
            </w:pPr>
            <w:r>
              <w:t xml:space="preserve">AE(s) </w:t>
            </w:r>
            <m:oMath>
              <m:r>
                <m:rPr>
                  <m:sty m:val="p"/>
                </m:rPr>
                <w:rPr>
                  <w:rFonts w:ascii="Cambria Math" w:hAnsi="Cambria Math"/>
                </w:rPr>
                <m:t>∈</m:t>
              </m:r>
              <m:acc>
                <m:accPr>
                  <m:chr m:val="‾"/>
                  <m:ctrlPr>
                    <w:rPr>
                      <w:rFonts w:ascii="Cambria Math" w:hAnsi="Cambria Math"/>
                    </w:rPr>
                  </m:ctrlPr>
                </m:accPr>
                <m:e>
                  <m:r>
                    <w:rPr>
                      <w:rFonts w:ascii="Cambria Math" w:hAnsi="Cambria Math"/>
                    </w:rPr>
                    <m:t>Y</m:t>
                  </m:r>
                </m:e>
              </m:acc>
            </m:oMath>
          </w:p>
        </w:tc>
      </w:tr>
      <w:tr w:rsidR="00B476F1" w14:paraId="15E96C4D" w14:textId="77777777" w:rsidTr="0018388A">
        <w:trPr>
          <w:jc w:val="center"/>
        </w:trPr>
        <w:tc>
          <w:tcPr>
            <w:tcW w:w="0" w:type="auto"/>
          </w:tcPr>
          <w:p w14:paraId="4669B8EE" w14:textId="77777777" w:rsidR="00B476F1" w:rsidRDefault="00000000">
            <w:pPr>
              <w:pStyle w:val="Compact"/>
            </w:pPr>
            <w:r>
              <w:t>Target exposure</w:t>
            </w:r>
          </w:p>
        </w:tc>
        <w:tc>
          <w:tcPr>
            <w:tcW w:w="0" w:type="auto"/>
          </w:tcPr>
          <w:p w14:paraId="60E85AF3" w14:textId="77777777" w:rsidR="00B476F1" w:rsidRDefault="00000000">
            <w:pPr>
              <w:pStyle w:val="Compact"/>
              <w:jc w:val="right"/>
            </w:pPr>
            <m:oMathPara>
              <m:oMath>
                <m:sSub>
                  <m:sSubPr>
                    <m:ctrlPr>
                      <w:rPr>
                        <w:rFonts w:ascii="Cambria Math" w:hAnsi="Cambria Math"/>
                      </w:rPr>
                    </m:ctrlPr>
                  </m:sSubPr>
                  <m:e>
                    <m:r>
                      <w:rPr>
                        <w:rFonts w:ascii="Cambria Math" w:hAnsi="Cambria Math"/>
                      </w:rPr>
                      <m:t>a</m:t>
                    </m:r>
                  </m:e>
                  <m:sub>
                    <m:r>
                      <w:rPr>
                        <w:rFonts w:ascii="Cambria Math" w:hAnsi="Cambria Math"/>
                      </w:rPr>
                      <m:t>t</m:t>
                    </m:r>
                  </m:sub>
                </m:sSub>
              </m:oMath>
            </m:oMathPara>
          </w:p>
        </w:tc>
        <w:tc>
          <w:tcPr>
            <w:tcW w:w="0" w:type="auto"/>
          </w:tcPr>
          <w:p w14:paraId="4CF609F9" w14:textId="77777777" w:rsidR="00B476F1" w:rsidRDefault="00000000">
            <w:pPr>
              <w:pStyle w:val="Compact"/>
              <w:jc w:val="right"/>
            </w:pPr>
            <m:oMathPara>
              <m:oMath>
                <m:sSub>
                  <m:sSubPr>
                    <m:ctrlPr>
                      <w:rPr>
                        <w:rFonts w:ascii="Cambria Math" w:hAnsi="Cambria Math"/>
                      </w:rPr>
                    </m:ctrlPr>
                  </m:sSubPr>
                  <m:e>
                    <m:r>
                      <w:rPr>
                        <w:rFonts w:ascii="Cambria Math" w:hAnsi="Cambria Math"/>
                      </w:rPr>
                      <m:t>b</m:t>
                    </m:r>
                  </m:e>
                  <m:sub>
                    <m:r>
                      <w:rPr>
                        <w:rFonts w:ascii="Cambria Math" w:hAnsi="Cambria Math"/>
                      </w:rPr>
                      <m:t>t</m:t>
                    </m:r>
                  </m:sub>
                </m:sSub>
              </m:oMath>
            </m:oMathPara>
          </w:p>
        </w:tc>
      </w:tr>
      <w:tr w:rsidR="00B476F1" w14:paraId="160E18FD" w14:textId="77777777" w:rsidTr="0018388A">
        <w:trPr>
          <w:jc w:val="center"/>
        </w:trPr>
        <w:tc>
          <w:tcPr>
            <w:tcW w:w="0" w:type="auto"/>
          </w:tcPr>
          <w:p w14:paraId="36EC8D75" w14:textId="77777777" w:rsidR="00B476F1" w:rsidRDefault="00000000">
            <w:pPr>
              <w:pStyle w:val="Compact"/>
            </w:pPr>
            <w:r>
              <w:t>Comparator exposure</w:t>
            </w:r>
          </w:p>
        </w:tc>
        <w:tc>
          <w:tcPr>
            <w:tcW w:w="0" w:type="auto"/>
          </w:tcPr>
          <w:p w14:paraId="2BFB7FEC" w14:textId="77777777" w:rsidR="00B476F1" w:rsidRDefault="00000000">
            <w:pPr>
              <w:pStyle w:val="Compact"/>
              <w:jc w:val="right"/>
            </w:pPr>
            <m:oMathPara>
              <m:oMath>
                <m:sSub>
                  <m:sSubPr>
                    <m:ctrlPr>
                      <w:rPr>
                        <w:rFonts w:ascii="Cambria Math" w:hAnsi="Cambria Math"/>
                      </w:rPr>
                    </m:ctrlPr>
                  </m:sSubPr>
                  <m:e>
                    <m:r>
                      <w:rPr>
                        <w:rFonts w:ascii="Cambria Math" w:hAnsi="Cambria Math"/>
                      </w:rPr>
                      <m:t>c</m:t>
                    </m:r>
                  </m:e>
                  <m:sub>
                    <m:r>
                      <w:rPr>
                        <w:rFonts w:ascii="Cambria Math" w:hAnsi="Cambria Math"/>
                      </w:rPr>
                      <m:t>t</m:t>
                    </m:r>
                  </m:sub>
                </m:sSub>
              </m:oMath>
            </m:oMathPara>
          </w:p>
        </w:tc>
        <w:tc>
          <w:tcPr>
            <w:tcW w:w="0" w:type="auto"/>
          </w:tcPr>
          <w:p w14:paraId="6A673FF9" w14:textId="77777777" w:rsidR="00B476F1" w:rsidRDefault="00000000">
            <w:pPr>
              <w:pStyle w:val="Compact"/>
              <w:jc w:val="right"/>
            </w:pPr>
            <m:oMathPara>
              <m:oMath>
                <m:sSub>
                  <m:sSubPr>
                    <m:ctrlPr>
                      <w:rPr>
                        <w:rFonts w:ascii="Cambria Math" w:hAnsi="Cambria Math"/>
                      </w:rPr>
                    </m:ctrlPr>
                  </m:sSubPr>
                  <m:e>
                    <m:r>
                      <w:rPr>
                        <w:rFonts w:ascii="Cambria Math" w:hAnsi="Cambria Math"/>
                      </w:rPr>
                      <m:t>d</m:t>
                    </m:r>
                  </m:e>
                  <m:sub>
                    <m:r>
                      <w:rPr>
                        <w:rFonts w:ascii="Cambria Math" w:hAnsi="Cambria Math"/>
                      </w:rPr>
                      <m:t>t</m:t>
                    </m:r>
                  </m:sub>
                </m:sSub>
              </m:oMath>
            </m:oMathPara>
          </w:p>
        </w:tc>
      </w:tr>
    </w:tbl>
    <w:p w14:paraId="35E15A1B" w14:textId="77777777" w:rsidR="00B476F1" w:rsidRDefault="00000000">
      <w:pPr>
        <w:pStyle w:val="BodyText"/>
      </w:pPr>
      <w:r>
        <w:t>where</w:t>
      </w:r>
    </w:p>
    <w:p w14:paraId="214AA07E" w14:textId="77777777" w:rsidR="00B476F1" w:rsidRDefault="00000000">
      <w:pPr>
        <w:pStyle w:val="Compact"/>
        <w:numPr>
          <w:ilvl w:val="0"/>
          <w:numId w:val="4"/>
        </w:numPr>
      </w:pPr>
      <w:r>
        <w:t xml:space="preserve">AE(s) </w:t>
      </w:r>
      <m:oMath>
        <m:r>
          <w:rPr>
            <w:rFonts w:ascii="Cambria Math" w:hAnsi="Cambria Math"/>
          </w:rPr>
          <m:t>Y</m:t>
        </m:r>
      </m:oMath>
      <w:r>
        <w:t xml:space="preserve"> is the set of AEs (or singular AE) of interest,</w:t>
      </w:r>
    </w:p>
    <w:p w14:paraId="46FBBDB7" w14:textId="77777777" w:rsidR="00B476F1" w:rsidRDefault="00000000">
      <w:pPr>
        <w:pStyle w:val="Compact"/>
        <w:numPr>
          <w:ilvl w:val="0"/>
          <w:numId w:val="4"/>
        </w:numPr>
      </w:pPr>
      <w:r>
        <w:t xml:space="preserve">AE(s) </w:t>
      </w:r>
      <m:oMath>
        <m:acc>
          <m:accPr>
            <m:chr m:val="‾"/>
            <m:ctrlPr>
              <w:rPr>
                <w:rFonts w:ascii="Cambria Math" w:hAnsi="Cambria Math"/>
              </w:rPr>
            </m:ctrlPr>
          </m:accPr>
          <m:e>
            <m:r>
              <w:rPr>
                <w:rFonts w:ascii="Cambria Math" w:hAnsi="Cambria Math"/>
              </w:rPr>
              <m:t>Y</m:t>
            </m:r>
          </m:e>
        </m:acc>
      </m:oMath>
      <w:r>
        <w:t xml:space="preserve"> is the complementary set to the AEs of interest,</w:t>
      </w:r>
    </w:p>
    <w:p w14:paraId="42A9FB4F" w14:textId="77777777" w:rsidR="00B476F1" w:rsidRDefault="00000000">
      <w:pPr>
        <w:pStyle w:val="Compact"/>
        <w:numPr>
          <w:ilvl w:val="0"/>
          <w:numId w:val="4"/>
        </w:numPr>
      </w:pPr>
      <w:r>
        <w:rPr>
          <w:i/>
          <w:iCs/>
        </w:rPr>
        <w:t>Target exposure</w:t>
      </w:r>
      <w:r>
        <w:t xml:space="preserve"> is the medical device(s) of interest,</w:t>
      </w:r>
      <w:r>
        <w:br/>
      </w:r>
    </w:p>
    <w:p w14:paraId="0E1AD9C6" w14:textId="77777777" w:rsidR="00B476F1" w:rsidRDefault="00000000">
      <w:pPr>
        <w:pStyle w:val="Compact"/>
        <w:numPr>
          <w:ilvl w:val="0"/>
          <w:numId w:val="4"/>
        </w:numPr>
      </w:pPr>
      <w:r>
        <w:rPr>
          <w:i/>
          <w:iCs/>
        </w:rPr>
        <w:t>Comparator exposure</w:t>
      </w:r>
      <w:r>
        <w:t xml:space="preserve"> is the medical devices to which the </w:t>
      </w:r>
      <w:r>
        <w:rPr>
          <w:i/>
          <w:iCs/>
        </w:rPr>
        <w:t>Target exposure</w:t>
      </w:r>
      <w:r>
        <w:t xml:space="preserve"> is being compared, and</w:t>
      </w:r>
    </w:p>
    <w:p w14:paraId="37212CC3" w14:textId="77777777" w:rsidR="00B476F1" w:rsidRDefault="00000000">
      <w:pPr>
        <w:pStyle w:val="Compact"/>
        <w:numPr>
          <w:ilvl w:val="0"/>
          <w:numId w:val="4"/>
        </w:numPr>
      </w:pPr>
      <m:oMath>
        <m:sSub>
          <m:sSubPr>
            <m:ctrlPr>
              <w:rPr>
                <w:rFonts w:ascii="Cambria Math" w:hAnsi="Cambria Math"/>
              </w:rPr>
            </m:ctrlPr>
          </m:sSubPr>
          <m:e>
            <m:r>
              <w:rPr>
                <w:rFonts w:ascii="Cambria Math" w:hAnsi="Cambria Math"/>
              </w:rPr>
              <m:t>a</m:t>
            </m:r>
          </m:e>
          <m:sub>
            <m:r>
              <w:rPr>
                <w:rFonts w:ascii="Cambria Math" w:hAnsi="Cambria Math"/>
              </w:rPr>
              <m:t>t</m:t>
            </m:r>
          </m:sub>
        </m:sSub>
      </m:oMath>
      <w:r>
        <w:t xml:space="preserve">, </w:t>
      </w:r>
      <m:oMath>
        <m:sSub>
          <m:sSubPr>
            <m:ctrlPr>
              <w:rPr>
                <w:rFonts w:ascii="Cambria Math" w:hAnsi="Cambria Math"/>
              </w:rPr>
            </m:ctrlPr>
          </m:sSubPr>
          <m:e>
            <m:r>
              <w:rPr>
                <w:rFonts w:ascii="Cambria Math" w:hAnsi="Cambria Math"/>
              </w:rPr>
              <m:t>b</m:t>
            </m:r>
          </m:e>
          <m:sub>
            <m:r>
              <w:rPr>
                <w:rFonts w:ascii="Cambria Math" w:hAnsi="Cambria Math"/>
              </w:rPr>
              <m:t>t</m:t>
            </m:r>
          </m:sub>
        </m:sSub>
      </m:oMath>
      <w:r>
        <w:t xml:space="preserve">, </w:t>
      </w:r>
      <m:oMath>
        <m:sSub>
          <m:sSubPr>
            <m:ctrlPr>
              <w:rPr>
                <w:rFonts w:ascii="Cambria Math" w:hAnsi="Cambria Math"/>
              </w:rPr>
            </m:ctrlPr>
          </m:sSubPr>
          <m:e>
            <m:r>
              <w:rPr>
                <w:rFonts w:ascii="Cambria Math" w:hAnsi="Cambria Math"/>
              </w:rPr>
              <m:t>c</m:t>
            </m:r>
          </m:e>
          <m:sub>
            <m:r>
              <w:rPr>
                <w:rFonts w:ascii="Cambria Math" w:hAnsi="Cambria Math"/>
              </w:rPr>
              <m:t>t</m:t>
            </m:r>
          </m:sub>
        </m:sSub>
      </m:oMath>
      <w:r>
        <w:t xml:space="preserve"> and </w:t>
      </w:r>
      <m:oMath>
        <m:sSub>
          <m:sSubPr>
            <m:ctrlPr>
              <w:rPr>
                <w:rFonts w:ascii="Cambria Math" w:hAnsi="Cambria Math"/>
              </w:rPr>
            </m:ctrlPr>
          </m:sSubPr>
          <m:e>
            <m:r>
              <w:rPr>
                <w:rFonts w:ascii="Cambria Math" w:hAnsi="Cambria Math"/>
              </w:rPr>
              <m:t>d</m:t>
            </m:r>
          </m:e>
          <m:sub>
            <m:r>
              <w:rPr>
                <w:rFonts w:ascii="Cambria Math" w:hAnsi="Cambria Math"/>
              </w:rPr>
              <m:t>t</m:t>
            </m:r>
          </m:sub>
        </m:sSub>
      </m:oMath>
      <w:r>
        <w:t xml:space="preserve"> (all </w:t>
      </w:r>
      <m:oMath>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Z</m:t>
            </m:r>
          </m:e>
          <m:sup>
            <m:r>
              <m:rPr>
                <m:sty m:val="p"/>
              </m:rPr>
              <w:rPr>
                <w:rFonts w:ascii="Cambria Math" w:hAnsi="Cambria Math"/>
              </w:rPr>
              <m:t>+</m:t>
            </m:r>
          </m:sup>
        </m:sSup>
      </m:oMath>
      <w:r>
        <w:t xml:space="preserve">) are the respective counts of AEs recorded up until (i.e., cumulative) time </w:t>
      </w:r>
      <m:oMath>
        <m:r>
          <w:rPr>
            <w:rFonts w:ascii="Cambria Math" w:hAnsi="Cambria Math"/>
          </w:rPr>
          <m:t>t</m:t>
        </m:r>
      </m:oMath>
      <w:r>
        <w:t>.</w:t>
      </w:r>
    </w:p>
    <w:p w14:paraId="0EBF18A6" w14:textId="77777777" w:rsidR="00B476F1" w:rsidRDefault="00000000">
      <w:pPr>
        <w:pStyle w:val="FirstParagraph"/>
      </w:pPr>
      <w:r>
        <w:t>In the motivating example of the pelvic mesh device, the contingency table can be written more specifically as</w:t>
      </w:r>
    </w:p>
    <w:tbl>
      <w:tblPr>
        <w:tblStyle w:val="Table"/>
        <w:tblW w:w="0" w:type="auto"/>
        <w:jc w:val="center"/>
        <w:tblLook w:val="0020" w:firstRow="1" w:lastRow="0" w:firstColumn="0" w:lastColumn="0" w:noHBand="0" w:noVBand="0"/>
      </w:tblPr>
      <w:tblGrid>
        <w:gridCol w:w="2452"/>
        <w:gridCol w:w="1114"/>
        <w:gridCol w:w="1536"/>
      </w:tblGrid>
      <w:tr w:rsidR="00B476F1" w14:paraId="778730D3" w14:textId="77777777" w:rsidTr="0018388A">
        <w:trPr>
          <w:cnfStyle w:val="100000000000" w:firstRow="1" w:lastRow="0" w:firstColumn="0" w:lastColumn="0" w:oddVBand="0" w:evenVBand="0" w:oddHBand="0" w:evenHBand="0" w:firstRowFirstColumn="0" w:firstRowLastColumn="0" w:lastRowFirstColumn="0" w:lastRowLastColumn="0"/>
          <w:tblHeader/>
          <w:jc w:val="center"/>
        </w:trPr>
        <w:tc>
          <w:tcPr>
            <w:tcW w:w="0" w:type="auto"/>
          </w:tcPr>
          <w:p w14:paraId="542149AE" w14:textId="77777777" w:rsidR="00B476F1" w:rsidRDefault="00B476F1">
            <w:pPr>
              <w:pStyle w:val="Compact"/>
            </w:pPr>
          </w:p>
        </w:tc>
        <w:tc>
          <w:tcPr>
            <w:tcW w:w="0" w:type="auto"/>
          </w:tcPr>
          <w:p w14:paraId="1C148CF4" w14:textId="77777777" w:rsidR="00B476F1" w:rsidRDefault="00000000">
            <w:pPr>
              <w:pStyle w:val="Compact"/>
              <w:jc w:val="right"/>
            </w:pPr>
            <w:r>
              <w:t>Pain AEs</w:t>
            </w:r>
          </w:p>
        </w:tc>
        <w:tc>
          <w:tcPr>
            <w:tcW w:w="0" w:type="auto"/>
          </w:tcPr>
          <w:p w14:paraId="5B701FF7" w14:textId="77777777" w:rsidR="00B476F1" w:rsidRDefault="00000000">
            <w:pPr>
              <w:pStyle w:val="Compact"/>
              <w:jc w:val="right"/>
            </w:pPr>
            <w:r>
              <w:t>Not pain AEs</w:t>
            </w:r>
          </w:p>
        </w:tc>
      </w:tr>
      <w:tr w:rsidR="00B476F1" w14:paraId="2B9D9CDC" w14:textId="77777777" w:rsidTr="0018388A">
        <w:trPr>
          <w:jc w:val="center"/>
        </w:trPr>
        <w:tc>
          <w:tcPr>
            <w:tcW w:w="0" w:type="auto"/>
          </w:tcPr>
          <w:p w14:paraId="186916A6" w14:textId="77777777" w:rsidR="00B476F1" w:rsidRDefault="00000000">
            <w:pPr>
              <w:pStyle w:val="Compact"/>
            </w:pPr>
            <w:r>
              <w:t>Pelvic mesh</w:t>
            </w:r>
          </w:p>
        </w:tc>
        <w:tc>
          <w:tcPr>
            <w:tcW w:w="0" w:type="auto"/>
          </w:tcPr>
          <w:p w14:paraId="1296ABDC" w14:textId="77777777" w:rsidR="00B476F1" w:rsidRDefault="00000000">
            <w:pPr>
              <w:pStyle w:val="Compact"/>
              <w:jc w:val="right"/>
            </w:pPr>
            <m:oMathPara>
              <m:oMath>
                <m:sSub>
                  <m:sSubPr>
                    <m:ctrlPr>
                      <w:rPr>
                        <w:rFonts w:ascii="Cambria Math" w:hAnsi="Cambria Math"/>
                      </w:rPr>
                    </m:ctrlPr>
                  </m:sSubPr>
                  <m:e>
                    <m:r>
                      <w:rPr>
                        <w:rFonts w:ascii="Cambria Math" w:hAnsi="Cambria Math"/>
                      </w:rPr>
                      <m:t>a</m:t>
                    </m:r>
                  </m:e>
                  <m:sub>
                    <m:r>
                      <w:rPr>
                        <w:rFonts w:ascii="Cambria Math" w:hAnsi="Cambria Math"/>
                      </w:rPr>
                      <m:t>t</m:t>
                    </m:r>
                  </m:sub>
                </m:sSub>
              </m:oMath>
            </m:oMathPara>
          </w:p>
        </w:tc>
        <w:tc>
          <w:tcPr>
            <w:tcW w:w="0" w:type="auto"/>
          </w:tcPr>
          <w:p w14:paraId="394BCA53" w14:textId="77777777" w:rsidR="00B476F1" w:rsidRDefault="00000000">
            <w:pPr>
              <w:pStyle w:val="Compact"/>
              <w:jc w:val="right"/>
            </w:pPr>
            <m:oMathPara>
              <m:oMath>
                <m:sSub>
                  <m:sSubPr>
                    <m:ctrlPr>
                      <w:rPr>
                        <w:rFonts w:ascii="Cambria Math" w:hAnsi="Cambria Math"/>
                      </w:rPr>
                    </m:ctrlPr>
                  </m:sSubPr>
                  <m:e>
                    <m:r>
                      <w:rPr>
                        <w:rFonts w:ascii="Cambria Math" w:hAnsi="Cambria Math"/>
                      </w:rPr>
                      <m:t>b</m:t>
                    </m:r>
                  </m:e>
                  <m:sub>
                    <m:r>
                      <w:rPr>
                        <w:rFonts w:ascii="Cambria Math" w:hAnsi="Cambria Math"/>
                      </w:rPr>
                      <m:t>t</m:t>
                    </m:r>
                  </m:sub>
                </m:sSub>
              </m:oMath>
            </m:oMathPara>
          </w:p>
        </w:tc>
      </w:tr>
      <w:tr w:rsidR="00B476F1" w14:paraId="4016FA87" w14:textId="77777777" w:rsidTr="0018388A">
        <w:trPr>
          <w:jc w:val="center"/>
        </w:trPr>
        <w:tc>
          <w:tcPr>
            <w:tcW w:w="0" w:type="auto"/>
          </w:tcPr>
          <w:p w14:paraId="58975B11" w14:textId="77777777" w:rsidR="00B476F1" w:rsidRDefault="00000000">
            <w:pPr>
              <w:pStyle w:val="Compact"/>
            </w:pPr>
            <w:r>
              <w:t>Comparator exposure</w:t>
            </w:r>
          </w:p>
        </w:tc>
        <w:tc>
          <w:tcPr>
            <w:tcW w:w="0" w:type="auto"/>
          </w:tcPr>
          <w:p w14:paraId="418D8F64" w14:textId="77777777" w:rsidR="00B476F1" w:rsidRDefault="00000000">
            <w:pPr>
              <w:pStyle w:val="Compact"/>
              <w:jc w:val="right"/>
            </w:pPr>
            <m:oMathPara>
              <m:oMath>
                <m:sSub>
                  <m:sSubPr>
                    <m:ctrlPr>
                      <w:rPr>
                        <w:rFonts w:ascii="Cambria Math" w:hAnsi="Cambria Math"/>
                      </w:rPr>
                    </m:ctrlPr>
                  </m:sSubPr>
                  <m:e>
                    <m:r>
                      <w:rPr>
                        <w:rFonts w:ascii="Cambria Math" w:hAnsi="Cambria Math"/>
                      </w:rPr>
                      <m:t>c</m:t>
                    </m:r>
                  </m:e>
                  <m:sub>
                    <m:r>
                      <w:rPr>
                        <w:rFonts w:ascii="Cambria Math" w:hAnsi="Cambria Math"/>
                      </w:rPr>
                      <m:t>t</m:t>
                    </m:r>
                  </m:sub>
                </m:sSub>
              </m:oMath>
            </m:oMathPara>
          </w:p>
        </w:tc>
        <w:tc>
          <w:tcPr>
            <w:tcW w:w="0" w:type="auto"/>
          </w:tcPr>
          <w:p w14:paraId="6EC2BE9A" w14:textId="77777777" w:rsidR="00B476F1" w:rsidRDefault="00000000">
            <w:pPr>
              <w:pStyle w:val="Compact"/>
              <w:jc w:val="right"/>
            </w:pPr>
            <m:oMathPara>
              <m:oMath>
                <m:sSub>
                  <m:sSubPr>
                    <m:ctrlPr>
                      <w:rPr>
                        <w:rFonts w:ascii="Cambria Math" w:hAnsi="Cambria Math"/>
                      </w:rPr>
                    </m:ctrlPr>
                  </m:sSubPr>
                  <m:e>
                    <m:r>
                      <w:rPr>
                        <w:rFonts w:ascii="Cambria Math" w:hAnsi="Cambria Math"/>
                      </w:rPr>
                      <m:t>d</m:t>
                    </m:r>
                  </m:e>
                  <m:sub>
                    <m:r>
                      <w:rPr>
                        <w:rFonts w:ascii="Cambria Math" w:hAnsi="Cambria Math"/>
                      </w:rPr>
                      <m:t>t</m:t>
                    </m:r>
                  </m:sub>
                </m:sSub>
              </m:oMath>
            </m:oMathPara>
          </w:p>
        </w:tc>
      </w:tr>
    </w:tbl>
    <w:p w14:paraId="4C95EC20" w14:textId="77777777" w:rsidR="00B476F1" w:rsidRDefault="00000000">
      <w:pPr>
        <w:pStyle w:val="BodyText"/>
      </w:pPr>
      <w:r>
        <w:t>where</w:t>
      </w:r>
    </w:p>
    <w:p w14:paraId="2E9074B9" w14:textId="77777777" w:rsidR="00B476F1" w:rsidRDefault="00000000">
      <w:pPr>
        <w:pStyle w:val="Compact"/>
        <w:numPr>
          <w:ilvl w:val="0"/>
          <w:numId w:val="5"/>
        </w:numPr>
      </w:pPr>
      <w:r>
        <w:rPr>
          <w:i/>
          <w:iCs/>
        </w:rPr>
        <w:t>AEs pain</w:t>
      </w:r>
      <w:r>
        <w:t xml:space="preserve"> is the count of AEs that contain “pain” themes greater or equal to some pre-specified threshold </w:t>
      </w:r>
      <m:oMath>
        <m:sSub>
          <m:sSubPr>
            <m:ctrlPr>
              <w:rPr>
                <w:rFonts w:ascii="Cambria Math" w:hAnsi="Cambria Math"/>
              </w:rPr>
            </m:ctrlPr>
          </m:sSubPr>
          <m:e>
            <m:r>
              <w:rPr>
                <w:rFonts w:ascii="Cambria Math" w:hAnsi="Cambria Math"/>
              </w:rPr>
              <m:t>p</m:t>
            </m:r>
          </m:e>
          <m:sub>
            <m:r>
              <w:rPr>
                <w:rFonts w:ascii="Cambria Math" w:hAnsi="Cambria Math"/>
              </w:rPr>
              <m:t>t</m:t>
            </m:r>
          </m:sub>
        </m:sSub>
        <m:r>
          <m:rPr>
            <m:sty m:val="p"/>
          </m:rPr>
          <w:rPr>
            <w:rFonts w:ascii="Cambria Math" w:hAnsi="Cambria Math"/>
          </w:rPr>
          <m:t>∈</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1</m:t>
            </m:r>
          </m:e>
        </m:d>
      </m:oMath>
      <w:r>
        <w:t xml:space="preserve"> as estimated by the hSBM (that is, </w:t>
      </w:r>
      <m:oMath>
        <m:r>
          <w:rPr>
            <w:rFonts w:ascii="Cambria Math" w:hAnsi="Cambria Math"/>
          </w:rPr>
          <m:t>P</m:t>
        </m:r>
        <m:d>
          <m:dPr>
            <m:ctrlPr>
              <w:rPr>
                <w:rFonts w:ascii="Cambria Math" w:hAnsi="Cambria Math"/>
              </w:rPr>
            </m:ctrlPr>
          </m:dPr>
          <m:e>
            <m:r>
              <m:rPr>
                <m:nor/>
              </m:rPr>
              <m:t>topic == "pain"</m:t>
            </m:r>
            <m:r>
              <m:rPr>
                <m:sty m:val="p"/>
              </m:rPr>
              <w:rPr>
                <w:rFonts w:ascii="Cambria Math" w:hAnsi="Cambria Math"/>
              </w:rPr>
              <m:t>|</m:t>
            </m:r>
            <m:r>
              <m:rPr>
                <m:nor/>
              </m:rPr>
              <m:t>Level, Doc</m:t>
            </m:r>
          </m:e>
        </m:d>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t</m:t>
            </m:r>
          </m:sub>
        </m:sSub>
      </m:oMath>
      <w:r>
        <w:t>), and</w:t>
      </w:r>
    </w:p>
    <w:p w14:paraId="76DAA2AA" w14:textId="77777777" w:rsidR="00B476F1" w:rsidRDefault="00000000">
      <w:pPr>
        <w:pStyle w:val="Compact"/>
        <w:numPr>
          <w:ilvl w:val="0"/>
          <w:numId w:val="5"/>
        </w:numPr>
      </w:pPr>
      <w:r>
        <w:rPr>
          <w:i/>
          <w:iCs/>
        </w:rPr>
        <w:t>Comparator exposure</w:t>
      </w:r>
      <w:r>
        <w:t xml:space="preserve"> can be any relevant set of medical devices to compare the pelvic mesh to (e.g., hernia mesh or all other mesh devices or all other devices).</w:t>
      </w:r>
    </w:p>
    <w:p w14:paraId="3C9F3C35" w14:textId="77777777" w:rsidR="00B476F1" w:rsidRDefault="00000000">
      <w:pPr>
        <w:pStyle w:val="Heading2"/>
      </w:pPr>
      <w:bookmarkStart w:id="10" w:name="signal-detection-over-time"/>
      <w:bookmarkStart w:id="11" w:name="_Toc154170402"/>
      <w:bookmarkEnd w:id="8"/>
      <w:r>
        <w:t>3.3 Signal detection over time</w:t>
      </w:r>
      <w:bookmarkEnd w:id="11"/>
    </w:p>
    <w:p w14:paraId="43D59F2F" w14:textId="77777777" w:rsidR="00B476F1" w:rsidRDefault="00000000">
      <w:pPr>
        <w:pStyle w:val="FirstParagraph"/>
      </w:pPr>
      <w:r>
        <w:t>We will consider the three signal detection statistics below:</w:t>
      </w:r>
    </w:p>
    <w:p w14:paraId="7548B76C" w14:textId="77777777" w:rsidR="00B476F1" w:rsidRDefault="00000000">
      <w:pPr>
        <w:pStyle w:val="Compact"/>
        <w:numPr>
          <w:ilvl w:val="0"/>
          <w:numId w:val="6"/>
        </w:numPr>
      </w:pPr>
      <w:r>
        <w:t>Proportional reporting ratio (PRR),</w:t>
      </w:r>
    </w:p>
    <w:p w14:paraId="01B192EA" w14:textId="77777777" w:rsidR="00B476F1" w:rsidRDefault="00000000">
      <w:pPr>
        <w:pStyle w:val="Compact"/>
        <w:numPr>
          <w:ilvl w:val="0"/>
          <w:numId w:val="6"/>
        </w:numPr>
      </w:pPr>
      <w:r>
        <w:t>Bayesian Confidence Propagation Neural Network Information Component (BCPNN IC with MCMC CIs), and</w:t>
      </w:r>
    </w:p>
    <w:p w14:paraId="145DC50C" w14:textId="77777777" w:rsidR="00B476F1" w:rsidRDefault="00000000">
      <w:pPr>
        <w:pStyle w:val="Compact"/>
        <w:numPr>
          <w:ilvl w:val="0"/>
          <w:numId w:val="6"/>
        </w:numPr>
      </w:pPr>
      <w:r>
        <w:t>the maxSPRT statistic</w:t>
      </w:r>
    </w:p>
    <w:p w14:paraId="6C5D0D04" w14:textId="77777777" w:rsidR="00B476F1" w:rsidRDefault="00000000">
      <w:pPr>
        <w:pStyle w:val="FirstParagraph"/>
      </w:pPr>
      <w:r>
        <w:lastRenderedPageBreak/>
        <w:t>As signal detection is being undertaken repeatedly as data are being accumulated, alpha spending needs to be considered. The below table classifies the aforementioned signal detection methods by their null hypothesis as well as how they control for the family-wise error rate (FWER).</w:t>
      </w:r>
    </w:p>
    <w:tbl>
      <w:tblPr>
        <w:tblStyle w:val="Table"/>
        <w:tblW w:w="5000" w:type="pct"/>
        <w:tblLook w:val="0020" w:firstRow="1" w:lastRow="0" w:firstColumn="0" w:lastColumn="0" w:noHBand="0" w:noVBand="0"/>
      </w:tblPr>
      <w:tblGrid>
        <w:gridCol w:w="2561"/>
        <w:gridCol w:w="4565"/>
        <w:gridCol w:w="2234"/>
      </w:tblGrid>
      <w:tr w:rsidR="00B476F1" w14:paraId="1EDB419F" w14:textId="77777777" w:rsidTr="00B476F1">
        <w:trPr>
          <w:cnfStyle w:val="100000000000" w:firstRow="1" w:lastRow="0" w:firstColumn="0" w:lastColumn="0" w:oddVBand="0" w:evenVBand="0" w:oddHBand="0" w:evenHBand="0" w:firstRowFirstColumn="0" w:firstRowLastColumn="0" w:lastRowFirstColumn="0" w:lastRowLastColumn="0"/>
          <w:tblHeader/>
        </w:trPr>
        <w:tc>
          <w:tcPr>
            <w:tcW w:w="0" w:type="auto"/>
          </w:tcPr>
          <w:p w14:paraId="48C93103" w14:textId="77777777" w:rsidR="00B476F1" w:rsidRDefault="00000000">
            <w:pPr>
              <w:pStyle w:val="Compact"/>
            </w:pPr>
            <w:r>
              <w:t>Method</w:t>
            </w:r>
          </w:p>
        </w:tc>
        <w:tc>
          <w:tcPr>
            <w:tcW w:w="0" w:type="auto"/>
          </w:tcPr>
          <w:p w14:paraId="696A22EB" w14:textId="77777777" w:rsidR="00B476F1" w:rsidRDefault="00000000">
            <w:pPr>
              <w:pStyle w:val="Compact"/>
              <w:jc w:val="right"/>
            </w:pPr>
            <w:r>
              <w:t>Null hypothesis</w:t>
            </w:r>
          </w:p>
        </w:tc>
        <w:tc>
          <w:tcPr>
            <w:tcW w:w="0" w:type="auto"/>
          </w:tcPr>
          <w:p w14:paraId="27CA819E" w14:textId="77777777" w:rsidR="00B476F1" w:rsidRDefault="00000000">
            <w:pPr>
              <w:pStyle w:val="Compact"/>
              <w:jc w:val="right"/>
            </w:pPr>
            <w:r>
              <w:t>FWER adjustment</w:t>
            </w:r>
          </w:p>
        </w:tc>
      </w:tr>
      <w:tr w:rsidR="00B476F1" w14:paraId="7EA10305" w14:textId="77777777">
        <w:tc>
          <w:tcPr>
            <w:tcW w:w="0" w:type="auto"/>
          </w:tcPr>
          <w:p w14:paraId="5C714594" w14:textId="77777777" w:rsidR="00B476F1" w:rsidRDefault="00000000">
            <w:pPr>
              <w:pStyle w:val="Compact"/>
            </w:pPr>
            <w:r>
              <w:t>PRR</w:t>
            </w:r>
          </w:p>
        </w:tc>
        <w:tc>
          <w:tcPr>
            <w:tcW w:w="0" w:type="auto"/>
          </w:tcPr>
          <w:p w14:paraId="00873049" w14:textId="77777777" w:rsidR="00B476F1" w:rsidRDefault="00000000">
            <w:pPr>
              <w:pStyle w:val="Compact"/>
              <w:jc w:val="right"/>
            </w:pPr>
            <w:r>
              <w:t>Ratio of pain AEs to all AEs in target and comparator groups has a ratio of 1</w:t>
            </w:r>
          </w:p>
        </w:tc>
        <w:tc>
          <w:tcPr>
            <w:tcW w:w="0" w:type="auto"/>
          </w:tcPr>
          <w:p w14:paraId="5D541B1D" w14:textId="77777777" w:rsidR="00B476F1" w:rsidRDefault="00000000">
            <w:pPr>
              <w:pStyle w:val="Compact"/>
              <w:jc w:val="right"/>
            </w:pPr>
            <w:r>
              <w:t xml:space="preserve">PRR with </w:t>
            </w:r>
            <m:oMath>
              <m:r>
                <w:rPr>
                  <w:rFonts w:ascii="Cambria Math" w:hAnsi="Cambria Math"/>
                </w:rPr>
                <m:t>α</m:t>
              </m:r>
            </m:oMath>
            <w:r>
              <w:t>-spending scheme</w:t>
            </w:r>
          </w:p>
        </w:tc>
      </w:tr>
      <w:tr w:rsidR="00B476F1" w14:paraId="1E09001B" w14:textId="77777777">
        <w:tc>
          <w:tcPr>
            <w:tcW w:w="0" w:type="auto"/>
          </w:tcPr>
          <w:p w14:paraId="01FDDA2B" w14:textId="77777777" w:rsidR="00B476F1" w:rsidRDefault="00000000">
            <w:pPr>
              <w:pStyle w:val="Compact"/>
            </w:pPr>
            <w:r>
              <w:t>BCPNN IC</w:t>
            </w:r>
          </w:p>
        </w:tc>
        <w:tc>
          <w:tcPr>
            <w:tcW w:w="0" w:type="auto"/>
          </w:tcPr>
          <w:p w14:paraId="02A76723" w14:textId="77777777" w:rsidR="00B476F1" w:rsidRDefault="00000000">
            <w:pPr>
              <w:pStyle w:val="Compact"/>
              <w:jc w:val="right"/>
            </w:pPr>
            <w:r>
              <w:t>Independence of pain AEs and target group (based on marginal counts)</w:t>
            </w:r>
          </w:p>
        </w:tc>
        <w:tc>
          <w:tcPr>
            <w:tcW w:w="0" w:type="auto"/>
          </w:tcPr>
          <w:p w14:paraId="6B2C5014" w14:textId="77777777" w:rsidR="00B476F1" w:rsidRDefault="00000000">
            <w:pPr>
              <w:pStyle w:val="Compact"/>
              <w:jc w:val="right"/>
            </w:pPr>
            <w:r>
              <w:t xml:space="preserve">IC with </w:t>
            </w:r>
            <m:oMath>
              <m:r>
                <w:rPr>
                  <w:rFonts w:ascii="Cambria Math" w:hAnsi="Cambria Math"/>
                </w:rPr>
                <m:t>α</m:t>
              </m:r>
            </m:oMath>
            <w:r>
              <w:t>-spending scheme</w:t>
            </w:r>
          </w:p>
        </w:tc>
      </w:tr>
      <w:tr w:rsidR="00B476F1" w14:paraId="04B704EF" w14:textId="77777777">
        <w:tc>
          <w:tcPr>
            <w:tcW w:w="0" w:type="auto"/>
          </w:tcPr>
          <w:p w14:paraId="5A55CCEC" w14:textId="77777777" w:rsidR="00B476F1" w:rsidRDefault="00000000">
            <w:pPr>
              <w:pStyle w:val="Compact"/>
            </w:pPr>
            <w:r>
              <w:t>maxSPRT (binary, group sequential)</w:t>
            </w:r>
          </w:p>
        </w:tc>
        <w:tc>
          <w:tcPr>
            <w:tcW w:w="0" w:type="auto"/>
          </w:tcPr>
          <w:p w14:paraId="28A34DA8" w14:textId="77777777" w:rsidR="00B476F1" w:rsidRDefault="00000000">
            <w:pPr>
              <w:pStyle w:val="Compact"/>
              <w:jc w:val="right"/>
            </w:pPr>
            <w:r>
              <w:t>Log-likelihood ratio test statistic below null derived threshold</w:t>
            </w:r>
          </w:p>
        </w:tc>
        <w:tc>
          <w:tcPr>
            <w:tcW w:w="0" w:type="auto"/>
          </w:tcPr>
          <w:p w14:paraId="1BE6EA4B" w14:textId="77777777" w:rsidR="00B476F1" w:rsidRDefault="00000000">
            <w:pPr>
              <w:pStyle w:val="Compact"/>
              <w:jc w:val="right"/>
            </w:pPr>
            <w:r>
              <w:t>(built in)</w:t>
            </w:r>
          </w:p>
        </w:tc>
      </w:tr>
    </w:tbl>
    <w:p w14:paraId="7C44F573" w14:textId="77777777" w:rsidR="00B476F1" w:rsidRDefault="00000000">
      <w:pPr>
        <w:pStyle w:val="BodyText"/>
      </w:pPr>
      <w:r>
        <w:t>We will demonstrate how the group sequential binary maxSPRT, as described in previous work, is equivalent to a natively FWER-controlled PRR method of signal detection using the log-likelihood ratio test for significance.</w:t>
      </w:r>
    </w:p>
    <w:p w14:paraId="7C89388E" w14:textId="77777777" w:rsidR="00B476F1" w:rsidRDefault="00000000">
      <w:pPr>
        <w:pStyle w:val="BodyText"/>
      </w:pPr>
      <w:r>
        <w:t>Methods used included the Bayesian Confidence Propagation Neural Network (BCPNN) and the maximised Sequential Probability Ratio Test (maxSPRT) which accounted for multiple testing through alpha spending. The BCPNN was used with and without adjusting for multiple testing. The test statistic for BCPNN is the information criterion (IC) which represents the log2 of the ratio of observed to expected adverse events (0 under the null hypothesis of no association between the topic and pelvic mesh).</w:t>
      </w:r>
    </w:p>
    <w:p w14:paraId="374BA27D" w14:textId="77777777" w:rsidR="00B476F1" w:rsidRDefault="00000000">
      <w:pPr>
        <w:pStyle w:val="BodyText"/>
      </w:pPr>
      <w:r>
        <w:t>maxSPRT was developed for near continuous sequential monitoring (called “group sequential” when monitored at discrete time points or after set accumulations of events), maintaining the correct overall alpha level. The test statistic is based on the maximized (log-)likelihood ratio statistic which uses the observed and expected (under the null hypothesis) reporting ratio assuming binomial adverse event accumulation. The critical value of the likelihood ratio statistic is determined by the 100(1-α)% quantile of possible likelihood ratio statistics from binomial adverse event counts under the null hypothesis over the entire group sequential follow-up.</w:t>
      </w:r>
    </w:p>
    <w:p w14:paraId="6BA55579" w14:textId="77777777" w:rsidR="00B476F1" w:rsidRDefault="00000000">
      <w:pPr>
        <w:pStyle w:val="Heading3"/>
      </w:pPr>
      <w:bookmarkStart w:id="12" w:name="proportional-reporting-ratio-prr"/>
      <w:bookmarkStart w:id="13" w:name="_Toc154170403"/>
      <w:r>
        <w:t>3.3.1 Proportional reporting ratio (PRR)</w:t>
      </w:r>
      <w:bookmarkEnd w:id="13"/>
    </w:p>
    <w:p w14:paraId="40CCE869" w14:textId="77777777" w:rsidR="00B476F1" w:rsidRDefault="00000000">
      <w:pPr>
        <w:pStyle w:val="FirstParagraph"/>
      </w:pPr>
      <w:r>
        <w:t>The PRR estimate is calculated</w:t>
      </w:r>
    </w:p>
    <w:p w14:paraId="0FFCDBE4" w14:textId="77777777" w:rsidR="00B476F1" w:rsidRDefault="00000000">
      <w:pPr>
        <w:pStyle w:val="BodyText"/>
      </w:pPr>
      <m:oMathPara>
        <m:oMathParaPr>
          <m:jc m:val="center"/>
        </m:oMathParaPr>
        <m:oMath>
          <m:sSub>
            <m:sSubPr>
              <m:ctrlPr>
                <w:rPr>
                  <w:rFonts w:ascii="Cambria Math" w:hAnsi="Cambria Math"/>
                </w:rPr>
              </m:ctrlPr>
            </m:sSubPr>
            <m:e>
              <m:acc>
                <m:accPr>
                  <m:ctrlPr>
                    <w:rPr>
                      <w:rFonts w:ascii="Cambria Math" w:hAnsi="Cambria Math"/>
                    </w:rPr>
                  </m:ctrlPr>
                </m:accPr>
                <m:e>
                  <m:r>
                    <m:rPr>
                      <m:nor/>
                    </m:rPr>
                    <m:t>PRR</m:t>
                  </m:r>
                </m:e>
              </m:acc>
            </m:e>
            <m:sub>
              <m:r>
                <w:rPr>
                  <w:rFonts w:ascii="Cambria Math" w:hAnsi="Cambria Math"/>
                </w:rPr>
                <m:t>t</m:t>
              </m:r>
            </m:sub>
          </m:sSub>
          <m:r>
            <m:rPr>
              <m:sty m:val="p"/>
            </m:rPr>
            <w:rPr>
              <w:rFonts w:ascii="Cambria Math" w:hAnsi="Cambria Math"/>
            </w:rPr>
            <m:t>=</m:t>
          </m:r>
          <m:f>
            <m:fPr>
              <m:ctrlPr>
                <w:rPr>
                  <w:rFonts w:ascii="Cambria Math" w:hAnsi="Cambria Math"/>
                </w:rPr>
              </m:ctrlPr>
            </m:fPr>
            <m:num>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t</m:t>
                      </m:r>
                    </m:sub>
                  </m:sSub>
                </m:num>
                <m:den>
                  <m:sSub>
                    <m:sSubPr>
                      <m:ctrlPr>
                        <w:rPr>
                          <w:rFonts w:ascii="Cambria Math" w:hAnsi="Cambria Math"/>
                        </w:rPr>
                      </m:ctrlPr>
                    </m:sSubPr>
                    <m:e>
                      <m:r>
                        <w:rPr>
                          <w:rFonts w:ascii="Cambria Math" w:hAnsi="Cambria Math"/>
                        </w:rPr>
                        <m:t>a</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t</m:t>
                      </m:r>
                    </m:sub>
                  </m:sSub>
                </m:den>
              </m:f>
            </m:num>
            <m:den>
              <m:f>
                <m:fPr>
                  <m:ctrlPr>
                    <w:rPr>
                      <w:rFonts w:ascii="Cambria Math" w:hAnsi="Cambria Math"/>
                    </w:rPr>
                  </m:ctrlPr>
                </m:fPr>
                <m:num>
                  <m:sSub>
                    <m:sSubPr>
                      <m:ctrlPr>
                        <w:rPr>
                          <w:rFonts w:ascii="Cambria Math" w:hAnsi="Cambria Math"/>
                        </w:rPr>
                      </m:ctrlPr>
                    </m:sSubPr>
                    <m:e>
                      <m:r>
                        <w:rPr>
                          <w:rFonts w:ascii="Cambria Math" w:hAnsi="Cambria Math"/>
                        </w:rPr>
                        <m:t>c</m:t>
                      </m:r>
                    </m:e>
                    <m:sub>
                      <m:r>
                        <w:rPr>
                          <w:rFonts w:ascii="Cambria Math" w:hAnsi="Cambria Math"/>
                        </w:rPr>
                        <m:t>t</m:t>
                      </m:r>
                    </m:sub>
                  </m:sSub>
                </m:num>
                <m:den>
                  <m:sSub>
                    <m:sSubPr>
                      <m:ctrlPr>
                        <w:rPr>
                          <w:rFonts w:ascii="Cambria Math" w:hAnsi="Cambria Math"/>
                        </w:rPr>
                      </m:ctrlPr>
                    </m:sSubPr>
                    <m:e>
                      <m:r>
                        <w:rPr>
                          <w:rFonts w:ascii="Cambria Math" w:hAnsi="Cambria Math"/>
                        </w:rPr>
                        <m:t>c</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t</m:t>
                      </m:r>
                    </m:sub>
                  </m:sSub>
                </m:den>
              </m:f>
            </m:den>
          </m:f>
          <m:r>
            <m:rPr>
              <m:sty m:val="p"/>
            </m:rPr>
            <w:rPr>
              <w:rFonts w:ascii="Cambria Math" w:hAnsi="Cambria Math"/>
            </w:rPr>
            <m:t>.</m:t>
          </m:r>
        </m:oMath>
      </m:oMathPara>
    </w:p>
    <w:p w14:paraId="728C61D6" w14:textId="77777777" w:rsidR="00B476F1" w:rsidRDefault="00000000">
      <w:pPr>
        <w:pStyle w:val="FirstParagraph"/>
      </w:pPr>
      <w:r>
        <w:t xml:space="preserve">In the context of signal detection, an elevated proportional reporting ratio is of concern. Therefore the one-sided hypothesis test </w:t>
      </w:r>
      <m:oMath>
        <m:sSub>
          <m:sSubPr>
            <m:ctrlPr>
              <w:rPr>
                <w:rFonts w:ascii="Cambria Math" w:hAnsi="Cambria Math"/>
              </w:rPr>
            </m:ctrlPr>
          </m:sSubPr>
          <m:e>
            <m:r>
              <w:rPr>
                <w:rFonts w:ascii="Cambria Math" w:hAnsi="Cambria Math"/>
              </w:rPr>
              <m:t>H</m:t>
            </m:r>
          </m:e>
          <m:sub>
            <m:r>
              <w:rPr>
                <w:rFonts w:ascii="Cambria Math" w:hAnsi="Cambria Math"/>
              </w:rPr>
              <m:t>0</m:t>
            </m:r>
          </m:sub>
        </m:sSub>
        <m:r>
          <m:rPr>
            <m:sty m:val="p"/>
          </m:rPr>
          <w:rPr>
            <w:rFonts w:ascii="Cambria Math" w:hAnsi="Cambria Math"/>
          </w:rPr>
          <m:t>:</m:t>
        </m:r>
        <m:r>
          <m:rPr>
            <m:nor/>
          </m:rPr>
          <m:t>PRR</m:t>
        </m:r>
        <m:r>
          <m:rPr>
            <m:sty m:val="p"/>
          </m:rPr>
          <w:rPr>
            <w:rFonts w:ascii="Cambria Math" w:hAnsi="Cambria Math"/>
          </w:rPr>
          <m:t>≤</m:t>
        </m:r>
        <m:r>
          <w:rPr>
            <w:rFonts w:ascii="Cambria Math" w:hAnsi="Cambria Math"/>
          </w:rPr>
          <m:t>1</m:t>
        </m:r>
      </m:oMath>
      <w:r>
        <w:t xml:space="preserve"> (proportional reporting of the target is less than the comparator) is used and is not rejected until</w:t>
      </w:r>
    </w:p>
    <w:p w14:paraId="0E924ECC" w14:textId="77777777" w:rsidR="00B476F1" w:rsidRDefault="00000000">
      <w:pPr>
        <w:pStyle w:val="BodyText"/>
      </w:pPr>
      <m:oMathPara>
        <m:oMathParaPr>
          <m:jc m:val="center"/>
        </m:oMathParaPr>
        <m:oMath>
          <m:sSub>
            <m:sSubPr>
              <m:ctrlPr>
                <w:rPr>
                  <w:rFonts w:ascii="Cambria Math" w:hAnsi="Cambria Math"/>
                </w:rPr>
              </m:ctrlPr>
            </m:sSubPr>
            <m:e>
              <m:acc>
                <m:accPr>
                  <m:ctrlPr>
                    <w:rPr>
                      <w:rFonts w:ascii="Cambria Math" w:hAnsi="Cambria Math"/>
                    </w:rPr>
                  </m:ctrlPr>
                </m:accPr>
                <m:e>
                  <m:r>
                    <m:rPr>
                      <m:nor/>
                    </m:rPr>
                    <m:t>PRR</m:t>
                  </m:r>
                </m:e>
              </m:acc>
            </m:e>
            <m:sub>
              <m:r>
                <w:rPr>
                  <w:rFonts w:ascii="Cambria Math" w:hAnsi="Cambria Math"/>
                </w:rPr>
                <m:t>t</m:t>
              </m:r>
            </m:sub>
          </m:sSub>
          <m:r>
            <m:rPr>
              <m:sty m:val="p"/>
            </m:rPr>
            <w:rPr>
              <w:rFonts w:ascii="Cambria Math" w:hAnsi="Cambria Math"/>
            </w:rPr>
            <m:t>×exp</m:t>
          </m:r>
          <m:d>
            <m:dPr>
              <m:begChr m:val="{"/>
              <m:endChr m:val="}"/>
              <m:ctrlPr>
                <w:rPr>
                  <w:rFonts w:ascii="Cambria Math" w:hAnsi="Cambria Math"/>
                </w:rPr>
              </m:ctrlPr>
            </m:dPr>
            <m:e>
              <m:r>
                <m:rPr>
                  <m:sty m:val="p"/>
                </m:rPr>
                <w:rPr>
                  <w:rFonts w:ascii="Cambria Math" w:hAnsi="Cambria Math"/>
                </w:rPr>
                <m:t>-</m:t>
              </m:r>
              <m:sSubSup>
                <m:sSubSupPr>
                  <m:ctrlPr>
                    <w:rPr>
                      <w:rFonts w:ascii="Cambria Math" w:hAnsi="Cambria Math"/>
                    </w:rPr>
                  </m:ctrlPr>
                </m:sSubSupPr>
                <m:e>
                  <m:r>
                    <w:rPr>
                      <w:rFonts w:ascii="Cambria Math" w:hAnsi="Cambria Math"/>
                    </w:rPr>
                    <m:t>Z</m:t>
                  </m:r>
                </m:e>
                <m:sub>
                  <m:r>
                    <w:rPr>
                      <w:rFonts w:ascii="Cambria Math" w:hAnsi="Cambria Math"/>
                    </w:rPr>
                    <m:t>α</m:t>
                  </m:r>
                </m:sub>
                <m:sup>
                  <m:r>
                    <m:rPr>
                      <m:sty m:val="p"/>
                    </m:rPr>
                    <w:rPr>
                      <w:rFonts w:ascii="Cambria Math" w:hAnsi="Cambria Math"/>
                    </w:rPr>
                    <m:t>*</m:t>
                  </m:r>
                </m:sup>
              </m:sSubSup>
              <m:rad>
                <m:radPr>
                  <m:degHide m:val="1"/>
                  <m:ctrlPr>
                    <w:rPr>
                      <w:rFonts w:ascii="Cambria Math" w:hAnsi="Cambria Math"/>
                    </w:rPr>
                  </m:ctrlPr>
                </m:radPr>
                <m:deg/>
                <m:e>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a</m:t>
                          </m:r>
                        </m:e>
                        <m:sub>
                          <m:r>
                            <w:rPr>
                              <w:rFonts w:ascii="Cambria Math" w:hAnsi="Cambria Math"/>
                            </w:rPr>
                            <m:t>t</m:t>
                          </m:r>
                        </m:sub>
                      </m:sSub>
                    </m:den>
                  </m:f>
                  <m:r>
                    <m:rPr>
                      <m:sty m:val="p"/>
                    </m:rP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a</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t</m:t>
                          </m:r>
                        </m:sub>
                      </m:sSub>
                    </m:den>
                  </m:f>
                  <m:r>
                    <m:rPr>
                      <m:sty m:val="p"/>
                    </m:rP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c</m:t>
                          </m:r>
                        </m:e>
                        <m:sub>
                          <m:r>
                            <w:rPr>
                              <w:rFonts w:ascii="Cambria Math" w:hAnsi="Cambria Math"/>
                            </w:rPr>
                            <m:t>t</m:t>
                          </m:r>
                        </m:sub>
                      </m:sSub>
                    </m:den>
                  </m:f>
                  <m:r>
                    <m:rPr>
                      <m:sty m:val="p"/>
                    </m:rP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c</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t</m:t>
                          </m:r>
                        </m:sub>
                      </m:sSub>
                    </m:den>
                  </m:f>
                </m:e>
              </m:rad>
            </m:e>
          </m:d>
          <m:r>
            <m:rPr>
              <m:sty m:val="p"/>
            </m:rPr>
            <w:rPr>
              <w:rFonts w:ascii="Cambria Math" w:hAnsi="Cambria Math"/>
            </w:rPr>
            <m:t>&gt;</m:t>
          </m:r>
          <m:r>
            <w:rPr>
              <w:rFonts w:ascii="Cambria Math" w:hAnsi="Cambria Math"/>
            </w:rPr>
            <m:t>1</m:t>
          </m:r>
        </m:oMath>
      </m:oMathPara>
    </w:p>
    <w:p w14:paraId="1DE5ABEC" w14:textId="77777777" w:rsidR="00B476F1" w:rsidRDefault="00000000">
      <w:pPr>
        <w:pStyle w:val="FirstParagraph"/>
      </w:pPr>
      <w:r>
        <w:t xml:space="preserve">at the </w:t>
      </w:r>
      <m:oMath>
        <m:r>
          <w:rPr>
            <w:rFonts w:ascii="Cambria Math" w:hAnsi="Cambria Math"/>
          </w:rPr>
          <m:t>α</m:t>
        </m:r>
      </m:oMath>
      <w:r>
        <w:t xml:space="preserve"> level where </w:t>
      </w:r>
      <m:oMath>
        <m:sSubSup>
          <m:sSubSupPr>
            <m:ctrlPr>
              <w:rPr>
                <w:rFonts w:ascii="Cambria Math" w:hAnsi="Cambria Math"/>
              </w:rPr>
            </m:ctrlPr>
          </m:sSubSupPr>
          <m:e>
            <m:r>
              <w:rPr>
                <w:rFonts w:ascii="Cambria Math" w:hAnsi="Cambria Math"/>
              </w:rPr>
              <m:t>Z</m:t>
            </m:r>
          </m:e>
          <m:sub>
            <m:r>
              <w:rPr>
                <w:rFonts w:ascii="Cambria Math" w:hAnsi="Cambria Math"/>
              </w:rPr>
              <m:t>α</m:t>
            </m:r>
          </m:sub>
          <m:sup>
            <m:r>
              <m:rPr>
                <m:sty m:val="p"/>
              </m:rPr>
              <w:rPr>
                <w:rFonts w:ascii="Cambria Math" w:hAnsi="Cambria Math"/>
              </w:rPr>
              <m:t>*</m:t>
            </m:r>
          </m:sup>
        </m:sSubSup>
      </m:oMath>
      <w:r>
        <w:t xml:space="preserve"> is the </w:t>
      </w:r>
      <m:oMath>
        <m:sSup>
          <m:sSupPr>
            <m:ctrlPr>
              <w:rPr>
                <w:rFonts w:ascii="Cambria Math" w:hAnsi="Cambria Math"/>
              </w:rPr>
            </m:ctrlPr>
          </m:sSupPr>
          <m:e>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α</m:t>
                </m:r>
              </m:e>
            </m:d>
          </m:e>
          <m:sup>
            <m:r>
              <m:rPr>
                <m:nor/>
              </m:rPr>
              <m:t>th</m:t>
            </m:r>
          </m:sup>
        </m:sSup>
      </m:oMath>
      <w:r>
        <w:t xml:space="preserve"> quantile of the standard normal distribution. The above threshold is equivalent to the lower bound of the approximate </w:t>
      </w:r>
      <m:oMath>
        <m:r>
          <w:rPr>
            <w:rFonts w:ascii="Cambria Math" w:hAnsi="Cambria Math"/>
          </w:rPr>
          <m:t>100</m:t>
        </m:r>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2α</m:t>
            </m:r>
          </m:e>
        </m:d>
      </m:oMath>
      <w:r>
        <w:t>% confidence interval for a standard two-sided hypothesis test.</w:t>
      </w:r>
    </w:p>
    <w:p w14:paraId="0F013EF9" w14:textId="77777777" w:rsidR="00B476F1" w:rsidRDefault="00000000">
      <w:pPr>
        <w:pStyle w:val="Heading3"/>
      </w:pPr>
      <w:bookmarkStart w:id="14" w:name="Xa623dbfb20d80c5e14428e42ec754641047c015"/>
      <w:bookmarkStart w:id="15" w:name="_Toc154170404"/>
      <w:bookmarkEnd w:id="12"/>
      <w:r>
        <w:t>3.3.2 Bayesian Confidence Propagation Neural Network (BCPNN) Information Component (IC)</w:t>
      </w:r>
      <w:bookmarkEnd w:id="15"/>
    </w:p>
    <w:p w14:paraId="3DD99FD0" w14:textId="77777777" w:rsidR="00B476F1" w:rsidRDefault="00000000">
      <w:pPr>
        <w:pStyle w:val="FirstParagraph"/>
      </w:pPr>
      <w:r>
        <w:t>The Information Component (IC) statistic is an estimate of the observed-to-expected ratio of the number of target exposure AEs of interest on the log</w:t>
      </w:r>
      <m:oMath>
        <m:sSub>
          <m:sSubPr>
            <m:ctrlPr>
              <w:rPr>
                <w:rFonts w:ascii="Cambria Math" w:hAnsi="Cambria Math"/>
              </w:rPr>
            </m:ctrlPr>
          </m:sSubPr>
          <m:e>
            <m:r>
              <w:rPr>
                <w:rFonts w:ascii="Cambria Math" w:hAnsi="Cambria Math"/>
              </w:rPr>
              <m:t>​</m:t>
            </m:r>
          </m:e>
          <m:sub>
            <m:r>
              <w:rPr>
                <w:rFonts w:ascii="Cambria Math" w:hAnsi="Cambria Math"/>
              </w:rPr>
              <m:t>2</m:t>
            </m:r>
          </m:sub>
        </m:sSub>
      </m:oMath>
      <w:r>
        <w:t xml:space="preserve">-scale under independence between the target exposure and AEs of interest based on information theory </w:t>
      </w:r>
      <w:hyperlink r:id="rId11">
        <w:r>
          <w:rPr>
            <w:rStyle w:val="Hyperlink"/>
          </w:rPr>
          <w:t>(Bate et al., 1998)</w:t>
        </w:r>
      </w:hyperlink>
    </w:p>
    <w:p w14:paraId="60D4C1BB" w14:textId="77777777" w:rsidR="00B476F1" w:rsidRDefault="00000000">
      <w:pPr>
        <w:pStyle w:val="BodyText"/>
      </w:pPr>
      <m:oMathPara>
        <m:oMathParaPr>
          <m:jc m:val="center"/>
        </m:oMathParaPr>
        <m:oMath>
          <m:sSub>
            <m:sSubPr>
              <m:ctrlPr>
                <w:rPr>
                  <w:rFonts w:ascii="Cambria Math" w:hAnsi="Cambria Math"/>
                </w:rPr>
              </m:ctrlPr>
            </m:sSubPr>
            <m:e>
              <m:r>
                <m:rPr>
                  <m:nor/>
                </m:rPr>
                <m:t>IC</m:t>
              </m:r>
            </m:e>
            <m:sub>
              <m:r>
                <w:rPr>
                  <w:rFonts w:ascii="Cambria Math" w:hAnsi="Cambria Math"/>
                </w:rPr>
                <m:t>XY</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log</m:t>
              </m:r>
            </m:e>
            <m:sub>
              <m:r>
                <w:rPr>
                  <w:rFonts w:ascii="Cambria Math" w:hAnsi="Cambria Math"/>
                </w:rPr>
                <m:t>2</m:t>
              </m:r>
            </m:sub>
          </m:sSub>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X</m:t>
                  </m:r>
                  <m:r>
                    <m:rPr>
                      <m:sty m:val="p"/>
                    </m:rPr>
                    <w:rPr>
                      <w:rFonts w:ascii="Cambria Math" w:hAnsi="Cambria Math"/>
                    </w:rPr>
                    <m:t>,</m:t>
                  </m:r>
                  <m:r>
                    <w:rPr>
                      <w:rFonts w:ascii="Cambria Math" w:hAnsi="Cambria Math"/>
                    </w:rPr>
                    <m:t>Y</m:t>
                  </m:r>
                </m:sub>
              </m:sSub>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t</m:t>
                      </m:r>
                    </m:sub>
                  </m:sSub>
                </m:e>
              </m:d>
            </m:num>
            <m:den>
              <m:sSub>
                <m:sSubPr>
                  <m:ctrlPr>
                    <w:rPr>
                      <w:rFonts w:ascii="Cambria Math" w:hAnsi="Cambria Math"/>
                    </w:rPr>
                  </m:ctrlPr>
                </m:sSubPr>
                <m:e>
                  <m:r>
                    <w:rPr>
                      <w:rFonts w:ascii="Cambria Math" w:hAnsi="Cambria Math"/>
                    </w:rPr>
                    <m:t>P</m:t>
                  </m:r>
                </m:e>
                <m:sub>
                  <m:r>
                    <w:rPr>
                      <w:rFonts w:ascii="Cambria Math" w:hAnsi="Cambria Math"/>
                    </w:rPr>
                    <m:t>X</m:t>
                  </m:r>
                </m:sub>
              </m:sSub>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t</m:t>
                      </m:r>
                    </m:sub>
                  </m:sSub>
                </m:e>
              </m:d>
              <m:sSub>
                <m:sSubPr>
                  <m:ctrlPr>
                    <w:rPr>
                      <w:rFonts w:ascii="Cambria Math" w:hAnsi="Cambria Math"/>
                    </w:rPr>
                  </m:ctrlPr>
                </m:sSubPr>
                <m:e>
                  <m:r>
                    <w:rPr>
                      <w:rFonts w:ascii="Cambria Math" w:hAnsi="Cambria Math"/>
                    </w:rPr>
                    <m:t>P</m:t>
                  </m:r>
                </m:e>
                <m:sub>
                  <m:r>
                    <w:rPr>
                      <w:rFonts w:ascii="Cambria Math" w:hAnsi="Cambria Math"/>
                    </w:rPr>
                    <m:t>Y</m:t>
                  </m:r>
                </m:sub>
              </m:sSub>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t</m:t>
                      </m:r>
                    </m:sub>
                  </m:sSub>
                </m:e>
              </m:d>
            </m:den>
          </m:f>
        </m:oMath>
      </m:oMathPara>
    </w:p>
    <w:p w14:paraId="5D191499" w14:textId="77777777" w:rsidR="00B476F1" w:rsidRDefault="00000000">
      <w:pPr>
        <w:pStyle w:val="FirstParagraph"/>
      </w:pPr>
      <w:r>
        <w:t xml:space="preserve">where </w:t>
      </w:r>
      <m:oMath>
        <m:sSub>
          <m:sSubPr>
            <m:ctrlPr>
              <w:rPr>
                <w:rFonts w:ascii="Cambria Math" w:hAnsi="Cambria Math"/>
              </w:rPr>
            </m:ctrlPr>
          </m:sSubPr>
          <m:e>
            <m:r>
              <w:rPr>
                <w:rFonts w:ascii="Cambria Math" w:hAnsi="Cambria Math"/>
              </w:rPr>
              <m:t>P</m:t>
            </m:r>
          </m:e>
          <m:sub>
            <m:r>
              <w:rPr>
                <w:rFonts w:ascii="Cambria Math" w:hAnsi="Cambria Math"/>
              </w:rPr>
              <m:t>X</m:t>
            </m:r>
          </m:sub>
        </m:s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x</m:t>
            </m:r>
          </m:e>
        </m:d>
      </m:oMath>
      <w:r>
        <w:t xml:space="preserve"> denotes the marginal probability of an observed count </w:t>
      </w:r>
      <m:oMath>
        <m:r>
          <w:rPr>
            <w:rFonts w:ascii="Cambria Math" w:hAnsi="Cambria Math"/>
          </w:rPr>
          <m:t>x</m:t>
        </m:r>
      </m:oMath>
      <w:r>
        <w:t xml:space="preserve"> for the target exposure, </w:t>
      </w:r>
      <m:oMath>
        <m:sSub>
          <m:sSubPr>
            <m:ctrlPr>
              <w:rPr>
                <w:rFonts w:ascii="Cambria Math" w:hAnsi="Cambria Math"/>
              </w:rPr>
            </m:ctrlPr>
          </m:sSubPr>
          <m:e>
            <m:r>
              <w:rPr>
                <w:rFonts w:ascii="Cambria Math" w:hAnsi="Cambria Math"/>
              </w:rPr>
              <m:t>P</m:t>
            </m:r>
          </m:e>
          <m:sub>
            <m:r>
              <w:rPr>
                <w:rFonts w:ascii="Cambria Math" w:hAnsi="Cambria Math"/>
              </w:rPr>
              <m:t>Y</m:t>
            </m:r>
          </m:sub>
        </m:sSub>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y</m:t>
            </m:r>
          </m:e>
        </m:d>
      </m:oMath>
      <w:r>
        <w:t xml:space="preserve"> denotes the marginal probability of an observed count </w:t>
      </w:r>
      <m:oMath>
        <m:r>
          <w:rPr>
            <w:rFonts w:ascii="Cambria Math" w:hAnsi="Cambria Math"/>
          </w:rPr>
          <m:t>y</m:t>
        </m:r>
      </m:oMath>
      <w:r>
        <w:t xml:space="preserve"> for the AE of interest, and </w:t>
      </w:r>
      <m:oMath>
        <m:sSub>
          <m:sSubPr>
            <m:ctrlPr>
              <w:rPr>
                <w:rFonts w:ascii="Cambria Math" w:hAnsi="Cambria Math"/>
              </w:rPr>
            </m:ctrlPr>
          </m:sSubPr>
          <m:e>
            <m:r>
              <w:rPr>
                <w:rFonts w:ascii="Cambria Math" w:hAnsi="Cambria Math"/>
              </w:rPr>
              <m:t>P</m:t>
            </m:r>
          </m:e>
          <m:sub>
            <m:r>
              <w:rPr>
                <w:rFonts w:ascii="Cambria Math" w:hAnsi="Cambria Math"/>
              </w:rPr>
              <m:t>X</m:t>
            </m:r>
            <m:r>
              <m:rPr>
                <m:sty m:val="p"/>
              </m:rPr>
              <w:rPr>
                <w:rFonts w:ascii="Cambria Math" w:hAnsi="Cambria Math"/>
              </w:rPr>
              <m:t>,</m:t>
            </m:r>
            <m:r>
              <w:rPr>
                <w:rFonts w:ascii="Cambria Math" w:hAnsi="Cambria Math"/>
              </w:rPr>
              <m:t>Y</m:t>
            </m:r>
          </m:sub>
        </m:s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y</m:t>
            </m:r>
          </m:e>
        </m:d>
      </m:oMath>
      <w:r>
        <w:t xml:space="preserve"> denotes the joint probability.</w:t>
      </w:r>
    </w:p>
    <w:p w14:paraId="2638207A" w14:textId="77777777" w:rsidR="00B476F1" w:rsidRDefault="00000000">
      <w:pPr>
        <w:pStyle w:val="BodyText"/>
      </w:pPr>
      <w:r>
        <w:t xml:space="preserve">The BCPNN IC of </w:t>
      </w:r>
      <w:hyperlink r:id="rId12">
        <w:r>
          <w:rPr>
            <w:rStyle w:val="Hyperlink"/>
          </w:rPr>
          <w:t>Noren et al. (2006)</w:t>
        </w:r>
      </w:hyperlink>
      <w:r>
        <w:t xml:space="preserve"> uses a Bayesian </w:t>
      </w:r>
      <w:proofErr w:type="gramStart"/>
      <w:r>
        <w:t>inference based</w:t>
      </w:r>
      <w:proofErr w:type="gramEnd"/>
      <w:r>
        <w:t xml:space="preserve"> </w:t>
      </w:r>
      <w:r>
        <w:rPr>
          <w:i/>
          <w:iCs/>
        </w:rPr>
        <w:t>maximum a posteriori</w:t>
      </w:r>
      <w:r>
        <w:t xml:space="preserve"> (m.a.p.) central estimate of the IC,</w:t>
      </w:r>
      <w:r>
        <w:br/>
      </w:r>
    </w:p>
    <w:p w14:paraId="5242BB91" w14:textId="77777777" w:rsidR="00B476F1" w:rsidRDefault="00000000">
      <w:pPr>
        <w:pStyle w:val="BodyText"/>
      </w:pPr>
      <m:oMathPara>
        <m:oMathParaPr>
          <m:jc m:val="center"/>
        </m:oMathParaPr>
        <m:oMath>
          <m:sSub>
            <m:sSubPr>
              <m:ctrlPr>
                <w:rPr>
                  <w:rFonts w:ascii="Cambria Math" w:hAnsi="Cambria Math"/>
                </w:rPr>
              </m:ctrlPr>
            </m:sSubPr>
            <m:e>
              <m:acc>
                <m:accPr>
                  <m:ctrlPr>
                    <w:rPr>
                      <w:rFonts w:ascii="Cambria Math" w:hAnsi="Cambria Math"/>
                    </w:rPr>
                  </m:ctrlPr>
                </m:accPr>
                <m:e>
                  <m:r>
                    <m:rPr>
                      <m:nor/>
                    </m:rPr>
                    <m:t>IC</m:t>
                  </m:r>
                </m:e>
              </m:acc>
            </m:e>
            <m:sub>
              <m:r>
                <w:rPr>
                  <w:rFonts w:ascii="Cambria Math" w:hAnsi="Cambria Math"/>
                </w:rPr>
                <m:t>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log</m:t>
              </m:r>
            </m:e>
            <m:sub>
              <m:r>
                <w:rPr>
                  <w:rFonts w:ascii="Cambria Math" w:hAnsi="Cambria Math"/>
                </w:rPr>
                <m:t>2</m:t>
              </m:r>
            </m:sub>
          </m:sSub>
          <m:f>
            <m:fPr>
              <m:ctrlPr>
                <w:rPr>
                  <w:rFonts w:ascii="Cambria Math" w:hAnsi="Cambria Math"/>
                </w:rPr>
              </m:ctrlPr>
            </m:fPr>
            <m:num>
              <m:r>
                <m:rPr>
                  <m:nor/>
                </m:rPr>
                <m:t>E</m:t>
              </m:r>
              <m:d>
                <m:dPr>
                  <m:begChr m:val="["/>
                  <m:endChr m:val="]"/>
                  <m:ctrlPr>
                    <w:rPr>
                      <w:rFonts w:ascii="Cambria Math" w:hAnsi="Cambria Math"/>
                    </w:rPr>
                  </m:ctrlPr>
                </m:dPr>
                <m:e>
                  <m:sSub>
                    <m:sSubPr>
                      <m:ctrlPr>
                        <w:rPr>
                          <w:rFonts w:ascii="Cambria Math" w:hAnsi="Cambria Math"/>
                        </w:rPr>
                      </m:ctrlPr>
                    </m:sSubPr>
                    <m:e>
                      <m:acc>
                        <m:accPr>
                          <m:ctrlPr>
                            <w:rPr>
                              <w:rFonts w:ascii="Cambria Math" w:hAnsi="Cambria Math"/>
                            </w:rPr>
                          </m:ctrlPr>
                        </m:accPr>
                        <m:e>
                          <m:r>
                            <w:rPr>
                              <w:rFonts w:ascii="Cambria Math" w:hAnsi="Cambria Math"/>
                            </w:rPr>
                            <m:t>p</m:t>
                          </m:r>
                        </m:e>
                      </m:acc>
                    </m:e>
                    <m:sub>
                      <m:r>
                        <w:rPr>
                          <w:rFonts w:ascii="Cambria Math" w:hAnsi="Cambria Math"/>
                        </w:rPr>
                        <m:t>a</m:t>
                      </m:r>
                    </m:sub>
                  </m:sSub>
                </m:e>
              </m:d>
            </m:num>
            <m:den>
              <m:r>
                <m:rPr>
                  <m:nor/>
                </m:rPr>
                <m:t>E</m:t>
              </m:r>
              <m:d>
                <m:dPr>
                  <m:begChr m:val="["/>
                  <m:endChr m:val="]"/>
                  <m:ctrlPr>
                    <w:rPr>
                      <w:rFonts w:ascii="Cambria Math" w:hAnsi="Cambria Math"/>
                    </w:rPr>
                  </m:ctrlPr>
                </m:dPr>
                <m:e>
                  <m:sSub>
                    <m:sSubPr>
                      <m:ctrlPr>
                        <w:rPr>
                          <w:rFonts w:ascii="Cambria Math" w:hAnsi="Cambria Math"/>
                        </w:rPr>
                      </m:ctrlPr>
                    </m:sSubPr>
                    <m:e>
                      <m:acc>
                        <m:accPr>
                          <m:ctrlPr>
                            <w:rPr>
                              <w:rFonts w:ascii="Cambria Math" w:hAnsi="Cambria Math"/>
                            </w:rPr>
                          </m:ctrlPr>
                        </m:accPr>
                        <m:e>
                          <m:r>
                            <w:rPr>
                              <w:rFonts w:ascii="Cambria Math" w:hAnsi="Cambria Math"/>
                            </w:rPr>
                            <m:t>p</m:t>
                          </m:r>
                        </m:e>
                      </m:acc>
                    </m:e>
                    <m:sub>
                      <m:r>
                        <w:rPr>
                          <w:rFonts w:ascii="Cambria Math" w:hAnsi="Cambria Math"/>
                        </w:rPr>
                        <m:t>a</m:t>
                      </m:r>
                    </m:sub>
                  </m:sSub>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p</m:t>
                          </m:r>
                        </m:e>
                      </m:acc>
                    </m:e>
                    <m:sub>
                      <m:r>
                        <w:rPr>
                          <w:rFonts w:ascii="Cambria Math" w:hAnsi="Cambria Math"/>
                        </w:rPr>
                        <m:t>b</m:t>
                      </m:r>
                    </m:sub>
                  </m:sSub>
                </m:e>
              </m:d>
              <m:r>
                <m:rPr>
                  <m:nor/>
                </m:rPr>
                <m:t>E</m:t>
              </m:r>
              <m:d>
                <m:dPr>
                  <m:begChr m:val="["/>
                  <m:endChr m:val="]"/>
                  <m:ctrlPr>
                    <w:rPr>
                      <w:rFonts w:ascii="Cambria Math" w:hAnsi="Cambria Math"/>
                    </w:rPr>
                  </m:ctrlPr>
                </m:dPr>
                <m:e>
                  <m:sSub>
                    <m:sSubPr>
                      <m:ctrlPr>
                        <w:rPr>
                          <w:rFonts w:ascii="Cambria Math" w:hAnsi="Cambria Math"/>
                        </w:rPr>
                      </m:ctrlPr>
                    </m:sSubPr>
                    <m:e>
                      <m:acc>
                        <m:accPr>
                          <m:ctrlPr>
                            <w:rPr>
                              <w:rFonts w:ascii="Cambria Math" w:hAnsi="Cambria Math"/>
                            </w:rPr>
                          </m:ctrlPr>
                        </m:accPr>
                        <m:e>
                          <m:r>
                            <w:rPr>
                              <w:rFonts w:ascii="Cambria Math" w:hAnsi="Cambria Math"/>
                            </w:rPr>
                            <m:t>p</m:t>
                          </m:r>
                        </m:e>
                      </m:acc>
                    </m:e>
                    <m:sub>
                      <m:r>
                        <w:rPr>
                          <w:rFonts w:ascii="Cambria Math" w:hAnsi="Cambria Math"/>
                        </w:rPr>
                        <m:t>a</m:t>
                      </m:r>
                    </m:sub>
                  </m:sSub>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p</m:t>
                          </m:r>
                        </m:e>
                      </m:acc>
                    </m:e>
                    <m:sub>
                      <m:r>
                        <w:rPr>
                          <w:rFonts w:ascii="Cambria Math" w:hAnsi="Cambria Math"/>
                        </w:rPr>
                        <m:t>c</m:t>
                      </m:r>
                    </m:sub>
                  </m:sSub>
                </m:e>
              </m:d>
            </m:den>
          </m:f>
        </m:oMath>
      </m:oMathPara>
    </w:p>
    <w:p w14:paraId="65227BF2" w14:textId="77777777" w:rsidR="00B476F1" w:rsidRDefault="00000000">
      <w:pPr>
        <w:pStyle w:val="FirstParagraph"/>
      </w:pPr>
      <w:r>
        <w:t xml:space="preserve">where </w:t>
      </w:r>
      <m:oMath>
        <m:sSub>
          <m:sSubPr>
            <m:ctrlPr>
              <w:rPr>
                <w:rFonts w:ascii="Cambria Math" w:hAnsi="Cambria Math"/>
              </w:rPr>
            </m:ctrlPr>
          </m:sSubPr>
          <m:e>
            <m:r>
              <w:rPr>
                <w:rFonts w:ascii="Cambria Math" w:hAnsi="Cambria Math"/>
              </w:rPr>
              <m:t>p</m:t>
            </m:r>
          </m:e>
          <m:sub>
            <m:r>
              <w:rPr>
                <w:rFonts w:ascii="Cambria Math" w:hAnsi="Cambria Math"/>
              </w:rPr>
              <m:t>a</m:t>
            </m:r>
          </m:sub>
        </m:sSub>
      </m:oMath>
      <w:r>
        <w:t xml:space="preserve">, </w:t>
      </w:r>
      <m:oMath>
        <m:sSub>
          <m:sSubPr>
            <m:ctrlPr>
              <w:rPr>
                <w:rFonts w:ascii="Cambria Math" w:hAnsi="Cambria Math"/>
              </w:rPr>
            </m:ctrlPr>
          </m:sSubPr>
          <m:e>
            <m:r>
              <w:rPr>
                <w:rFonts w:ascii="Cambria Math" w:hAnsi="Cambria Math"/>
              </w:rPr>
              <m:t>p</m:t>
            </m:r>
          </m:e>
          <m:sub>
            <m:r>
              <w:rPr>
                <w:rFonts w:ascii="Cambria Math" w:hAnsi="Cambria Math"/>
              </w:rPr>
              <m:t>b</m:t>
            </m:r>
          </m:sub>
        </m:sSub>
      </m:oMath>
      <w:r>
        <w:t xml:space="preserve"> and </w:t>
      </w:r>
      <m:oMath>
        <m:sSub>
          <m:sSubPr>
            <m:ctrlPr>
              <w:rPr>
                <w:rFonts w:ascii="Cambria Math" w:hAnsi="Cambria Math"/>
              </w:rPr>
            </m:ctrlPr>
          </m:sSubPr>
          <m:e>
            <m:r>
              <w:rPr>
                <w:rFonts w:ascii="Cambria Math" w:hAnsi="Cambria Math"/>
              </w:rPr>
              <m:t>p</m:t>
            </m:r>
          </m:e>
          <m:sub>
            <m:r>
              <w:rPr>
                <w:rFonts w:ascii="Cambria Math" w:hAnsi="Cambria Math"/>
              </w:rPr>
              <m:t>c</m:t>
            </m:r>
          </m:sub>
        </m:sSub>
      </m:oMath>
      <w:r>
        <w:t xml:space="preserve"> are the (assumed constant over time) underlying probabilities of the multinomial-distributed observed events </w:t>
      </w:r>
      <m:oMath>
        <m:sSub>
          <m:sSubPr>
            <m:ctrlPr>
              <w:rPr>
                <w:rFonts w:ascii="Cambria Math" w:hAnsi="Cambria Math"/>
              </w:rPr>
            </m:ctrlPr>
          </m:sSubPr>
          <m:e>
            <m:r>
              <w:rPr>
                <w:rFonts w:ascii="Cambria Math" w:hAnsi="Cambria Math"/>
              </w:rPr>
              <m:t>a</m:t>
            </m:r>
          </m:e>
          <m:sub>
            <m:r>
              <w:rPr>
                <w:rFonts w:ascii="Cambria Math" w:hAnsi="Cambria Math"/>
              </w:rPr>
              <m:t>t</m:t>
            </m:r>
          </m:sub>
        </m:sSub>
      </m:oMath>
      <w:r>
        <w:t xml:space="preserve">, </w:t>
      </w:r>
      <m:oMath>
        <m:sSub>
          <m:sSubPr>
            <m:ctrlPr>
              <w:rPr>
                <w:rFonts w:ascii="Cambria Math" w:hAnsi="Cambria Math"/>
              </w:rPr>
            </m:ctrlPr>
          </m:sSubPr>
          <m:e>
            <m:r>
              <w:rPr>
                <w:rFonts w:ascii="Cambria Math" w:hAnsi="Cambria Math"/>
              </w:rPr>
              <m:t>b</m:t>
            </m:r>
          </m:e>
          <m:sub>
            <m:r>
              <w:rPr>
                <w:rFonts w:ascii="Cambria Math" w:hAnsi="Cambria Math"/>
              </w:rPr>
              <m:t>t</m:t>
            </m:r>
          </m:sub>
        </m:sSub>
      </m:oMath>
      <w:r>
        <w:t xml:space="preserve"> and </w:t>
      </w:r>
      <m:oMath>
        <m:sSub>
          <m:sSubPr>
            <m:ctrlPr>
              <w:rPr>
                <w:rFonts w:ascii="Cambria Math" w:hAnsi="Cambria Math"/>
              </w:rPr>
            </m:ctrlPr>
          </m:sSubPr>
          <m:e>
            <m:r>
              <w:rPr>
                <w:rFonts w:ascii="Cambria Math" w:hAnsi="Cambria Math"/>
              </w:rPr>
              <m:t>c</m:t>
            </m:r>
          </m:e>
          <m:sub>
            <m:r>
              <w:rPr>
                <w:rFonts w:ascii="Cambria Math" w:hAnsi="Cambria Math"/>
              </w:rPr>
              <m:t>t</m:t>
            </m:r>
          </m:sub>
        </m:sSub>
      </m:oMath>
      <w:r>
        <w:t>, respectively (</w:t>
      </w:r>
      <m:oMath>
        <m:sSub>
          <m:sSubPr>
            <m:ctrlPr>
              <w:rPr>
                <w:rFonts w:ascii="Cambria Math" w:hAnsi="Cambria Math"/>
              </w:rPr>
            </m:ctrlPr>
          </m:sSubPr>
          <m:e>
            <m:r>
              <w:rPr>
                <w:rFonts w:ascii="Cambria Math" w:hAnsi="Cambria Math"/>
              </w:rPr>
              <m:t>p</m:t>
            </m:r>
          </m:e>
          <m:sub>
            <m:r>
              <w:rPr>
                <w:rFonts w:ascii="Cambria Math" w:hAnsi="Cambria Math"/>
              </w:rPr>
              <m:t>d</m:t>
            </m:r>
          </m:sub>
        </m:sSub>
      </m:oMath>
      <w:r>
        <w:t xml:space="preserve"> corresponding to the count </w:t>
      </w:r>
      <m:oMath>
        <m:sSub>
          <m:sSubPr>
            <m:ctrlPr>
              <w:rPr>
                <w:rFonts w:ascii="Cambria Math" w:hAnsi="Cambria Math"/>
              </w:rPr>
            </m:ctrlPr>
          </m:sSubPr>
          <m:e>
            <m:r>
              <w:rPr>
                <w:rFonts w:ascii="Cambria Math" w:hAnsi="Cambria Math"/>
              </w:rPr>
              <m:t>d</m:t>
            </m:r>
          </m:e>
          <m:sub>
            <m:r>
              <w:rPr>
                <w:rFonts w:ascii="Cambria Math" w:hAnsi="Cambria Math"/>
              </w:rPr>
              <m:t>t</m:t>
            </m:r>
          </m:sub>
        </m:sSub>
      </m:oMath>
      <w:r>
        <w:t xml:space="preserve"> also included). The underlying probabilities are modelled using Dirichlet priors resulting in a Dirichlet posterior distribution. The one-sided null hypothesis of the joint probability target exposure and AEs of interest is equal or less than the marginal products (</w:t>
      </w:r>
      <m:oMath>
        <m:sSub>
          <m:sSubPr>
            <m:ctrlPr>
              <w:rPr>
                <w:rFonts w:ascii="Cambria Math" w:hAnsi="Cambria Math"/>
              </w:rPr>
            </m:ctrlPr>
          </m:sSubPr>
          <m:e>
            <m:r>
              <w:rPr>
                <w:rFonts w:ascii="Cambria Math" w:hAnsi="Cambria Math"/>
              </w:rPr>
              <m:t>H</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m:rPr>
                <m:nor/>
              </m:rPr>
              <m:t>IC</m:t>
            </m:r>
          </m:e>
          <m:sub>
            <m:r>
              <w:rPr>
                <w:rFonts w:ascii="Cambria Math" w:hAnsi="Cambria Math"/>
              </w:rPr>
              <m:t>t</m:t>
            </m:r>
          </m:sub>
        </m:sSub>
        <m:r>
          <m:rPr>
            <m:sty m:val="p"/>
          </m:rPr>
          <w:rPr>
            <w:rFonts w:ascii="Cambria Math" w:hAnsi="Cambria Math"/>
          </w:rPr>
          <m:t>≤</m:t>
        </m:r>
        <m:r>
          <w:rPr>
            <w:rFonts w:ascii="Cambria Math" w:hAnsi="Cambria Math"/>
          </w:rPr>
          <m:t>0</m:t>
        </m:r>
      </m:oMath>
      <w:r>
        <w:t xml:space="preserve">) can be rejected when the </w:t>
      </w:r>
      <m:oMath>
        <m:r>
          <w:rPr>
            <w:rFonts w:ascii="Cambria Math" w:hAnsi="Cambria Math"/>
          </w:rPr>
          <m:t>α</m:t>
        </m:r>
      </m:oMath>
      <w:r>
        <w:t xml:space="preserve"> quantile of the Markov Chain Monte Carlo (MCMC) empirical distribution is greater than 0. Similarly to the rejection rule for the PRR, this threshold corresponds to the lower bound of the </w:t>
      </w:r>
      <m:oMath>
        <m:r>
          <w:rPr>
            <w:rFonts w:ascii="Cambria Math" w:hAnsi="Cambria Math"/>
          </w:rPr>
          <m:t>100</m:t>
        </m:r>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2α</m:t>
            </m:r>
          </m:e>
        </m:d>
      </m:oMath>
      <w:r>
        <w:t>% equal-tailed credible region in a two-sided hypothesis test.</w:t>
      </w:r>
    </w:p>
    <w:p w14:paraId="76F9DDAF" w14:textId="77777777" w:rsidR="00B476F1" w:rsidRDefault="00000000">
      <w:pPr>
        <w:pStyle w:val="Heading3"/>
      </w:pPr>
      <w:bookmarkStart w:id="16" w:name="maxsprt"/>
      <w:bookmarkStart w:id="17" w:name="_Toc154170405"/>
      <w:bookmarkEnd w:id="14"/>
      <w:r>
        <w:t>3.3.3 maxSPRT</w:t>
      </w:r>
      <w:bookmarkEnd w:id="17"/>
    </w:p>
    <w:p w14:paraId="6ABA7C8E" w14:textId="77777777" w:rsidR="00B476F1" w:rsidRDefault="00000000">
      <w:pPr>
        <w:pStyle w:val="FirstParagraph"/>
      </w:pPr>
      <w:hyperlink r:id="rId13">
        <w:proofErr w:type="spellStart"/>
        <w:r>
          <w:rPr>
            <w:rStyle w:val="Hyperlink"/>
          </w:rPr>
          <w:t>Kulldorff</w:t>
        </w:r>
        <w:proofErr w:type="spellEnd"/>
        <w:r>
          <w:rPr>
            <w:rStyle w:val="Hyperlink"/>
          </w:rPr>
          <w:t xml:space="preserve"> et al. (2011)</w:t>
        </w:r>
      </w:hyperlink>
      <w:r>
        <w:t xml:space="preserve"> outlined that the relative risk (RR) at a given point-in-time for accumulated binary data (that is, “success”</w:t>
      </w:r>
      <w:proofErr w:type="gramStart"/>
      <w:r>
        <w:t>/“</w:t>
      </w:r>
      <w:proofErr w:type="gramEnd"/>
      <w:r>
        <w:t>failure” events or AE of interest or not) of a target group relative to a comparator has the maximum likelihood estimate of</w:t>
      </w:r>
    </w:p>
    <w:p w14:paraId="0F4948B4" w14:textId="77777777" w:rsidR="00B476F1" w:rsidRDefault="00000000">
      <w:pPr>
        <w:pStyle w:val="BodyText"/>
      </w:pPr>
      <m:oMathPara>
        <m:oMathParaPr>
          <m:jc m:val="center"/>
        </m:oMathParaPr>
        <m:oMath>
          <m:acc>
            <m:accPr>
              <m:ctrlPr>
                <w:rPr>
                  <w:rFonts w:ascii="Cambria Math" w:hAnsi="Cambria Math"/>
                </w:rPr>
              </m:ctrlPr>
            </m:accPr>
            <m:e>
              <m:r>
                <m:rPr>
                  <m:nor/>
                </m:rPr>
                <m:t>RR</m:t>
              </m:r>
            </m:e>
          </m:acc>
          <m:r>
            <m:rPr>
              <m:sty m:val="p"/>
            </m:rPr>
            <w:rPr>
              <w:rFonts w:ascii="Cambria Math" w:hAnsi="Cambria Math"/>
            </w:rPr>
            <m:t>=</m:t>
          </m:r>
          <m:r>
            <w:rPr>
              <w:rFonts w:ascii="Cambria Math" w:hAnsi="Cambria Math"/>
            </w:rPr>
            <m:t>z</m:t>
          </m:r>
          <m:f>
            <m:fPr>
              <m:ctrlPr>
                <w:rPr>
                  <w:rFonts w:ascii="Cambria Math" w:hAnsi="Cambria Math"/>
                </w:rPr>
              </m:ctrlPr>
            </m:fPr>
            <m:num>
              <m:sSub>
                <m:sSubPr>
                  <m:ctrlPr>
                    <w:rPr>
                      <w:rFonts w:ascii="Cambria Math" w:hAnsi="Cambria Math"/>
                    </w:rPr>
                  </m:ctrlPr>
                </m:sSubPr>
                <m:e>
                  <m:r>
                    <w:rPr>
                      <w:rFonts w:ascii="Cambria Math" w:hAnsi="Cambria Math"/>
                    </w:rPr>
                    <m:t>C</m:t>
                  </m:r>
                </m:e>
                <m:sub>
                  <m:r>
                    <w:rPr>
                      <w:rFonts w:ascii="Cambria Math" w:hAnsi="Cambria Math"/>
                    </w:rPr>
                    <m:t>n</m:t>
                  </m:r>
                </m:sub>
              </m:sSub>
            </m:num>
            <m:den>
              <m:r>
                <w:rPr>
                  <w:rFonts w:ascii="Cambria Math" w:hAnsi="Cambria Math"/>
                </w:rPr>
                <m:t>n</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n</m:t>
                  </m:r>
                </m:sub>
              </m:sSub>
            </m:den>
          </m:f>
        </m:oMath>
      </m:oMathPara>
    </w:p>
    <w:p w14:paraId="0976D133" w14:textId="77777777" w:rsidR="00B476F1" w:rsidRDefault="00000000">
      <w:pPr>
        <w:pStyle w:val="FirstParagraph"/>
      </w:pPr>
      <w:r>
        <w:t>where</w:t>
      </w:r>
    </w:p>
    <w:p w14:paraId="2E4440A9" w14:textId="77777777" w:rsidR="00B476F1" w:rsidRDefault="00000000">
      <w:pPr>
        <w:pStyle w:val="Compact"/>
        <w:numPr>
          <w:ilvl w:val="0"/>
          <w:numId w:val="7"/>
        </w:numPr>
      </w:pPr>
      <m:oMath>
        <m:r>
          <w:rPr>
            <w:rFonts w:ascii="Cambria Math" w:hAnsi="Cambria Math"/>
          </w:rPr>
          <w:lastRenderedPageBreak/>
          <m:t>z</m:t>
        </m:r>
      </m:oMath>
      <w:r>
        <w:t xml:space="preserve"> is the ratio of the total AEs for the comparator to the total AEs for the target,</w:t>
      </w:r>
    </w:p>
    <w:p w14:paraId="0B71508A" w14:textId="77777777" w:rsidR="00B476F1" w:rsidRDefault="00000000">
      <w:pPr>
        <w:pStyle w:val="Compact"/>
        <w:numPr>
          <w:ilvl w:val="0"/>
          <w:numId w:val="7"/>
        </w:numPr>
      </w:pPr>
      <m:oMath>
        <m:sSub>
          <m:sSubPr>
            <m:ctrlPr>
              <w:rPr>
                <w:rFonts w:ascii="Cambria Math" w:hAnsi="Cambria Math"/>
              </w:rPr>
            </m:ctrlPr>
          </m:sSubPr>
          <m:e>
            <m:r>
              <w:rPr>
                <w:rFonts w:ascii="Cambria Math" w:hAnsi="Cambria Math"/>
              </w:rPr>
              <m:t>C</m:t>
            </m:r>
          </m:e>
          <m:sub>
            <m:r>
              <w:rPr>
                <w:rFonts w:ascii="Cambria Math" w:hAnsi="Cambria Math"/>
              </w:rPr>
              <m:t>n</m:t>
            </m:r>
          </m:sub>
        </m:sSub>
      </m:oMath>
      <w:r>
        <w:t xml:space="preserve"> is the count of target exposure AEs in </w:t>
      </w:r>
      <m:oMath>
        <m:r>
          <w:rPr>
            <w:rFonts w:ascii="Cambria Math" w:hAnsi="Cambria Math"/>
          </w:rPr>
          <m:t>X</m:t>
        </m:r>
      </m:oMath>
      <w:r>
        <w:t>,</w:t>
      </w:r>
    </w:p>
    <w:p w14:paraId="152B7A01" w14:textId="77777777" w:rsidR="00B476F1" w:rsidRDefault="00000000">
      <w:pPr>
        <w:pStyle w:val="Compact"/>
        <w:numPr>
          <w:ilvl w:val="0"/>
          <w:numId w:val="7"/>
        </w:numPr>
      </w:pPr>
      <m:oMath>
        <m:r>
          <w:rPr>
            <w:rFonts w:ascii="Cambria Math" w:hAnsi="Cambria Math"/>
          </w:rPr>
          <m:t>n</m:t>
        </m:r>
      </m:oMath>
      <w:r>
        <w:t xml:space="preserve"> is the count of all AEs in </w:t>
      </w:r>
      <m:oMath>
        <m:r>
          <w:rPr>
            <w:rFonts w:ascii="Cambria Math" w:hAnsi="Cambria Math"/>
          </w:rPr>
          <m:t>X</m:t>
        </m:r>
      </m:oMath>
      <w:r>
        <w:t xml:space="preserve"> (target and comparator exposure), and</w:t>
      </w:r>
    </w:p>
    <w:p w14:paraId="3FF430DC" w14:textId="77777777" w:rsidR="00B476F1" w:rsidRDefault="00000000">
      <w:pPr>
        <w:pStyle w:val="Compact"/>
        <w:numPr>
          <w:ilvl w:val="0"/>
          <w:numId w:val="7"/>
        </w:numPr>
      </w:pPr>
      <m:oMath>
        <m:r>
          <w:rPr>
            <w:rFonts w:ascii="Cambria Math" w:hAnsi="Cambria Math"/>
          </w:rPr>
          <m:t>n</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n</m:t>
            </m:r>
          </m:sub>
        </m:sSub>
      </m:oMath>
      <w:r>
        <w:t xml:space="preserve"> is therefore the count of comparator exposure AEs in </w:t>
      </w:r>
      <m:oMath>
        <m:r>
          <w:rPr>
            <w:rFonts w:ascii="Cambria Math" w:hAnsi="Cambria Math"/>
          </w:rPr>
          <m:t>X</m:t>
        </m:r>
      </m:oMath>
      <w:r>
        <w:t>.</w:t>
      </w:r>
    </w:p>
    <w:p w14:paraId="1603401E" w14:textId="77777777" w:rsidR="00B476F1" w:rsidRDefault="00000000">
      <w:pPr>
        <w:pStyle w:val="FirstParagraph"/>
      </w:pPr>
      <w:r>
        <w:t xml:space="preserve">In the context of our data, the values </w:t>
      </w:r>
      <m:oMath>
        <m:r>
          <w:rPr>
            <w:rFonts w:ascii="Cambria Math" w:hAnsi="Cambria Math"/>
          </w:rPr>
          <m:t>z</m:t>
        </m:r>
      </m:oMath>
      <w:r>
        <w:t xml:space="preserve">, </w:t>
      </w:r>
      <m:oMath>
        <m:sSub>
          <m:sSubPr>
            <m:ctrlPr>
              <w:rPr>
                <w:rFonts w:ascii="Cambria Math" w:hAnsi="Cambria Math"/>
              </w:rPr>
            </m:ctrlPr>
          </m:sSubPr>
          <m:e>
            <m:r>
              <w:rPr>
                <w:rFonts w:ascii="Cambria Math" w:hAnsi="Cambria Math"/>
              </w:rPr>
              <m:t>C</m:t>
            </m:r>
          </m:e>
          <m:sub>
            <m:r>
              <w:rPr>
                <w:rFonts w:ascii="Cambria Math" w:hAnsi="Cambria Math"/>
              </w:rPr>
              <m:t>n</m:t>
            </m:r>
          </m:sub>
        </m:sSub>
      </m:oMath>
      <w:r>
        <w:t xml:space="preserve"> and </w:t>
      </w:r>
      <m:oMath>
        <m:r>
          <w:rPr>
            <w:rFonts w:ascii="Cambria Math" w:hAnsi="Cambria Math"/>
          </w:rPr>
          <m:t>n</m:t>
        </m:r>
      </m:oMath>
      <w:r>
        <w:t xml:space="preserve"> are the quantities </w:t>
      </w:r>
      <m:oMath>
        <m:f>
          <m:fPr>
            <m:ctrlPr>
              <w:rPr>
                <w:rFonts w:ascii="Cambria Math" w:hAnsi="Cambria Math"/>
              </w:rPr>
            </m:ctrlPr>
          </m:fPr>
          <m:num>
            <m:sSub>
              <m:sSubPr>
                <m:ctrlPr>
                  <w:rPr>
                    <w:rFonts w:ascii="Cambria Math" w:hAnsi="Cambria Math"/>
                  </w:rPr>
                </m:ctrlPr>
              </m:sSubPr>
              <m:e>
                <m:r>
                  <w:rPr>
                    <w:rFonts w:ascii="Cambria Math" w:hAnsi="Cambria Math"/>
                  </w:rPr>
                  <m:t>c</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t</m:t>
                </m:r>
              </m:sub>
            </m:sSub>
          </m:num>
          <m:den>
            <m:sSub>
              <m:sSubPr>
                <m:ctrlPr>
                  <w:rPr>
                    <w:rFonts w:ascii="Cambria Math" w:hAnsi="Cambria Math"/>
                  </w:rPr>
                </m:ctrlPr>
              </m:sSubPr>
              <m:e>
                <m:r>
                  <w:rPr>
                    <w:rFonts w:ascii="Cambria Math" w:hAnsi="Cambria Math"/>
                  </w:rPr>
                  <m:t>a</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t</m:t>
                </m:r>
              </m:sub>
            </m:sSub>
          </m:den>
        </m:f>
      </m:oMath>
      <w:r>
        <w:t xml:space="preserve">, </w:t>
      </w:r>
      <m:oMath>
        <m:sSub>
          <m:sSubPr>
            <m:ctrlPr>
              <w:rPr>
                <w:rFonts w:ascii="Cambria Math" w:hAnsi="Cambria Math"/>
              </w:rPr>
            </m:ctrlPr>
          </m:sSubPr>
          <m:e>
            <m:r>
              <w:rPr>
                <w:rFonts w:ascii="Cambria Math" w:hAnsi="Cambria Math"/>
              </w:rPr>
              <m:t>a</m:t>
            </m:r>
          </m:e>
          <m:sub>
            <m:r>
              <w:rPr>
                <w:rFonts w:ascii="Cambria Math" w:hAnsi="Cambria Math"/>
              </w:rPr>
              <m:t>t</m:t>
            </m:r>
          </m:sub>
        </m:sSub>
      </m:oMath>
      <w:r>
        <w:t xml:space="preserve"> and </w:t>
      </w:r>
      <m:oMath>
        <m:sSub>
          <m:sSubPr>
            <m:ctrlPr>
              <w:rPr>
                <w:rFonts w:ascii="Cambria Math" w:hAnsi="Cambria Math"/>
              </w:rPr>
            </m:ctrlPr>
          </m:sSubPr>
          <m:e>
            <m:r>
              <w:rPr>
                <w:rFonts w:ascii="Cambria Math" w:hAnsi="Cambria Math"/>
              </w:rPr>
              <m:t>a</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t</m:t>
            </m:r>
          </m:sub>
        </m:sSub>
      </m:oMath>
      <w:r>
        <w:t xml:space="preserve">, respectively, at time </w:t>
      </w:r>
      <m:oMath>
        <m:r>
          <w:rPr>
            <w:rFonts w:ascii="Cambria Math" w:hAnsi="Cambria Math"/>
          </w:rPr>
          <m:t>t</m:t>
        </m:r>
      </m:oMath>
      <w:r>
        <w:t>.</w:t>
      </w:r>
    </w:p>
    <w:p w14:paraId="15BF6A5C" w14:textId="77777777" w:rsidR="00B476F1" w:rsidRDefault="00000000">
      <w:pPr>
        <w:pStyle w:val="BodyText"/>
      </w:pPr>
      <w:r>
        <w:t xml:space="preserve">Therefore the RR maximum likelihood estimate at time </w:t>
      </w:r>
      <m:oMath>
        <m:r>
          <w:rPr>
            <w:rFonts w:ascii="Cambria Math" w:hAnsi="Cambria Math"/>
          </w:rPr>
          <m:t>t</m:t>
        </m:r>
      </m:oMath>
      <w:r>
        <w:t xml:space="preserve"> can be re-written</w:t>
      </w:r>
    </w:p>
    <w:p w14:paraId="6B600C62" w14:textId="77777777" w:rsidR="00B476F1" w:rsidRDefault="00000000">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sSub>
                  <m:sSubPr>
                    <m:ctrlPr>
                      <w:rPr>
                        <w:rFonts w:ascii="Cambria Math" w:hAnsi="Cambria Math"/>
                      </w:rPr>
                    </m:ctrlPr>
                  </m:sSubPr>
                  <m:e>
                    <m:acc>
                      <m:accPr>
                        <m:ctrlPr>
                          <w:rPr>
                            <w:rFonts w:ascii="Cambria Math" w:hAnsi="Cambria Math"/>
                          </w:rPr>
                        </m:ctrlPr>
                      </m:accPr>
                      <m:e>
                        <m:r>
                          <m:rPr>
                            <m:nor/>
                          </m:rPr>
                          <m:t>RR</m:t>
                        </m:r>
                      </m:e>
                    </m:acc>
                  </m:e>
                  <m:sub>
                    <m:r>
                      <w:rPr>
                        <w:rFonts w:ascii="Cambria Math" w:hAnsi="Cambria Math"/>
                      </w:rPr>
                      <m:t>t</m:t>
                    </m:r>
                  </m:sub>
                </m:sSub>
              </m:e>
              <m:e>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t</m:t>
                        </m:r>
                      </m:sub>
                    </m:sSub>
                  </m:num>
                  <m:den>
                    <m:sSub>
                      <m:sSubPr>
                        <m:ctrlPr>
                          <w:rPr>
                            <w:rFonts w:ascii="Cambria Math" w:hAnsi="Cambria Math"/>
                          </w:rPr>
                        </m:ctrlPr>
                      </m:sSubPr>
                      <m:e>
                        <m:r>
                          <w:rPr>
                            <w:rFonts w:ascii="Cambria Math" w:hAnsi="Cambria Math"/>
                          </w:rPr>
                          <m:t>a</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t</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t</m:t>
                        </m:r>
                      </m:sub>
                    </m:sSub>
                  </m:num>
                  <m:den>
                    <m:sSub>
                      <m:sSubPr>
                        <m:ctrlPr>
                          <w:rPr>
                            <w:rFonts w:ascii="Cambria Math" w:hAnsi="Cambria Math"/>
                          </w:rPr>
                        </m:ctrlPr>
                      </m:sSubPr>
                      <m:e>
                        <m:r>
                          <w:rPr>
                            <w:rFonts w:ascii="Cambria Math" w:hAnsi="Cambria Math"/>
                          </w:rPr>
                          <m:t>c</m:t>
                        </m:r>
                      </m:e>
                      <m:sub>
                        <m:r>
                          <w:rPr>
                            <w:rFonts w:ascii="Cambria Math" w:hAnsi="Cambria Math"/>
                          </w:rPr>
                          <m:t>t</m:t>
                        </m:r>
                      </m:sub>
                    </m:sSub>
                  </m:den>
                </m:f>
              </m:e>
            </m:mr>
            <m:mr>
              <m:e/>
              <m:e>
                <m:r>
                  <m:rPr>
                    <m:sty m:val="p"/>
                  </m:rPr>
                  <w:rPr>
                    <w:rFonts w:ascii="Cambria Math" w:hAnsi="Cambria Math"/>
                  </w:rPr>
                  <m:t>=</m:t>
                </m:r>
                <m:f>
                  <m:fPr>
                    <m:ctrlPr>
                      <w:rPr>
                        <w:rFonts w:ascii="Cambria Math" w:hAnsi="Cambria Math"/>
                      </w:rPr>
                    </m:ctrlPr>
                  </m:fPr>
                  <m:num>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a</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t</m:t>
                            </m:r>
                          </m:sub>
                        </m:sSub>
                      </m:den>
                    </m:f>
                  </m:num>
                  <m:den>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c</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t</m:t>
                            </m:r>
                          </m:sub>
                        </m:sSub>
                      </m:den>
                    </m:f>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t</m:t>
                        </m:r>
                      </m:sub>
                    </m:sSub>
                  </m:num>
                  <m:den>
                    <m:sSub>
                      <m:sSubPr>
                        <m:ctrlPr>
                          <w:rPr>
                            <w:rFonts w:ascii="Cambria Math" w:hAnsi="Cambria Math"/>
                          </w:rPr>
                        </m:ctrlPr>
                      </m:sSubPr>
                      <m:e>
                        <m:r>
                          <w:rPr>
                            <w:rFonts w:ascii="Cambria Math" w:hAnsi="Cambria Math"/>
                          </w:rPr>
                          <m:t>c</m:t>
                        </m:r>
                      </m:e>
                      <m:sub>
                        <m:r>
                          <w:rPr>
                            <w:rFonts w:ascii="Cambria Math" w:hAnsi="Cambria Math"/>
                          </w:rPr>
                          <m:t>t</m:t>
                        </m:r>
                      </m:sub>
                    </m:sSub>
                  </m:den>
                </m:f>
              </m:e>
            </m:mr>
            <m:mr>
              <m:e/>
              <m:e>
                <m:r>
                  <m:rPr>
                    <m:sty m:val="p"/>
                  </m:rPr>
                  <w:rPr>
                    <w:rFonts w:ascii="Cambria Math" w:hAnsi="Cambria Math"/>
                  </w:rPr>
                  <m:t>=</m:t>
                </m:r>
                <m:f>
                  <m:fPr>
                    <m:ctrlPr>
                      <w:rPr>
                        <w:rFonts w:ascii="Cambria Math" w:hAnsi="Cambria Math"/>
                      </w:rPr>
                    </m:ctrlPr>
                  </m:fPr>
                  <m:num>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t</m:t>
                            </m:r>
                          </m:sub>
                        </m:sSub>
                      </m:num>
                      <m:den>
                        <m:sSub>
                          <m:sSubPr>
                            <m:ctrlPr>
                              <w:rPr>
                                <w:rFonts w:ascii="Cambria Math" w:hAnsi="Cambria Math"/>
                              </w:rPr>
                            </m:ctrlPr>
                          </m:sSubPr>
                          <m:e>
                            <m:r>
                              <w:rPr>
                                <w:rFonts w:ascii="Cambria Math" w:hAnsi="Cambria Math"/>
                              </w:rPr>
                              <m:t>a</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t</m:t>
                            </m:r>
                          </m:sub>
                        </m:sSub>
                      </m:den>
                    </m:f>
                  </m:num>
                  <m:den>
                    <m:f>
                      <m:fPr>
                        <m:ctrlPr>
                          <w:rPr>
                            <w:rFonts w:ascii="Cambria Math" w:hAnsi="Cambria Math"/>
                          </w:rPr>
                        </m:ctrlPr>
                      </m:fPr>
                      <m:num>
                        <m:sSub>
                          <m:sSubPr>
                            <m:ctrlPr>
                              <w:rPr>
                                <w:rFonts w:ascii="Cambria Math" w:hAnsi="Cambria Math"/>
                              </w:rPr>
                            </m:ctrlPr>
                          </m:sSubPr>
                          <m:e>
                            <m:r>
                              <w:rPr>
                                <w:rFonts w:ascii="Cambria Math" w:hAnsi="Cambria Math"/>
                              </w:rPr>
                              <m:t>c</m:t>
                            </m:r>
                          </m:e>
                          <m:sub>
                            <m:r>
                              <w:rPr>
                                <w:rFonts w:ascii="Cambria Math" w:hAnsi="Cambria Math"/>
                              </w:rPr>
                              <m:t>t</m:t>
                            </m:r>
                          </m:sub>
                        </m:sSub>
                      </m:num>
                      <m:den>
                        <m:sSub>
                          <m:sSubPr>
                            <m:ctrlPr>
                              <w:rPr>
                                <w:rFonts w:ascii="Cambria Math" w:hAnsi="Cambria Math"/>
                              </w:rPr>
                            </m:ctrlPr>
                          </m:sSubPr>
                          <m:e>
                            <m:r>
                              <w:rPr>
                                <w:rFonts w:ascii="Cambria Math" w:hAnsi="Cambria Math"/>
                              </w:rPr>
                              <m:t>c</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t</m:t>
                            </m:r>
                          </m:sub>
                        </m:sSub>
                      </m:den>
                    </m:f>
                  </m:den>
                </m:f>
              </m:e>
            </m:mr>
          </m:m>
        </m:oMath>
      </m:oMathPara>
    </w:p>
    <w:p w14:paraId="5EC7F7F2" w14:textId="77777777" w:rsidR="00B476F1" w:rsidRDefault="00000000">
      <w:pPr>
        <w:pStyle w:val="FirstParagraph"/>
      </w:pPr>
      <w:r>
        <w:t xml:space="preserve">which is the PRR estimate at time </w:t>
      </w:r>
      <m:oMath>
        <m:r>
          <w:rPr>
            <w:rFonts w:ascii="Cambria Math" w:hAnsi="Cambria Math"/>
          </w:rPr>
          <m:t>t</m:t>
        </m:r>
      </m:oMath>
      <w:r>
        <w:t xml:space="preserve"> as before.</w:t>
      </w:r>
    </w:p>
    <w:p w14:paraId="387FF1EE" w14:textId="77777777" w:rsidR="00B476F1" w:rsidRDefault="00000000">
      <w:pPr>
        <w:pStyle w:val="BodyText"/>
      </w:pPr>
      <w:r>
        <w:t xml:space="preserve">The (maximised) log-likelihood ratio statistic of </w:t>
      </w:r>
      <m:oMath>
        <m:sSub>
          <m:sSubPr>
            <m:ctrlPr>
              <w:rPr>
                <w:rFonts w:ascii="Cambria Math" w:hAnsi="Cambria Math"/>
              </w:rPr>
            </m:ctrlPr>
          </m:sSubPr>
          <m:e>
            <m:acc>
              <m:accPr>
                <m:ctrlPr>
                  <w:rPr>
                    <w:rFonts w:ascii="Cambria Math" w:hAnsi="Cambria Math"/>
                  </w:rPr>
                </m:ctrlPr>
              </m:accPr>
              <m:e>
                <m:r>
                  <m:rPr>
                    <m:nor/>
                  </m:rPr>
                  <m:t>PRR</m:t>
                </m:r>
              </m:e>
            </m:acc>
          </m:e>
          <m:sub>
            <m:r>
              <w:rPr>
                <w:rFonts w:ascii="Cambria Math" w:hAnsi="Cambria Math"/>
              </w:rPr>
              <m:t>t</m:t>
            </m:r>
          </m:sub>
        </m:sSub>
      </m:oMath>
      <w:r>
        <w:t xml:space="preserve"> (equivalently, </w:t>
      </w:r>
      <m:oMath>
        <m:sSub>
          <m:sSubPr>
            <m:ctrlPr>
              <w:rPr>
                <w:rFonts w:ascii="Cambria Math" w:hAnsi="Cambria Math"/>
              </w:rPr>
            </m:ctrlPr>
          </m:sSubPr>
          <m:e>
            <m:acc>
              <m:accPr>
                <m:ctrlPr>
                  <w:rPr>
                    <w:rFonts w:ascii="Cambria Math" w:hAnsi="Cambria Math"/>
                  </w:rPr>
                </m:ctrlPr>
              </m:accPr>
              <m:e>
                <m:r>
                  <m:rPr>
                    <m:nor/>
                  </m:rPr>
                  <m:t>RR</m:t>
                </m:r>
              </m:e>
            </m:acc>
          </m:e>
          <m:sub>
            <m:r>
              <w:rPr>
                <w:rFonts w:ascii="Cambria Math" w:hAnsi="Cambria Math"/>
              </w:rPr>
              <m:t>t</m:t>
            </m:r>
          </m:sub>
        </m:sSub>
      </m:oMath>
      <w:r>
        <w:t>) can be determined calculated as</w:t>
      </w:r>
    </w:p>
    <w:p w14:paraId="1F710A55" w14:textId="77777777" w:rsidR="00B476F1" w:rsidRDefault="00000000">
      <w:pPr>
        <w:pStyle w:val="BodyText"/>
      </w:pPr>
      <m:oMathPara>
        <m:oMathParaPr>
          <m:jc m:val="center"/>
        </m:oMathParaPr>
        <m:oMath>
          <m:sSub>
            <m:sSubPr>
              <m:ctrlPr>
                <w:rPr>
                  <w:rFonts w:ascii="Cambria Math" w:hAnsi="Cambria Math"/>
                </w:rPr>
              </m:ctrlPr>
            </m:sSubPr>
            <m:e>
              <m:r>
                <m:rPr>
                  <m:nor/>
                </m:rPr>
                <m:t>LLR</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m:t>
              </m:r>
            </m:sub>
          </m:sSub>
          <m:r>
            <m:rPr>
              <m:sty m:val="p"/>
            </m:rPr>
            <w:rPr>
              <w:rFonts w:ascii="Cambria Math" w:hAnsi="Cambria Math"/>
            </w:rPr>
            <m:t>ln</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t</m:t>
                      </m:r>
                    </m:sub>
                  </m:sSub>
                </m:num>
                <m:den>
                  <m:sSub>
                    <m:sSubPr>
                      <m:ctrlPr>
                        <w:rPr>
                          <w:rFonts w:ascii="Cambria Math" w:hAnsi="Cambria Math"/>
                        </w:rPr>
                      </m:ctrlPr>
                    </m:sSubPr>
                    <m:e>
                      <m:r>
                        <w:rPr>
                          <w:rFonts w:ascii="Cambria Math" w:hAnsi="Cambria Math"/>
                        </w:rPr>
                        <m:t>a</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t</m:t>
                      </m:r>
                    </m:sub>
                  </m:sSub>
                </m:den>
              </m:f>
            </m:e>
          </m:d>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t</m:t>
              </m:r>
            </m:sub>
          </m:sSub>
          <m:r>
            <m:rPr>
              <m:sty m:val="p"/>
            </m:rPr>
            <w:rPr>
              <w:rFonts w:ascii="Cambria Math" w:hAnsi="Cambria Math"/>
            </w:rPr>
            <m:t>ln</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c</m:t>
                      </m:r>
                    </m:e>
                    <m:sub>
                      <m:r>
                        <w:rPr>
                          <w:rFonts w:ascii="Cambria Math" w:hAnsi="Cambria Math"/>
                        </w:rPr>
                        <m:t>t</m:t>
                      </m:r>
                    </m:sub>
                  </m:sSub>
                </m:num>
                <m:den>
                  <m:sSub>
                    <m:sSubPr>
                      <m:ctrlPr>
                        <w:rPr>
                          <w:rFonts w:ascii="Cambria Math" w:hAnsi="Cambria Math"/>
                        </w:rPr>
                      </m:ctrlPr>
                    </m:sSubPr>
                    <m:e>
                      <m:r>
                        <w:rPr>
                          <w:rFonts w:ascii="Cambria Math" w:hAnsi="Cambria Math"/>
                        </w:rPr>
                        <m:t>a</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t</m:t>
                      </m:r>
                    </m:sub>
                  </m:sSub>
                </m:den>
              </m:f>
            </m:e>
          </m:d>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m:t>
              </m:r>
            </m:sub>
          </m:sSub>
          <m:r>
            <m:rPr>
              <m:sty m:val="p"/>
            </m:rPr>
            <w:rPr>
              <w:rFonts w:ascii="Cambria Math" w:hAnsi="Cambria Math"/>
            </w:rPr>
            <m:t>ln</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t</m:t>
                      </m:r>
                    </m:sub>
                  </m:sSub>
                </m:num>
                <m:den>
                  <m:sSub>
                    <m:sSubPr>
                      <m:ctrlPr>
                        <w:rPr>
                          <w:rFonts w:ascii="Cambria Math" w:hAnsi="Cambria Math"/>
                        </w:rPr>
                      </m:ctrlPr>
                    </m:sSubPr>
                    <m:e>
                      <m:r>
                        <w:rPr>
                          <w:rFonts w:ascii="Cambria Math" w:hAnsi="Cambria Math"/>
                        </w:rPr>
                        <m:t>a</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t</m:t>
                      </m:r>
                    </m:sub>
                  </m:sSub>
                </m:den>
              </m:f>
            </m:e>
          </m:d>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t</m:t>
              </m:r>
            </m:sub>
          </m:sSub>
          <m:r>
            <m:rPr>
              <m:sty m:val="p"/>
            </m:rPr>
            <w:rPr>
              <w:rFonts w:ascii="Cambria Math" w:hAnsi="Cambria Math"/>
            </w:rPr>
            <m:t>ln</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c</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t</m:t>
                      </m:r>
                    </m:sub>
                  </m:sSub>
                </m:num>
                <m:den>
                  <m:sSub>
                    <m:sSubPr>
                      <m:ctrlPr>
                        <w:rPr>
                          <w:rFonts w:ascii="Cambria Math" w:hAnsi="Cambria Math"/>
                        </w:rPr>
                      </m:ctrlPr>
                    </m:sSubPr>
                    <m:e>
                      <m:r>
                        <w:rPr>
                          <w:rFonts w:ascii="Cambria Math" w:hAnsi="Cambria Math"/>
                        </w:rPr>
                        <m:t>a</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t</m:t>
                      </m:r>
                    </m:sub>
                  </m:sSub>
                </m:den>
              </m:f>
            </m:e>
          </m:d>
        </m:oMath>
      </m:oMathPara>
    </w:p>
    <w:p w14:paraId="4EA634AC" w14:textId="77777777" w:rsidR="00B476F1" w:rsidRDefault="00000000">
      <w:pPr>
        <w:pStyle w:val="FirstParagraph"/>
      </w:pPr>
      <w:r>
        <w:t xml:space="preserve">The maxSPRT test is considered significant when </w:t>
      </w:r>
      <m:oMath>
        <m:r>
          <w:rPr>
            <w:rFonts w:ascii="Cambria Math" w:hAnsi="Cambria Math"/>
          </w:rPr>
          <m:t>LL</m:t>
        </m:r>
        <m:sSub>
          <m:sSubPr>
            <m:ctrlPr>
              <w:rPr>
                <w:rFonts w:ascii="Cambria Math" w:hAnsi="Cambria Math"/>
              </w:rPr>
            </m:ctrlPr>
          </m:sSubPr>
          <m:e>
            <m:r>
              <w:rPr>
                <w:rFonts w:ascii="Cambria Math" w:hAnsi="Cambria Math"/>
              </w:rPr>
              <m:t>R</m:t>
            </m:r>
          </m:e>
          <m:sub>
            <m:r>
              <w:rPr>
                <w:rFonts w:ascii="Cambria Math" w:hAnsi="Cambria Math"/>
              </w:rPr>
              <m:t>t</m:t>
            </m:r>
          </m:sub>
        </m:sSub>
      </m:oMath>
      <w:r>
        <w:t xml:space="preserve"> is greater than the pre-computed critical value which is the </w:t>
      </w:r>
      <m:oMath>
        <m:r>
          <w:rPr>
            <w:rFonts w:ascii="Cambria Math" w:hAnsi="Cambria Math"/>
          </w:rPr>
          <m:t>100</m:t>
        </m:r>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α</m:t>
            </m:r>
          </m:e>
        </m:d>
      </m:oMath>
      <w:r>
        <w:t xml:space="preserve">% percentile of the </w:t>
      </w:r>
      <m:oMath>
        <m:r>
          <w:rPr>
            <w:rFonts w:ascii="Cambria Math" w:hAnsi="Cambria Math"/>
          </w:rPr>
          <m:t>LL</m:t>
        </m:r>
        <m:sSub>
          <m:sSubPr>
            <m:ctrlPr>
              <w:rPr>
                <w:rFonts w:ascii="Cambria Math" w:hAnsi="Cambria Math"/>
              </w:rPr>
            </m:ctrlPr>
          </m:sSubPr>
          <m:e>
            <m:r>
              <w:rPr>
                <w:rFonts w:ascii="Cambria Math" w:hAnsi="Cambria Math"/>
              </w:rPr>
              <m:t>R</m:t>
            </m:r>
          </m:e>
          <m:sub>
            <m:r>
              <w:rPr>
                <w:rFonts w:ascii="Cambria Math" w:hAnsi="Cambria Math"/>
              </w:rPr>
              <m:t>t</m:t>
            </m:r>
          </m:sub>
        </m:sSub>
      </m:oMath>
      <w:r>
        <w:t xml:space="preserve"> values generated under the null hypothesis </w:t>
      </w:r>
      <m:oMath>
        <m:sSub>
          <m:sSubPr>
            <m:ctrlPr>
              <w:rPr>
                <w:rFonts w:ascii="Cambria Math" w:hAnsi="Cambria Math"/>
              </w:rPr>
            </m:ctrlPr>
          </m:sSubPr>
          <m:e>
            <m:r>
              <m:rPr>
                <m:nor/>
              </m:rPr>
              <m:t>RR</m:t>
            </m:r>
          </m:e>
          <m:sub>
            <m:r>
              <w:rPr>
                <w:rFonts w:ascii="Cambria Math" w:hAnsi="Cambria Math"/>
              </w:rPr>
              <m:t>t</m:t>
            </m:r>
          </m:sub>
        </m:sSub>
        <m:r>
          <m:rPr>
            <m:sty m:val="p"/>
          </m:rPr>
          <w:rPr>
            <w:rFonts w:ascii="Cambria Math" w:hAnsi="Cambria Math"/>
          </w:rPr>
          <m:t>=</m:t>
        </m:r>
        <m:r>
          <w:rPr>
            <w:rFonts w:ascii="Cambria Math" w:hAnsi="Cambria Math"/>
          </w:rPr>
          <m:t>1</m:t>
        </m:r>
      </m:oMath>
      <w:r>
        <w:t xml:space="preserve"> for group sequential looks at the data </w:t>
      </w:r>
      <m:oMath>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oMath>
      <w:r>
        <w:t xml:space="preserve">. The CV can either be computed using the 95th percentile of </w:t>
      </w:r>
      <m:oMath>
        <m:r>
          <w:rPr>
            <w:rFonts w:ascii="Cambria Math" w:hAnsi="Cambria Math"/>
          </w:rPr>
          <m:t>LL</m:t>
        </m:r>
        <m:sSub>
          <m:sSubPr>
            <m:ctrlPr>
              <w:rPr>
                <w:rFonts w:ascii="Cambria Math" w:hAnsi="Cambria Math"/>
              </w:rPr>
            </m:ctrlPr>
          </m:sSubPr>
          <m:e>
            <m:r>
              <w:rPr>
                <w:rFonts w:ascii="Cambria Math" w:hAnsi="Cambria Math"/>
              </w:rPr>
              <m:t>R</m:t>
            </m:r>
          </m:e>
          <m:sub>
            <m:r>
              <w:rPr>
                <w:rFonts w:ascii="Cambria Math" w:hAnsi="Cambria Math"/>
              </w:rPr>
              <m:t>t</m:t>
            </m:r>
          </m:sub>
        </m:sSub>
      </m:oMath>
      <w:r>
        <w:t xml:space="preserve"> values with the exact joint binomial probabilities over </w:t>
      </w:r>
      <m:oMath>
        <m:r>
          <w:rPr>
            <w:rFonts w:ascii="Cambria Math" w:hAnsi="Cambria Math"/>
          </w:rPr>
          <m:t>k</m:t>
        </m:r>
      </m:oMath>
      <w:r>
        <w:t xml:space="preserve"> looks of the data accumulation under the null hypothesis, or by MCMC sampling of binomial event accumulation (and associated </w:t>
      </w:r>
      <m:oMath>
        <m:r>
          <w:rPr>
            <w:rFonts w:ascii="Cambria Math" w:hAnsi="Cambria Math"/>
          </w:rPr>
          <m:t>LL</m:t>
        </m:r>
        <m:sSub>
          <m:sSubPr>
            <m:ctrlPr>
              <w:rPr>
                <w:rFonts w:ascii="Cambria Math" w:hAnsi="Cambria Math"/>
              </w:rPr>
            </m:ctrlPr>
          </m:sSubPr>
          <m:e>
            <m:r>
              <w:rPr>
                <w:rFonts w:ascii="Cambria Math" w:hAnsi="Cambria Math"/>
              </w:rPr>
              <m:t>R</m:t>
            </m:r>
          </m:e>
          <m:sub>
            <m:r>
              <w:rPr>
                <w:rFonts w:ascii="Cambria Math" w:hAnsi="Cambria Math"/>
              </w:rPr>
              <m:t>t</m:t>
            </m:r>
          </m:sub>
        </m:sSub>
      </m:oMath>
      <w:r>
        <w:t xml:space="preserve"> values) to approximate the </w:t>
      </w:r>
      <m:oMath>
        <m:r>
          <w:rPr>
            <w:rFonts w:ascii="Cambria Math" w:hAnsi="Cambria Math"/>
          </w:rPr>
          <m:t>LLR</m:t>
        </m:r>
      </m:oMath>
      <w:r>
        <w:t xml:space="preserve"> distribution when the exact CV computation is computationally intractable.</w:t>
      </w:r>
    </w:p>
    <w:p w14:paraId="593F837F" w14:textId="77777777" w:rsidR="00B476F1" w:rsidRDefault="00000000">
      <w:r>
        <w:br w:type="page"/>
      </w:r>
    </w:p>
    <w:p w14:paraId="74A4973E" w14:textId="77777777" w:rsidR="00B476F1" w:rsidRDefault="00000000">
      <w:pPr>
        <w:pStyle w:val="Heading2"/>
      </w:pPr>
      <w:bookmarkStart w:id="18" w:name="analysis-choices"/>
      <w:bookmarkStart w:id="19" w:name="_Toc154170406"/>
      <w:bookmarkEnd w:id="10"/>
      <w:bookmarkEnd w:id="16"/>
      <w:r>
        <w:lastRenderedPageBreak/>
        <w:t>3.4 Analysis choices</w:t>
      </w:r>
      <w:bookmarkEnd w:id="19"/>
    </w:p>
    <w:p w14:paraId="694B2C3E" w14:textId="77777777" w:rsidR="00B476F1" w:rsidRDefault="00000000">
      <w:pPr>
        <w:pStyle w:val="FirstParagraph"/>
      </w:pPr>
      <w:r>
        <w:t>A large unknown what threshold should be used to dichotomise P(</w:t>
      </w:r>
      <w:r>
        <w:rPr>
          <w:rStyle w:val="VerbatimChar"/>
        </w:rPr>
        <w:t>topic == "pain"</w:t>
      </w:r>
      <w:r>
        <w:t xml:space="preserve"> | </w:t>
      </w:r>
      <w:r>
        <w:rPr>
          <w:rStyle w:val="VerbatimChar"/>
        </w:rPr>
        <w:t>Doc</w:t>
      </w:r>
      <w:r>
        <w:t xml:space="preserve">) into pain and non-pain spontaneous event report. The threshold can roughly be interpreted as the proportion of the spontaneous event report free text relates to “pain” topics. It is a balancing act, likely with some “safe zone”, to choose a threshold high enough that false-positive pain reports don’t occur too frequently to induce noise or bias that might exist between the two device groups being compared, and also importantly a threshold low enough that pain events are not missed with false negatives and having the flow on effect of not having enough events of interest to sufficiently power the disproportionality statistics. From pilot feasibility exploration, the thresholds considered were from 0.5% to 10% of the free text, i.e., using thresholds </w:t>
      </w:r>
      <m:oMath>
        <m:sSub>
          <m:sSubPr>
            <m:ctrlPr>
              <w:rPr>
                <w:rFonts w:ascii="Cambria Math" w:hAnsi="Cambria Math"/>
              </w:rPr>
            </m:ctrlPr>
          </m:sSubPr>
          <m:e>
            <m:r>
              <w:rPr>
                <w:rFonts w:ascii="Cambria Math" w:hAnsi="Cambria Math"/>
              </w:rPr>
              <m:t>e</m:t>
            </m:r>
          </m:e>
          <m:sub>
            <m:r>
              <w:rPr>
                <w:rFonts w:ascii="Cambria Math" w:hAnsi="Cambria Math"/>
              </w:rPr>
              <m:t>topic</m:t>
            </m:r>
          </m:sub>
        </m:sSub>
        <m:r>
          <m:rPr>
            <m:sty m:val="p"/>
          </m:rPr>
          <w:rPr>
            <w:rFonts w:ascii="Cambria Math" w:hAnsi="Cambria Math"/>
          </w:rPr>
          <m:t>=</m:t>
        </m:r>
        <m:d>
          <m:dPr>
            <m:begChr m:val="{"/>
            <m:endChr m:val="}"/>
            <m:ctrlPr>
              <w:rPr>
                <w:rFonts w:ascii="Cambria Math" w:hAnsi="Cambria Math"/>
              </w:rPr>
            </m:ctrlPr>
          </m:dPr>
          <m:e>
            <m:r>
              <w:rPr>
                <w:rFonts w:ascii="Cambria Math" w:hAnsi="Cambria Math"/>
              </w:rPr>
              <m:t>0.005</m:t>
            </m:r>
            <m:r>
              <m:rPr>
                <m:sty m:val="p"/>
              </m:rPr>
              <w:rPr>
                <w:rFonts w:ascii="Cambria Math" w:hAnsi="Cambria Math"/>
              </w:rPr>
              <m:t>,</m:t>
            </m:r>
            <m:r>
              <w:rPr>
                <w:rFonts w:ascii="Cambria Math" w:hAnsi="Cambria Math"/>
              </w:rPr>
              <m:t>0.010</m:t>
            </m:r>
            <m:r>
              <m:rPr>
                <m:sty m:val="p"/>
              </m:rPr>
              <w:rPr>
                <w:rFonts w:ascii="Cambria Math" w:hAnsi="Cambria Math"/>
              </w:rPr>
              <m:t>,...,</m:t>
            </m:r>
            <m:r>
              <w:rPr>
                <w:rFonts w:ascii="Cambria Math" w:hAnsi="Cambria Math"/>
              </w:rPr>
              <m:t>0.100</m:t>
            </m:r>
          </m:e>
        </m:d>
      </m:oMath>
      <w:r>
        <w:t>. Further complicating matters, it should be noted, optimal P(</w:t>
      </w:r>
      <w:r>
        <w:rPr>
          <w:rStyle w:val="VerbatimChar"/>
        </w:rPr>
        <w:t>topic == "pain"</w:t>
      </w:r>
      <w:r>
        <w:t xml:space="preserve"> | </w:t>
      </w:r>
      <w:r>
        <w:rPr>
          <w:rStyle w:val="VerbatimChar"/>
        </w:rPr>
        <w:t>Doc</w:t>
      </w:r>
      <w:r>
        <w:t>) thresholds may be different for differing event topics, however, we only consider the pain topic in this study.</w:t>
      </w:r>
    </w:p>
    <w:p w14:paraId="03ED3725" w14:textId="77777777" w:rsidR="00B476F1" w:rsidRDefault="00000000">
      <w:pPr>
        <w:pStyle w:val="BodyText"/>
      </w:pPr>
      <w:r>
        <w:t>We choose to perform the analysis group sequential analysis at quarterly time points as this is a reasonable accumulation of events in the Australian specific data source and represents a data accumulation interval feasible for large scale medical device safety monitoring given the computational and pipeline complexity of NLP of the free text and downstream analysis.</w:t>
      </w:r>
    </w:p>
    <w:p w14:paraId="3E693A24" w14:textId="77777777" w:rsidR="00B476F1" w:rsidRDefault="00000000">
      <w:pPr>
        <w:pStyle w:val="BodyText"/>
      </w:pPr>
      <w:r>
        <w:t xml:space="preserve">There are a vast amount of options in choosing an alpha-spending function to use with the BCPNN IC (lower) confidence interval calculations. However, we have chosen the widely used exponential spending function (Anderson and Clark, 2009) with </w:t>
      </w:r>
      <m:oMath>
        <m:r>
          <w:rPr>
            <w:rFonts w:ascii="Cambria Math" w:hAnsi="Cambria Math"/>
          </w:rPr>
          <m:t>ν</m:t>
        </m:r>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oMath>
      <w:r>
        <w:t xml:space="preserve"> because of its wide use and reasonable proporties.</w:t>
      </w:r>
    </w:p>
    <w:p w14:paraId="65E85DA7" w14:textId="77777777" w:rsidR="00B476F1" w:rsidRDefault="00000000">
      <w:pPr>
        <w:pStyle w:val="BodyText"/>
      </w:pPr>
      <w:r>
        <w:t>The statistical analysis enumerates the following choices:</w:t>
      </w:r>
    </w:p>
    <w:p w14:paraId="1E5DC30F" w14:textId="77777777" w:rsidR="00B476F1" w:rsidRDefault="00000000">
      <w:pPr>
        <w:pStyle w:val="Compact"/>
        <w:numPr>
          <w:ilvl w:val="0"/>
          <w:numId w:val="8"/>
        </w:numPr>
      </w:pPr>
      <w:r>
        <w:t>comparator: pelvic mesh is compared to a range of specific (hernia mesh) to less specific (all other devices) comparator groups to characterise analysis performance,</w:t>
      </w:r>
    </w:p>
    <w:p w14:paraId="0E10E5CD" w14:textId="77777777" w:rsidR="00B476F1" w:rsidRDefault="00000000">
      <w:pPr>
        <w:pStyle w:val="Compact"/>
        <w:numPr>
          <w:ilvl w:val="0"/>
          <w:numId w:val="8"/>
        </w:numPr>
      </w:pPr>
      <w:r>
        <w:t>pain topic threshold, and</w:t>
      </w:r>
    </w:p>
    <w:p w14:paraId="394CAAA9" w14:textId="77777777" w:rsidR="00B476F1" w:rsidRDefault="00000000">
      <w:pPr>
        <w:pStyle w:val="Compact"/>
        <w:numPr>
          <w:ilvl w:val="0"/>
          <w:numId w:val="8"/>
        </w:numPr>
      </w:pPr>
      <w:r>
        <w:t>competing signal detection methods in alpha-spend adjusted BCPNN IC calculations and maxSPRT.</w:t>
      </w:r>
    </w:p>
    <w:p w14:paraId="4D3BF048" w14:textId="77777777" w:rsidR="00B476F1" w:rsidRDefault="00B476F1">
      <w:pPr>
        <w:pStyle w:val="FirstParagraph"/>
      </w:pPr>
    </w:p>
    <w:p w14:paraId="0F7DE0A9" w14:textId="77777777" w:rsidR="00B476F1" w:rsidRDefault="00000000">
      <w:pPr>
        <w:pStyle w:val="Heading2"/>
      </w:pPr>
      <w:bookmarkStart w:id="20" w:name="software-and-code-availability"/>
      <w:bookmarkStart w:id="21" w:name="_Toc154170407"/>
      <w:bookmarkEnd w:id="18"/>
      <w:r>
        <w:t>3.5 Software and code availability</w:t>
      </w:r>
      <w:bookmarkEnd w:id="21"/>
    </w:p>
    <w:p w14:paraId="6B207973" w14:textId="77777777" w:rsidR="00B476F1" w:rsidRDefault="00000000">
      <w:pPr>
        <w:pStyle w:val="FirstParagraph"/>
      </w:pPr>
      <w:r>
        <w:t xml:space="preserve">All analysis was performed in R (version X.Y.Z) with the assistance of the </w:t>
      </w:r>
      <w:r>
        <w:rPr>
          <w:rStyle w:val="VerbatimChar"/>
        </w:rPr>
        <w:t>Sequential</w:t>
      </w:r>
      <w:r>
        <w:t xml:space="preserve"> (ref) and </w:t>
      </w:r>
      <w:r>
        <w:rPr>
          <w:rStyle w:val="VerbatimChar"/>
        </w:rPr>
        <w:t>EmpiricalCalibration</w:t>
      </w:r>
      <w:r>
        <w:t xml:space="preserve"> (ref) packages for maxSPRT threshold calculation. All data and code is available at https://github.com/tystan/mesh-sig-detect.</w:t>
      </w:r>
    </w:p>
    <w:p w14:paraId="57E02A9C" w14:textId="77777777" w:rsidR="00B476F1" w:rsidRDefault="00000000">
      <w:r>
        <w:br w:type="page"/>
      </w:r>
    </w:p>
    <w:p w14:paraId="4DCF89FF" w14:textId="77777777" w:rsidR="00B476F1" w:rsidRDefault="00000000">
      <w:pPr>
        <w:pStyle w:val="Heading1"/>
      </w:pPr>
      <w:bookmarkStart w:id="22" w:name="results"/>
      <w:bookmarkStart w:id="23" w:name="_Toc154170408"/>
      <w:bookmarkEnd w:id="4"/>
      <w:bookmarkEnd w:id="20"/>
      <w:r>
        <w:lastRenderedPageBreak/>
        <w:t>4. Results</w:t>
      </w:r>
      <w:bookmarkEnd w:id="23"/>
    </w:p>
    <w:p w14:paraId="2DEDE7FC" w14:textId="77777777" w:rsidR="00B476F1" w:rsidRDefault="00000000">
      <w:pPr>
        <w:pStyle w:val="FirstParagraph"/>
      </w:pPr>
      <w:r>
        <w:t>A summary depiction of the NLP processed data is shown in Figure 1. All spontaneous reports (n= ) were partitioned by device type as either pelvic mesh, hernia mesh, other mesh or other devices. Pelvic mesh had the highest proportion of reports that included the word “pain” in the free text, followed by other and hernia mesh. The stacked and stratified histograms in Figure 1 depict the NLP estimated P(pain|doc) distributions. Pelvic mesh had the largest proportion of non-0 estimated P(pain|doc) values when “pain” was used in the free-text. Notably, other mesh had a similar proportion of non-0 estimated P(pain|doc) values when “pain” wasn’t used in the free-text. It is worth remarking that these are the summary data at the conclusion of data follow-up in 2017 so the accumulation of data may not show such stark difference in pain adverse events (whether literal “pain” text or P(pain|doc) estimated) between the device categories.</w:t>
      </w:r>
    </w:p>
    <w:tbl>
      <w:tblPr>
        <w:tblStyle w:val="Table"/>
        <w:tblW w:w="5000" w:type="pct"/>
        <w:tblLook w:val="0000" w:firstRow="0" w:lastRow="0" w:firstColumn="0" w:lastColumn="0" w:noHBand="0" w:noVBand="0"/>
      </w:tblPr>
      <w:tblGrid>
        <w:gridCol w:w="9360"/>
      </w:tblGrid>
      <w:tr w:rsidR="00B476F1" w14:paraId="64C91910" w14:textId="77777777">
        <w:tc>
          <w:tcPr>
            <w:tcW w:w="0" w:type="auto"/>
          </w:tcPr>
          <w:p w14:paraId="1AE97B0D" w14:textId="77777777" w:rsidR="00B476F1" w:rsidRDefault="00000000">
            <w:pPr>
              <w:jc w:val="center"/>
            </w:pPr>
            <w:r>
              <w:rPr>
                <w:noProof/>
              </w:rPr>
              <w:drawing>
                <wp:inline distT="0" distB="0" distL="0" distR="0" wp14:anchorId="63AF9698" wp14:editId="62311EC2">
                  <wp:extent cx="5334000" cy="3048000"/>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fig/pain_topic_dist.png"/>
                          <pic:cNvPicPr>
                            <a:picLocks noChangeAspect="1" noChangeArrowheads="1"/>
                          </pic:cNvPicPr>
                        </pic:nvPicPr>
                        <pic:blipFill>
                          <a:blip r:embed="rId14"/>
                          <a:stretch>
                            <a:fillRect/>
                          </a:stretch>
                        </pic:blipFill>
                        <pic:spPr bwMode="auto">
                          <a:xfrm>
                            <a:off x="0" y="0"/>
                            <a:ext cx="5334000" cy="3048000"/>
                          </a:xfrm>
                          <a:prstGeom prst="rect">
                            <a:avLst/>
                          </a:prstGeom>
                          <a:noFill/>
                          <a:ln w="9525">
                            <a:noFill/>
                            <a:headEnd/>
                            <a:tailEnd/>
                          </a:ln>
                        </pic:spPr>
                      </pic:pic>
                    </a:graphicData>
                  </a:graphic>
                </wp:inline>
              </w:drawing>
            </w:r>
          </w:p>
          <w:p w14:paraId="0A2266A9" w14:textId="77777777" w:rsidR="00B476F1" w:rsidRDefault="00000000">
            <w:pPr>
              <w:pStyle w:val="ImageCaption"/>
              <w:spacing w:before="200"/>
            </w:pPr>
            <w:r>
              <w:t>Frequency of pain topic in pelvic, hernia and other mesh and other devices.</w:t>
            </w:r>
          </w:p>
        </w:tc>
      </w:tr>
    </w:tbl>
    <w:p w14:paraId="11D37972" w14:textId="77777777" w:rsidR="00B476F1" w:rsidRDefault="00000000">
      <w:pPr>
        <w:pStyle w:val="BodyText"/>
      </w:pPr>
      <w:r>
        <w:t xml:space="preserve">To illustrate the quarterly accumulation of spontaneous report data, Table 5 is a snippet (each quarter up to </w:t>
      </w:r>
      <m:oMath>
        <m:r>
          <w:rPr>
            <w:rFonts w:ascii="Cambria Math" w:hAnsi="Cambria Math"/>
          </w:rPr>
          <m:t>t</m:t>
        </m:r>
        <m:r>
          <m:rPr>
            <m:sty m:val="p"/>
          </m:rPr>
          <w:rPr>
            <w:rFonts w:ascii="Cambria Math" w:hAnsi="Cambria Math"/>
          </w:rPr>
          <m:t>=</m:t>
        </m:r>
      </m:oMath>
      <w:r>
        <w:t xml:space="preserve"> 2015-Q1) of the cumulative number of pelvic mesh reports with </w:t>
      </w:r>
      <m:oMath>
        <m:r>
          <w:rPr>
            <w:rFonts w:ascii="Cambria Math" w:hAnsi="Cambria Math"/>
          </w:rPr>
          <m:t>P</m:t>
        </m:r>
        <m:d>
          <m:dPr>
            <m:ctrlPr>
              <w:rPr>
                <w:rFonts w:ascii="Cambria Math" w:hAnsi="Cambria Math"/>
              </w:rPr>
            </m:ctrlPr>
          </m:dPr>
          <m:e>
            <m:r>
              <w:rPr>
                <w:rFonts w:ascii="Cambria Math" w:hAnsi="Cambria Math"/>
              </w:rPr>
              <m:t>pain</m:t>
            </m:r>
            <m:r>
              <m:rPr>
                <m:sty m:val="p"/>
              </m:rPr>
              <w:rPr>
                <w:rFonts w:ascii="Cambria Math" w:hAnsi="Cambria Math"/>
              </w:rPr>
              <m:t>|</m:t>
            </m:r>
            <m:r>
              <w:rPr>
                <w:rFonts w:ascii="Cambria Math" w:hAnsi="Cambria Math"/>
              </w:rPr>
              <m:t>doc</m:t>
            </m:r>
          </m:e>
        </m:d>
        <m:r>
          <m:rPr>
            <m:sty m:val="p"/>
          </m:rPr>
          <w:rPr>
            <w:rFonts w:ascii="Cambria Math" w:hAnsi="Cambria Math"/>
          </w:rPr>
          <m:t>≥</m:t>
        </m:r>
        <m:r>
          <w:rPr>
            <w:rFonts w:ascii="Cambria Math" w:hAnsi="Cambria Math"/>
          </w:rPr>
          <m:t>0.05</m:t>
        </m:r>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t</m:t>
            </m:r>
          </m:sub>
        </m:sSub>
      </m:oMath>
      <w:r>
        <w:t xml:space="preserve"> and </w:t>
      </w:r>
      <m:oMath>
        <m:r>
          <w:rPr>
            <w:rFonts w:ascii="Cambria Math" w:hAnsi="Cambria Math"/>
          </w:rPr>
          <m:t>P</m:t>
        </m:r>
        <m:d>
          <m:dPr>
            <m:ctrlPr>
              <w:rPr>
                <w:rFonts w:ascii="Cambria Math" w:hAnsi="Cambria Math"/>
              </w:rPr>
            </m:ctrlPr>
          </m:dPr>
          <m:e>
            <m:r>
              <w:rPr>
                <w:rFonts w:ascii="Cambria Math" w:hAnsi="Cambria Math"/>
              </w:rPr>
              <m:t>pain</m:t>
            </m:r>
            <m:r>
              <m:rPr>
                <m:sty m:val="p"/>
              </m:rPr>
              <w:rPr>
                <w:rFonts w:ascii="Cambria Math" w:hAnsi="Cambria Math"/>
              </w:rPr>
              <m:t>|</m:t>
            </m:r>
            <m:r>
              <w:rPr>
                <w:rFonts w:ascii="Cambria Math" w:hAnsi="Cambria Math"/>
              </w:rPr>
              <m:t>doc</m:t>
            </m:r>
          </m:e>
        </m:d>
        <m:r>
          <m:rPr>
            <m:sty m:val="p"/>
          </m:rPr>
          <w:rPr>
            <w:rFonts w:ascii="Cambria Math" w:hAnsi="Cambria Math"/>
          </w:rPr>
          <m:t>&lt;</m:t>
        </m:r>
        <m:r>
          <w:rPr>
            <w:rFonts w:ascii="Cambria Math" w:hAnsi="Cambria Math"/>
          </w:rPr>
          <m:t>0.05</m:t>
        </m:r>
      </m:oMath>
      <w:r>
        <w:t xml:space="preserve">, labelled </w:t>
      </w:r>
      <m:oMath>
        <m:sSub>
          <m:sSubPr>
            <m:ctrlPr>
              <w:rPr>
                <w:rFonts w:ascii="Cambria Math" w:hAnsi="Cambria Math"/>
              </w:rPr>
            </m:ctrlPr>
          </m:sSubPr>
          <m:e>
            <m:r>
              <w:rPr>
                <w:rFonts w:ascii="Cambria Math" w:hAnsi="Cambria Math"/>
              </w:rPr>
              <m:t>a</m:t>
            </m:r>
          </m:e>
          <m:sub>
            <m:r>
              <w:rPr>
                <w:rFonts w:ascii="Cambria Math" w:hAnsi="Cambria Math"/>
              </w:rPr>
              <m:t>t</m:t>
            </m:r>
          </m:sub>
        </m:sSub>
      </m:oMath>
      <w:r>
        <w:t xml:space="preserve"> and </w:t>
      </w:r>
      <m:oMath>
        <m:sSub>
          <m:sSubPr>
            <m:ctrlPr>
              <w:rPr>
                <w:rFonts w:ascii="Cambria Math" w:hAnsi="Cambria Math"/>
              </w:rPr>
            </m:ctrlPr>
          </m:sSubPr>
          <m:e>
            <m:r>
              <w:rPr>
                <w:rFonts w:ascii="Cambria Math" w:hAnsi="Cambria Math"/>
              </w:rPr>
              <m:t>b</m:t>
            </m:r>
          </m:e>
          <m:sub>
            <m:r>
              <w:rPr>
                <w:rFonts w:ascii="Cambria Math" w:hAnsi="Cambria Math"/>
              </w:rPr>
              <m:t>t</m:t>
            </m:r>
          </m:sub>
        </m:sSub>
      </m:oMath>
      <w:r>
        <w:t xml:space="preserve"> respectively, as well as the cumulative number of hernia mesh reports with </w:t>
      </w:r>
      <m:oMath>
        <m:r>
          <w:rPr>
            <w:rFonts w:ascii="Cambria Math" w:hAnsi="Cambria Math"/>
          </w:rPr>
          <m:t>P</m:t>
        </m:r>
        <m:d>
          <m:dPr>
            <m:ctrlPr>
              <w:rPr>
                <w:rFonts w:ascii="Cambria Math" w:hAnsi="Cambria Math"/>
              </w:rPr>
            </m:ctrlPr>
          </m:dPr>
          <m:e>
            <m:r>
              <w:rPr>
                <w:rFonts w:ascii="Cambria Math" w:hAnsi="Cambria Math"/>
              </w:rPr>
              <m:t>pain</m:t>
            </m:r>
            <m:r>
              <m:rPr>
                <m:sty m:val="p"/>
              </m:rPr>
              <w:rPr>
                <w:rFonts w:ascii="Cambria Math" w:hAnsi="Cambria Math"/>
              </w:rPr>
              <m:t>|</m:t>
            </m:r>
            <m:r>
              <w:rPr>
                <w:rFonts w:ascii="Cambria Math" w:hAnsi="Cambria Math"/>
              </w:rPr>
              <m:t>doc</m:t>
            </m:r>
          </m:e>
        </m:d>
        <m:r>
          <m:rPr>
            <m:sty m:val="p"/>
          </m:rPr>
          <w:rPr>
            <w:rFonts w:ascii="Cambria Math" w:hAnsi="Cambria Math"/>
          </w:rPr>
          <m:t>≥</m:t>
        </m:r>
        <m:r>
          <w:rPr>
            <w:rFonts w:ascii="Cambria Math" w:hAnsi="Cambria Math"/>
          </w:rPr>
          <m:t>0.05</m:t>
        </m:r>
      </m:oMath>
      <w:r>
        <w:t xml:space="preserve"> and </w:t>
      </w:r>
      <m:oMath>
        <m:r>
          <w:rPr>
            <w:rFonts w:ascii="Cambria Math" w:hAnsi="Cambria Math"/>
          </w:rPr>
          <m:t>P</m:t>
        </m:r>
        <m:d>
          <m:dPr>
            <m:ctrlPr>
              <w:rPr>
                <w:rFonts w:ascii="Cambria Math" w:hAnsi="Cambria Math"/>
              </w:rPr>
            </m:ctrlPr>
          </m:dPr>
          <m:e>
            <m:r>
              <w:rPr>
                <w:rFonts w:ascii="Cambria Math" w:hAnsi="Cambria Math"/>
              </w:rPr>
              <m:t>pain</m:t>
            </m:r>
            <m:r>
              <m:rPr>
                <m:sty m:val="p"/>
              </m:rPr>
              <w:rPr>
                <w:rFonts w:ascii="Cambria Math" w:hAnsi="Cambria Math"/>
              </w:rPr>
              <m:t>|</m:t>
            </m:r>
            <m:r>
              <w:rPr>
                <w:rFonts w:ascii="Cambria Math" w:hAnsi="Cambria Math"/>
              </w:rPr>
              <m:t>doc</m:t>
            </m:r>
          </m:e>
        </m:d>
        <m:r>
          <m:rPr>
            <m:sty m:val="p"/>
          </m:rPr>
          <w:rPr>
            <w:rFonts w:ascii="Cambria Math" w:hAnsi="Cambria Math"/>
          </w:rPr>
          <m:t>&lt;</m:t>
        </m:r>
        <m:r>
          <w:rPr>
            <w:rFonts w:ascii="Cambria Math" w:hAnsi="Cambria Math"/>
          </w:rPr>
          <m:t>0.05</m:t>
        </m:r>
      </m:oMath>
      <w:r>
        <w:t xml:space="preserve">, similarly labelled </w:t>
      </w:r>
      <m:oMath>
        <m:sSub>
          <m:sSubPr>
            <m:ctrlPr>
              <w:rPr>
                <w:rFonts w:ascii="Cambria Math" w:hAnsi="Cambria Math"/>
              </w:rPr>
            </m:ctrlPr>
          </m:sSubPr>
          <m:e>
            <m:r>
              <w:rPr>
                <w:rFonts w:ascii="Cambria Math" w:hAnsi="Cambria Math"/>
              </w:rPr>
              <m:t>c</m:t>
            </m:r>
          </m:e>
          <m:sub>
            <m:r>
              <w:rPr>
                <w:rFonts w:ascii="Cambria Math" w:hAnsi="Cambria Math"/>
              </w:rPr>
              <m:t>t</m:t>
            </m:r>
          </m:sub>
        </m:sSub>
      </m:oMath>
      <w:r>
        <w:t xml:space="preserve"> and </w:t>
      </w:r>
      <m:oMath>
        <m:sSub>
          <m:sSubPr>
            <m:ctrlPr>
              <w:rPr>
                <w:rFonts w:ascii="Cambria Math" w:hAnsi="Cambria Math"/>
              </w:rPr>
            </m:ctrlPr>
          </m:sSubPr>
          <m:e>
            <m:r>
              <w:rPr>
                <w:rFonts w:ascii="Cambria Math" w:hAnsi="Cambria Math"/>
              </w:rPr>
              <m:t>d</m:t>
            </m:r>
          </m:e>
          <m:sub>
            <m:r>
              <w:rPr>
                <w:rFonts w:ascii="Cambria Math" w:hAnsi="Cambria Math"/>
              </w:rPr>
              <m:t>t</m:t>
            </m:r>
          </m:sub>
        </m:sSub>
      </m:oMath>
      <w:r>
        <w:t xml:space="preserve"> . Each row of the table can be considered the cumulative </w:t>
      </w:r>
      <m:oMath>
        <m:r>
          <w:rPr>
            <w:rFonts w:ascii="Cambria Math" w:hAnsi="Cambria Math"/>
          </w:rPr>
          <m:t>2</m:t>
        </m:r>
        <m:r>
          <m:rPr>
            <m:sty m:val="p"/>
          </m:rPr>
          <w:rPr>
            <w:rFonts w:ascii="Cambria Math" w:hAnsi="Cambria Math"/>
          </w:rPr>
          <m:t>×</m:t>
        </m:r>
        <m:r>
          <w:rPr>
            <w:rFonts w:ascii="Cambria Math" w:hAnsi="Cambria Math"/>
          </w:rPr>
          <m:t>2</m:t>
        </m:r>
      </m:oMath>
      <w:r>
        <w:t xml:space="preserve"> contingency at time </w:t>
      </w:r>
      <m:oMath>
        <m:r>
          <w:rPr>
            <w:rFonts w:ascii="Cambria Math" w:hAnsi="Cambria Math"/>
          </w:rPr>
          <m:t>t</m:t>
        </m:r>
      </m:oMath>
      <w:r>
        <w:t>. It is notable the number of presumptive pain related adverse events in pelvic mesh spontaneous reports (</w:t>
      </w:r>
      <m:oMath>
        <m:sSub>
          <m:sSubPr>
            <m:ctrlPr>
              <w:rPr>
                <w:rFonts w:ascii="Cambria Math" w:hAnsi="Cambria Math"/>
              </w:rPr>
            </m:ctrlPr>
          </m:sSubPr>
          <m:e>
            <m:r>
              <w:rPr>
                <w:rFonts w:ascii="Cambria Math" w:hAnsi="Cambria Math"/>
              </w:rPr>
              <m:t>a</m:t>
            </m:r>
          </m:e>
          <m:sub>
            <m:r>
              <w:rPr>
                <w:rFonts w:ascii="Cambria Math" w:hAnsi="Cambria Math"/>
              </w:rPr>
              <m:t>t</m:t>
            </m:r>
          </m:sub>
        </m:sSub>
      </m:oMath>
      <w:r>
        <w:t xml:space="preserve">) increased sharply in Q4 2014 compared with the previous quarter. This pattern was consistent across the various thresholds </w:t>
      </w:r>
      <m:oMath>
        <m:sSub>
          <m:sSubPr>
            <m:ctrlPr>
              <w:rPr>
                <w:rFonts w:ascii="Cambria Math" w:hAnsi="Cambria Math"/>
              </w:rPr>
            </m:ctrlPr>
          </m:sSubPr>
          <m:e>
            <m:r>
              <w:rPr>
                <w:rFonts w:ascii="Cambria Math" w:hAnsi="Cambria Math"/>
              </w:rPr>
              <m:t>p</m:t>
            </m:r>
          </m:e>
          <m:sub>
            <m:r>
              <w:rPr>
                <w:rFonts w:ascii="Cambria Math" w:hAnsi="Cambria Math"/>
              </w:rPr>
              <m:t>t</m:t>
            </m:r>
          </m:sub>
        </m:sSub>
      </m:oMath>
      <w:r>
        <w:t xml:space="preserve"> considered in the analyses. [Include the reason this might be the case here].</w:t>
      </w:r>
    </w:p>
    <w:p w14:paraId="78E6BCD6" w14:textId="77777777" w:rsidR="00B476F1" w:rsidRDefault="00000000">
      <w:pPr>
        <w:pStyle w:val="TableCaption"/>
      </w:pPr>
      <w:r>
        <w:lastRenderedPageBreak/>
        <w:t>Cumulative quarterly AE counts of pelvic mesh (</w:t>
      </w:r>
      <m:oMath>
        <m:sSub>
          <m:sSubPr>
            <m:ctrlPr>
              <w:rPr>
                <w:rFonts w:ascii="Cambria Math" w:hAnsi="Cambria Math"/>
              </w:rPr>
            </m:ctrlPr>
          </m:sSubPr>
          <m:e>
            <m:r>
              <w:rPr>
                <w:rFonts w:ascii="Cambria Math" w:hAnsi="Cambria Math"/>
              </w:rPr>
              <m:t>a</m:t>
            </m:r>
          </m:e>
          <m:sub>
            <m:r>
              <w:rPr>
                <w:rFonts w:ascii="Cambria Math" w:hAnsi="Cambria Math"/>
              </w:rPr>
              <m:t>t</m:t>
            </m:r>
          </m:sub>
        </m:sSub>
      </m:oMath>
      <w:r>
        <w:t xml:space="preserve"> is pain topic count) compared to hernia mesh (</w:t>
      </w:r>
      <m:oMath>
        <m:sSub>
          <m:sSubPr>
            <m:ctrlPr>
              <w:rPr>
                <w:rFonts w:ascii="Cambria Math" w:hAnsi="Cambria Math"/>
              </w:rPr>
            </m:ctrlPr>
          </m:sSubPr>
          <m:e>
            <m:r>
              <w:rPr>
                <w:rFonts w:ascii="Cambria Math" w:hAnsi="Cambria Math"/>
              </w:rPr>
              <m:t>c</m:t>
            </m:r>
          </m:e>
          <m:sub>
            <m:r>
              <w:rPr>
                <w:rFonts w:ascii="Cambria Math" w:hAnsi="Cambria Math"/>
              </w:rPr>
              <m:t>t</m:t>
            </m:r>
          </m:sub>
        </m:sSub>
      </m:oMath>
      <w:r>
        <w:t xml:space="preserve"> is pain topic count) using a pain topic threshold of 0.05. </w:t>
      </w:r>
    </w:p>
    <w:tbl>
      <w:tblPr>
        <w:tblStyle w:val="Table"/>
        <w:tblW w:w="0" w:type="auto"/>
        <w:jc w:val="center"/>
        <w:tblLook w:val="0020" w:firstRow="1" w:lastRow="0" w:firstColumn="0" w:lastColumn="0" w:noHBand="0" w:noVBand="0"/>
        <w:tblCaption w:val="Cumulative quarterly AE counts of pelvic mesh (a_t is pain topic count) compared to hernia mesh (c_t is pain topic count) using a pain topic threshold of 0.05. "/>
      </w:tblPr>
      <w:tblGrid>
        <w:gridCol w:w="1117"/>
        <w:gridCol w:w="482"/>
        <w:gridCol w:w="482"/>
        <w:gridCol w:w="482"/>
        <w:gridCol w:w="410"/>
        <w:gridCol w:w="482"/>
      </w:tblGrid>
      <w:tr w:rsidR="00B476F1" w14:paraId="42E21214" w14:textId="77777777" w:rsidTr="0018388A">
        <w:trPr>
          <w:cnfStyle w:val="100000000000" w:firstRow="1" w:lastRow="0" w:firstColumn="0" w:lastColumn="0" w:oddVBand="0" w:evenVBand="0" w:oddHBand="0" w:evenHBand="0" w:firstRowFirstColumn="0" w:firstRowLastColumn="0" w:lastRowFirstColumn="0" w:lastRowLastColumn="0"/>
          <w:tblHeader/>
          <w:jc w:val="center"/>
        </w:trPr>
        <w:tc>
          <w:tcPr>
            <w:tcW w:w="0" w:type="auto"/>
          </w:tcPr>
          <w:p w14:paraId="46E7674F" w14:textId="77777777" w:rsidR="00B476F1" w:rsidRDefault="00000000">
            <w:pPr>
              <w:pStyle w:val="Compact"/>
            </w:pPr>
            <w:r>
              <w:t>Quarter</w:t>
            </w:r>
          </w:p>
        </w:tc>
        <w:tc>
          <w:tcPr>
            <w:tcW w:w="0" w:type="auto"/>
          </w:tcPr>
          <w:p w14:paraId="36732E6C" w14:textId="77777777" w:rsidR="00B476F1" w:rsidRDefault="00000000">
            <w:pPr>
              <w:pStyle w:val="Compact"/>
              <w:jc w:val="right"/>
            </w:pPr>
            <m:oMathPara>
              <m:oMath>
                <m:r>
                  <w:rPr>
                    <w:rFonts w:ascii="Cambria Math" w:hAnsi="Cambria Math"/>
                  </w:rPr>
                  <m:t>t</m:t>
                </m:r>
              </m:oMath>
            </m:oMathPara>
          </w:p>
        </w:tc>
        <w:tc>
          <w:tcPr>
            <w:tcW w:w="0" w:type="auto"/>
          </w:tcPr>
          <w:p w14:paraId="7BC8AE36" w14:textId="77777777" w:rsidR="00B476F1" w:rsidRDefault="00000000">
            <w:pPr>
              <w:pStyle w:val="Compact"/>
              <w:jc w:val="right"/>
            </w:pPr>
            <m:oMathPara>
              <m:oMath>
                <m:sSub>
                  <m:sSubPr>
                    <m:ctrlPr>
                      <w:rPr>
                        <w:rFonts w:ascii="Cambria Math" w:hAnsi="Cambria Math"/>
                      </w:rPr>
                    </m:ctrlPr>
                  </m:sSubPr>
                  <m:e>
                    <m:r>
                      <w:rPr>
                        <w:rFonts w:ascii="Cambria Math" w:hAnsi="Cambria Math"/>
                      </w:rPr>
                      <m:t>a</m:t>
                    </m:r>
                  </m:e>
                  <m:sub>
                    <m:r>
                      <w:rPr>
                        <w:rFonts w:ascii="Cambria Math" w:hAnsi="Cambria Math"/>
                      </w:rPr>
                      <m:t>t</m:t>
                    </m:r>
                  </m:sub>
                </m:sSub>
              </m:oMath>
            </m:oMathPara>
          </w:p>
        </w:tc>
        <w:tc>
          <w:tcPr>
            <w:tcW w:w="0" w:type="auto"/>
          </w:tcPr>
          <w:p w14:paraId="5CD04AAC" w14:textId="77777777" w:rsidR="00B476F1" w:rsidRDefault="00000000">
            <w:pPr>
              <w:pStyle w:val="Compact"/>
              <w:jc w:val="right"/>
            </w:pPr>
            <m:oMathPara>
              <m:oMath>
                <m:sSub>
                  <m:sSubPr>
                    <m:ctrlPr>
                      <w:rPr>
                        <w:rFonts w:ascii="Cambria Math" w:hAnsi="Cambria Math"/>
                      </w:rPr>
                    </m:ctrlPr>
                  </m:sSubPr>
                  <m:e>
                    <m:r>
                      <w:rPr>
                        <w:rFonts w:ascii="Cambria Math" w:hAnsi="Cambria Math"/>
                      </w:rPr>
                      <m:t>b</m:t>
                    </m:r>
                  </m:e>
                  <m:sub>
                    <m:r>
                      <w:rPr>
                        <w:rFonts w:ascii="Cambria Math" w:hAnsi="Cambria Math"/>
                      </w:rPr>
                      <m:t>t</m:t>
                    </m:r>
                  </m:sub>
                </m:sSub>
              </m:oMath>
            </m:oMathPara>
          </w:p>
        </w:tc>
        <w:tc>
          <w:tcPr>
            <w:tcW w:w="0" w:type="auto"/>
          </w:tcPr>
          <w:p w14:paraId="3DCD8878" w14:textId="77777777" w:rsidR="00B476F1" w:rsidRDefault="00000000">
            <w:pPr>
              <w:pStyle w:val="Compact"/>
              <w:jc w:val="right"/>
            </w:pPr>
            <m:oMathPara>
              <m:oMath>
                <m:sSub>
                  <m:sSubPr>
                    <m:ctrlPr>
                      <w:rPr>
                        <w:rFonts w:ascii="Cambria Math" w:hAnsi="Cambria Math"/>
                      </w:rPr>
                    </m:ctrlPr>
                  </m:sSubPr>
                  <m:e>
                    <m:r>
                      <w:rPr>
                        <w:rFonts w:ascii="Cambria Math" w:hAnsi="Cambria Math"/>
                      </w:rPr>
                      <m:t>c</m:t>
                    </m:r>
                  </m:e>
                  <m:sub>
                    <m:r>
                      <w:rPr>
                        <w:rFonts w:ascii="Cambria Math" w:hAnsi="Cambria Math"/>
                      </w:rPr>
                      <m:t>t</m:t>
                    </m:r>
                  </m:sub>
                </m:sSub>
              </m:oMath>
            </m:oMathPara>
          </w:p>
        </w:tc>
        <w:tc>
          <w:tcPr>
            <w:tcW w:w="0" w:type="auto"/>
          </w:tcPr>
          <w:p w14:paraId="10F93139" w14:textId="77777777" w:rsidR="00B476F1" w:rsidRDefault="00000000">
            <w:pPr>
              <w:pStyle w:val="Compact"/>
              <w:jc w:val="right"/>
            </w:pPr>
            <m:oMathPara>
              <m:oMath>
                <m:sSub>
                  <m:sSubPr>
                    <m:ctrlPr>
                      <w:rPr>
                        <w:rFonts w:ascii="Cambria Math" w:hAnsi="Cambria Math"/>
                      </w:rPr>
                    </m:ctrlPr>
                  </m:sSubPr>
                  <m:e>
                    <m:r>
                      <w:rPr>
                        <w:rFonts w:ascii="Cambria Math" w:hAnsi="Cambria Math"/>
                      </w:rPr>
                      <m:t>d</m:t>
                    </m:r>
                  </m:e>
                  <m:sub>
                    <m:r>
                      <w:rPr>
                        <w:rFonts w:ascii="Cambria Math" w:hAnsi="Cambria Math"/>
                      </w:rPr>
                      <m:t>t</m:t>
                    </m:r>
                  </m:sub>
                </m:sSub>
              </m:oMath>
            </m:oMathPara>
          </w:p>
        </w:tc>
      </w:tr>
      <w:tr w:rsidR="00B476F1" w14:paraId="36B4756D" w14:textId="77777777" w:rsidTr="0018388A">
        <w:trPr>
          <w:jc w:val="center"/>
        </w:trPr>
        <w:tc>
          <w:tcPr>
            <w:tcW w:w="0" w:type="auto"/>
          </w:tcPr>
          <w:p w14:paraId="75DC4FD8" w14:textId="77777777" w:rsidR="00B476F1" w:rsidRDefault="00000000">
            <w:pPr>
              <w:pStyle w:val="Compact"/>
            </w:pPr>
            <w:r>
              <w:t>2013-Q3</w:t>
            </w:r>
          </w:p>
        </w:tc>
        <w:tc>
          <w:tcPr>
            <w:tcW w:w="0" w:type="auto"/>
          </w:tcPr>
          <w:p w14:paraId="1FF015B8" w14:textId="77777777" w:rsidR="00B476F1" w:rsidRDefault="00000000">
            <w:pPr>
              <w:pStyle w:val="Compact"/>
              <w:jc w:val="right"/>
            </w:pPr>
            <w:r>
              <w:t>1</w:t>
            </w:r>
          </w:p>
        </w:tc>
        <w:tc>
          <w:tcPr>
            <w:tcW w:w="0" w:type="auto"/>
          </w:tcPr>
          <w:p w14:paraId="587DFE3F" w14:textId="77777777" w:rsidR="00B476F1" w:rsidRDefault="00000000">
            <w:pPr>
              <w:pStyle w:val="Compact"/>
              <w:jc w:val="right"/>
            </w:pPr>
            <w:r>
              <w:t>4</w:t>
            </w:r>
          </w:p>
        </w:tc>
        <w:tc>
          <w:tcPr>
            <w:tcW w:w="0" w:type="auto"/>
          </w:tcPr>
          <w:p w14:paraId="748F9EE2" w14:textId="77777777" w:rsidR="00B476F1" w:rsidRDefault="00000000">
            <w:pPr>
              <w:pStyle w:val="Compact"/>
              <w:jc w:val="right"/>
            </w:pPr>
            <w:r>
              <w:t>12</w:t>
            </w:r>
          </w:p>
        </w:tc>
        <w:tc>
          <w:tcPr>
            <w:tcW w:w="0" w:type="auto"/>
          </w:tcPr>
          <w:p w14:paraId="44CF48CD" w14:textId="77777777" w:rsidR="00B476F1" w:rsidRDefault="00000000">
            <w:pPr>
              <w:pStyle w:val="Compact"/>
              <w:jc w:val="right"/>
            </w:pPr>
            <w:r>
              <w:t>1</w:t>
            </w:r>
          </w:p>
        </w:tc>
        <w:tc>
          <w:tcPr>
            <w:tcW w:w="0" w:type="auto"/>
          </w:tcPr>
          <w:p w14:paraId="5F28AE52" w14:textId="77777777" w:rsidR="00B476F1" w:rsidRDefault="00000000">
            <w:pPr>
              <w:pStyle w:val="Compact"/>
              <w:jc w:val="right"/>
            </w:pPr>
            <w:r>
              <w:t>10</w:t>
            </w:r>
          </w:p>
        </w:tc>
      </w:tr>
      <w:tr w:rsidR="00B476F1" w14:paraId="61550D3B" w14:textId="77777777" w:rsidTr="0018388A">
        <w:trPr>
          <w:jc w:val="center"/>
        </w:trPr>
        <w:tc>
          <w:tcPr>
            <w:tcW w:w="0" w:type="auto"/>
          </w:tcPr>
          <w:p w14:paraId="4409B72E" w14:textId="77777777" w:rsidR="00B476F1" w:rsidRDefault="00000000">
            <w:pPr>
              <w:pStyle w:val="Compact"/>
            </w:pPr>
            <w:r>
              <w:t>2013-Q4</w:t>
            </w:r>
          </w:p>
        </w:tc>
        <w:tc>
          <w:tcPr>
            <w:tcW w:w="0" w:type="auto"/>
          </w:tcPr>
          <w:p w14:paraId="43C53EB8" w14:textId="77777777" w:rsidR="00B476F1" w:rsidRDefault="00000000">
            <w:pPr>
              <w:pStyle w:val="Compact"/>
              <w:jc w:val="right"/>
            </w:pPr>
            <w:r>
              <w:t>2</w:t>
            </w:r>
          </w:p>
        </w:tc>
        <w:tc>
          <w:tcPr>
            <w:tcW w:w="0" w:type="auto"/>
          </w:tcPr>
          <w:p w14:paraId="0103FEFA" w14:textId="77777777" w:rsidR="00B476F1" w:rsidRDefault="00000000">
            <w:pPr>
              <w:pStyle w:val="Compact"/>
              <w:jc w:val="right"/>
            </w:pPr>
            <w:r>
              <w:t>6</w:t>
            </w:r>
          </w:p>
        </w:tc>
        <w:tc>
          <w:tcPr>
            <w:tcW w:w="0" w:type="auto"/>
          </w:tcPr>
          <w:p w14:paraId="1159600A" w14:textId="77777777" w:rsidR="00B476F1" w:rsidRDefault="00000000">
            <w:pPr>
              <w:pStyle w:val="Compact"/>
              <w:jc w:val="right"/>
            </w:pPr>
            <w:r>
              <w:t>14</w:t>
            </w:r>
          </w:p>
        </w:tc>
        <w:tc>
          <w:tcPr>
            <w:tcW w:w="0" w:type="auto"/>
          </w:tcPr>
          <w:p w14:paraId="2CC62159" w14:textId="77777777" w:rsidR="00B476F1" w:rsidRDefault="00000000">
            <w:pPr>
              <w:pStyle w:val="Compact"/>
              <w:jc w:val="right"/>
            </w:pPr>
            <w:r>
              <w:t>1</w:t>
            </w:r>
          </w:p>
        </w:tc>
        <w:tc>
          <w:tcPr>
            <w:tcW w:w="0" w:type="auto"/>
          </w:tcPr>
          <w:p w14:paraId="47FA1DC6" w14:textId="77777777" w:rsidR="00B476F1" w:rsidRDefault="00000000">
            <w:pPr>
              <w:pStyle w:val="Compact"/>
              <w:jc w:val="right"/>
            </w:pPr>
            <w:r>
              <w:t>10</w:t>
            </w:r>
          </w:p>
        </w:tc>
      </w:tr>
      <w:tr w:rsidR="00B476F1" w14:paraId="7FC235B7" w14:textId="77777777" w:rsidTr="0018388A">
        <w:trPr>
          <w:jc w:val="center"/>
        </w:trPr>
        <w:tc>
          <w:tcPr>
            <w:tcW w:w="0" w:type="auto"/>
          </w:tcPr>
          <w:p w14:paraId="16E97FEE" w14:textId="77777777" w:rsidR="00B476F1" w:rsidRDefault="00000000">
            <w:pPr>
              <w:pStyle w:val="Compact"/>
            </w:pPr>
            <w:r>
              <w:t>2014-Q1</w:t>
            </w:r>
          </w:p>
        </w:tc>
        <w:tc>
          <w:tcPr>
            <w:tcW w:w="0" w:type="auto"/>
          </w:tcPr>
          <w:p w14:paraId="16DD8BBB" w14:textId="77777777" w:rsidR="00B476F1" w:rsidRDefault="00000000">
            <w:pPr>
              <w:pStyle w:val="Compact"/>
              <w:jc w:val="right"/>
            </w:pPr>
            <w:r>
              <w:t>3</w:t>
            </w:r>
          </w:p>
        </w:tc>
        <w:tc>
          <w:tcPr>
            <w:tcW w:w="0" w:type="auto"/>
          </w:tcPr>
          <w:p w14:paraId="4C46363C" w14:textId="77777777" w:rsidR="00B476F1" w:rsidRDefault="00000000">
            <w:pPr>
              <w:pStyle w:val="Compact"/>
              <w:jc w:val="right"/>
            </w:pPr>
            <w:r>
              <w:t>6</w:t>
            </w:r>
          </w:p>
        </w:tc>
        <w:tc>
          <w:tcPr>
            <w:tcW w:w="0" w:type="auto"/>
          </w:tcPr>
          <w:p w14:paraId="3C9B8991" w14:textId="77777777" w:rsidR="00B476F1" w:rsidRDefault="00000000">
            <w:pPr>
              <w:pStyle w:val="Compact"/>
              <w:jc w:val="right"/>
            </w:pPr>
            <w:r>
              <w:t>14</w:t>
            </w:r>
          </w:p>
        </w:tc>
        <w:tc>
          <w:tcPr>
            <w:tcW w:w="0" w:type="auto"/>
          </w:tcPr>
          <w:p w14:paraId="35F95D7D" w14:textId="77777777" w:rsidR="00B476F1" w:rsidRDefault="00000000">
            <w:pPr>
              <w:pStyle w:val="Compact"/>
              <w:jc w:val="right"/>
            </w:pPr>
            <w:r>
              <w:t>1</w:t>
            </w:r>
          </w:p>
        </w:tc>
        <w:tc>
          <w:tcPr>
            <w:tcW w:w="0" w:type="auto"/>
          </w:tcPr>
          <w:p w14:paraId="3A8447C5" w14:textId="77777777" w:rsidR="00B476F1" w:rsidRDefault="00000000">
            <w:pPr>
              <w:pStyle w:val="Compact"/>
              <w:jc w:val="right"/>
            </w:pPr>
            <w:r>
              <w:t>11</w:t>
            </w:r>
          </w:p>
        </w:tc>
      </w:tr>
      <w:tr w:rsidR="00B476F1" w14:paraId="2A99023C" w14:textId="77777777" w:rsidTr="0018388A">
        <w:trPr>
          <w:jc w:val="center"/>
        </w:trPr>
        <w:tc>
          <w:tcPr>
            <w:tcW w:w="0" w:type="auto"/>
          </w:tcPr>
          <w:p w14:paraId="5893B5EC" w14:textId="77777777" w:rsidR="00B476F1" w:rsidRDefault="00000000">
            <w:pPr>
              <w:pStyle w:val="Compact"/>
            </w:pPr>
            <w:r>
              <w:t>2014-Q2</w:t>
            </w:r>
          </w:p>
        </w:tc>
        <w:tc>
          <w:tcPr>
            <w:tcW w:w="0" w:type="auto"/>
          </w:tcPr>
          <w:p w14:paraId="35B71619" w14:textId="77777777" w:rsidR="00B476F1" w:rsidRDefault="00000000">
            <w:pPr>
              <w:pStyle w:val="Compact"/>
              <w:jc w:val="right"/>
            </w:pPr>
            <w:r>
              <w:t>4</w:t>
            </w:r>
          </w:p>
        </w:tc>
        <w:tc>
          <w:tcPr>
            <w:tcW w:w="0" w:type="auto"/>
          </w:tcPr>
          <w:p w14:paraId="4BD77E1F" w14:textId="77777777" w:rsidR="00B476F1" w:rsidRDefault="00000000">
            <w:pPr>
              <w:pStyle w:val="Compact"/>
              <w:jc w:val="right"/>
            </w:pPr>
            <w:r>
              <w:t>7</w:t>
            </w:r>
          </w:p>
        </w:tc>
        <w:tc>
          <w:tcPr>
            <w:tcW w:w="0" w:type="auto"/>
          </w:tcPr>
          <w:p w14:paraId="250E3837" w14:textId="77777777" w:rsidR="00B476F1" w:rsidRDefault="00000000">
            <w:pPr>
              <w:pStyle w:val="Compact"/>
              <w:jc w:val="right"/>
            </w:pPr>
            <w:r>
              <w:t>15</w:t>
            </w:r>
          </w:p>
        </w:tc>
        <w:tc>
          <w:tcPr>
            <w:tcW w:w="0" w:type="auto"/>
          </w:tcPr>
          <w:p w14:paraId="2D8F5E5D" w14:textId="77777777" w:rsidR="00B476F1" w:rsidRDefault="00000000">
            <w:pPr>
              <w:pStyle w:val="Compact"/>
              <w:jc w:val="right"/>
            </w:pPr>
            <w:r>
              <w:t>1</w:t>
            </w:r>
          </w:p>
        </w:tc>
        <w:tc>
          <w:tcPr>
            <w:tcW w:w="0" w:type="auto"/>
          </w:tcPr>
          <w:p w14:paraId="7023DB17" w14:textId="77777777" w:rsidR="00B476F1" w:rsidRDefault="00000000">
            <w:pPr>
              <w:pStyle w:val="Compact"/>
              <w:jc w:val="right"/>
            </w:pPr>
            <w:r>
              <w:t>14</w:t>
            </w:r>
          </w:p>
        </w:tc>
      </w:tr>
      <w:tr w:rsidR="00B476F1" w14:paraId="62058371" w14:textId="77777777" w:rsidTr="0018388A">
        <w:trPr>
          <w:jc w:val="center"/>
        </w:trPr>
        <w:tc>
          <w:tcPr>
            <w:tcW w:w="0" w:type="auto"/>
          </w:tcPr>
          <w:p w14:paraId="4AF77B75" w14:textId="77777777" w:rsidR="00B476F1" w:rsidRDefault="00000000">
            <w:pPr>
              <w:pStyle w:val="Compact"/>
            </w:pPr>
            <w:r>
              <w:t>2014-Q3</w:t>
            </w:r>
          </w:p>
        </w:tc>
        <w:tc>
          <w:tcPr>
            <w:tcW w:w="0" w:type="auto"/>
          </w:tcPr>
          <w:p w14:paraId="1348122C" w14:textId="77777777" w:rsidR="00B476F1" w:rsidRDefault="00000000">
            <w:pPr>
              <w:pStyle w:val="Compact"/>
              <w:jc w:val="right"/>
            </w:pPr>
            <w:r>
              <w:t>5</w:t>
            </w:r>
          </w:p>
        </w:tc>
        <w:tc>
          <w:tcPr>
            <w:tcW w:w="0" w:type="auto"/>
          </w:tcPr>
          <w:p w14:paraId="4EEDCD38" w14:textId="77777777" w:rsidR="00B476F1" w:rsidRDefault="00000000">
            <w:pPr>
              <w:pStyle w:val="Compact"/>
              <w:jc w:val="right"/>
            </w:pPr>
            <w:r>
              <w:t>9</w:t>
            </w:r>
          </w:p>
        </w:tc>
        <w:tc>
          <w:tcPr>
            <w:tcW w:w="0" w:type="auto"/>
          </w:tcPr>
          <w:p w14:paraId="13E6AFC5" w14:textId="77777777" w:rsidR="00B476F1" w:rsidRDefault="00000000">
            <w:pPr>
              <w:pStyle w:val="Compact"/>
              <w:jc w:val="right"/>
            </w:pPr>
            <w:r>
              <w:t>17</w:t>
            </w:r>
          </w:p>
        </w:tc>
        <w:tc>
          <w:tcPr>
            <w:tcW w:w="0" w:type="auto"/>
          </w:tcPr>
          <w:p w14:paraId="13F1C48D" w14:textId="77777777" w:rsidR="00B476F1" w:rsidRDefault="00000000">
            <w:pPr>
              <w:pStyle w:val="Compact"/>
              <w:jc w:val="right"/>
            </w:pPr>
            <w:r>
              <w:t>3</w:t>
            </w:r>
          </w:p>
        </w:tc>
        <w:tc>
          <w:tcPr>
            <w:tcW w:w="0" w:type="auto"/>
          </w:tcPr>
          <w:p w14:paraId="3D0E209A" w14:textId="77777777" w:rsidR="00B476F1" w:rsidRDefault="00000000">
            <w:pPr>
              <w:pStyle w:val="Compact"/>
              <w:jc w:val="right"/>
            </w:pPr>
            <w:r>
              <w:t>21</w:t>
            </w:r>
          </w:p>
        </w:tc>
      </w:tr>
      <w:tr w:rsidR="00B476F1" w14:paraId="3A329E82" w14:textId="77777777" w:rsidTr="0018388A">
        <w:trPr>
          <w:jc w:val="center"/>
        </w:trPr>
        <w:tc>
          <w:tcPr>
            <w:tcW w:w="0" w:type="auto"/>
          </w:tcPr>
          <w:p w14:paraId="08907B8B" w14:textId="77777777" w:rsidR="00B476F1" w:rsidRDefault="00000000">
            <w:pPr>
              <w:pStyle w:val="Compact"/>
            </w:pPr>
            <w:r>
              <w:t>2014-Q4</w:t>
            </w:r>
          </w:p>
        </w:tc>
        <w:tc>
          <w:tcPr>
            <w:tcW w:w="0" w:type="auto"/>
          </w:tcPr>
          <w:p w14:paraId="29E02FC8" w14:textId="77777777" w:rsidR="00B476F1" w:rsidRDefault="00000000">
            <w:pPr>
              <w:pStyle w:val="Compact"/>
              <w:jc w:val="right"/>
            </w:pPr>
            <w:r>
              <w:t>6</w:t>
            </w:r>
          </w:p>
        </w:tc>
        <w:tc>
          <w:tcPr>
            <w:tcW w:w="0" w:type="auto"/>
          </w:tcPr>
          <w:p w14:paraId="1895CC8C" w14:textId="77777777" w:rsidR="00B476F1" w:rsidRDefault="00000000">
            <w:pPr>
              <w:pStyle w:val="Compact"/>
              <w:jc w:val="right"/>
            </w:pPr>
            <w:r>
              <w:t>26</w:t>
            </w:r>
          </w:p>
        </w:tc>
        <w:tc>
          <w:tcPr>
            <w:tcW w:w="0" w:type="auto"/>
          </w:tcPr>
          <w:p w14:paraId="45D4D5E0" w14:textId="77777777" w:rsidR="00B476F1" w:rsidRDefault="00000000">
            <w:pPr>
              <w:pStyle w:val="Compact"/>
              <w:jc w:val="right"/>
            </w:pPr>
            <w:r>
              <w:t>19</w:t>
            </w:r>
          </w:p>
        </w:tc>
        <w:tc>
          <w:tcPr>
            <w:tcW w:w="0" w:type="auto"/>
          </w:tcPr>
          <w:p w14:paraId="111DC300" w14:textId="77777777" w:rsidR="00B476F1" w:rsidRDefault="00000000">
            <w:pPr>
              <w:pStyle w:val="Compact"/>
              <w:jc w:val="right"/>
            </w:pPr>
            <w:r>
              <w:t>4</w:t>
            </w:r>
          </w:p>
        </w:tc>
        <w:tc>
          <w:tcPr>
            <w:tcW w:w="0" w:type="auto"/>
          </w:tcPr>
          <w:p w14:paraId="3DCE9B8F" w14:textId="77777777" w:rsidR="00B476F1" w:rsidRDefault="00000000">
            <w:pPr>
              <w:pStyle w:val="Compact"/>
              <w:jc w:val="right"/>
            </w:pPr>
            <w:r>
              <w:t>27</w:t>
            </w:r>
          </w:p>
        </w:tc>
      </w:tr>
      <w:tr w:rsidR="00B476F1" w14:paraId="2EED750F" w14:textId="77777777" w:rsidTr="0018388A">
        <w:trPr>
          <w:jc w:val="center"/>
        </w:trPr>
        <w:tc>
          <w:tcPr>
            <w:tcW w:w="0" w:type="auto"/>
          </w:tcPr>
          <w:p w14:paraId="42F7A7BC" w14:textId="77777777" w:rsidR="00B476F1" w:rsidRDefault="00000000">
            <w:pPr>
              <w:pStyle w:val="Compact"/>
            </w:pPr>
            <w:r>
              <w:t>2015-Q1</w:t>
            </w:r>
          </w:p>
        </w:tc>
        <w:tc>
          <w:tcPr>
            <w:tcW w:w="0" w:type="auto"/>
          </w:tcPr>
          <w:p w14:paraId="31EAAE37" w14:textId="77777777" w:rsidR="00B476F1" w:rsidRDefault="00000000">
            <w:pPr>
              <w:pStyle w:val="Compact"/>
              <w:jc w:val="right"/>
            </w:pPr>
            <w:r>
              <w:t>7</w:t>
            </w:r>
          </w:p>
        </w:tc>
        <w:tc>
          <w:tcPr>
            <w:tcW w:w="0" w:type="auto"/>
          </w:tcPr>
          <w:p w14:paraId="132A426F" w14:textId="77777777" w:rsidR="00B476F1" w:rsidRDefault="00000000">
            <w:pPr>
              <w:pStyle w:val="Compact"/>
              <w:jc w:val="right"/>
            </w:pPr>
            <w:r>
              <w:t>27</w:t>
            </w:r>
          </w:p>
        </w:tc>
        <w:tc>
          <w:tcPr>
            <w:tcW w:w="0" w:type="auto"/>
          </w:tcPr>
          <w:p w14:paraId="5743569E" w14:textId="77777777" w:rsidR="00B476F1" w:rsidRDefault="00000000">
            <w:pPr>
              <w:pStyle w:val="Compact"/>
              <w:jc w:val="right"/>
            </w:pPr>
            <w:r>
              <w:t>19</w:t>
            </w:r>
          </w:p>
        </w:tc>
        <w:tc>
          <w:tcPr>
            <w:tcW w:w="0" w:type="auto"/>
          </w:tcPr>
          <w:p w14:paraId="4D5ED160" w14:textId="77777777" w:rsidR="00B476F1" w:rsidRDefault="00000000">
            <w:pPr>
              <w:pStyle w:val="Compact"/>
              <w:jc w:val="right"/>
            </w:pPr>
            <w:r>
              <w:t>4</w:t>
            </w:r>
          </w:p>
        </w:tc>
        <w:tc>
          <w:tcPr>
            <w:tcW w:w="0" w:type="auto"/>
          </w:tcPr>
          <w:p w14:paraId="499331E2" w14:textId="77777777" w:rsidR="00B476F1" w:rsidRDefault="00000000">
            <w:pPr>
              <w:pStyle w:val="Compact"/>
              <w:jc w:val="right"/>
            </w:pPr>
            <w:r>
              <w:t>28</w:t>
            </w:r>
          </w:p>
        </w:tc>
      </w:tr>
      <w:tr w:rsidR="00B476F1" w14:paraId="563DAA5E" w14:textId="77777777" w:rsidTr="0018388A">
        <w:trPr>
          <w:jc w:val="center"/>
        </w:trPr>
        <w:tc>
          <w:tcPr>
            <w:tcW w:w="0" w:type="auto"/>
          </w:tcPr>
          <w:p w14:paraId="66B07EA3" w14:textId="77777777" w:rsidR="00B476F1" w:rsidRDefault="00000000">
            <w:pPr>
              <w:pStyle w:val="Compact"/>
            </w:pPr>
            <w:r>
              <w:t>2015-Q2</w:t>
            </w:r>
          </w:p>
        </w:tc>
        <w:tc>
          <w:tcPr>
            <w:tcW w:w="0" w:type="auto"/>
          </w:tcPr>
          <w:p w14:paraId="1BF72A47" w14:textId="77777777" w:rsidR="00B476F1" w:rsidRDefault="00000000">
            <w:pPr>
              <w:pStyle w:val="Compact"/>
              <w:jc w:val="right"/>
            </w:pPr>
            <w:r>
              <w:t>8</w:t>
            </w:r>
          </w:p>
        </w:tc>
        <w:tc>
          <w:tcPr>
            <w:tcW w:w="0" w:type="auto"/>
          </w:tcPr>
          <w:p w14:paraId="741DB151" w14:textId="77777777" w:rsidR="00B476F1" w:rsidRDefault="00000000">
            <w:pPr>
              <w:pStyle w:val="Compact"/>
              <w:jc w:val="right"/>
            </w:pPr>
            <w:r>
              <w:t>27</w:t>
            </w:r>
          </w:p>
        </w:tc>
        <w:tc>
          <w:tcPr>
            <w:tcW w:w="0" w:type="auto"/>
          </w:tcPr>
          <w:p w14:paraId="3228743A" w14:textId="77777777" w:rsidR="00B476F1" w:rsidRDefault="00000000">
            <w:pPr>
              <w:pStyle w:val="Compact"/>
              <w:jc w:val="right"/>
            </w:pPr>
            <w:r>
              <w:t>19</w:t>
            </w:r>
          </w:p>
        </w:tc>
        <w:tc>
          <w:tcPr>
            <w:tcW w:w="0" w:type="auto"/>
          </w:tcPr>
          <w:p w14:paraId="54FF9C07" w14:textId="77777777" w:rsidR="00B476F1" w:rsidRDefault="00000000">
            <w:pPr>
              <w:pStyle w:val="Compact"/>
              <w:jc w:val="right"/>
            </w:pPr>
            <w:r>
              <w:t>4</w:t>
            </w:r>
          </w:p>
        </w:tc>
        <w:tc>
          <w:tcPr>
            <w:tcW w:w="0" w:type="auto"/>
          </w:tcPr>
          <w:p w14:paraId="6D1192E7" w14:textId="77777777" w:rsidR="00B476F1" w:rsidRDefault="00000000">
            <w:pPr>
              <w:pStyle w:val="Compact"/>
              <w:jc w:val="right"/>
            </w:pPr>
            <w:r>
              <w:t>28</w:t>
            </w:r>
          </w:p>
        </w:tc>
      </w:tr>
      <w:tr w:rsidR="00B476F1" w14:paraId="414B8CCC" w14:textId="77777777" w:rsidTr="0018388A">
        <w:trPr>
          <w:jc w:val="center"/>
        </w:trPr>
        <w:tc>
          <w:tcPr>
            <w:tcW w:w="0" w:type="auto"/>
          </w:tcPr>
          <w:p w14:paraId="16BDBB22" w14:textId="77777777" w:rsidR="00B476F1" w:rsidRDefault="00000000">
            <w:pPr>
              <w:pStyle w:val="Compact"/>
            </w:pPr>
            <w:r>
              <w:t>2015-Q3</w:t>
            </w:r>
          </w:p>
        </w:tc>
        <w:tc>
          <w:tcPr>
            <w:tcW w:w="0" w:type="auto"/>
          </w:tcPr>
          <w:p w14:paraId="07C0B8CF" w14:textId="77777777" w:rsidR="00B476F1" w:rsidRDefault="00000000">
            <w:pPr>
              <w:pStyle w:val="Compact"/>
              <w:jc w:val="right"/>
            </w:pPr>
            <w:r>
              <w:t>9</w:t>
            </w:r>
          </w:p>
        </w:tc>
        <w:tc>
          <w:tcPr>
            <w:tcW w:w="0" w:type="auto"/>
          </w:tcPr>
          <w:p w14:paraId="077E8C2F" w14:textId="77777777" w:rsidR="00B476F1" w:rsidRDefault="00000000">
            <w:pPr>
              <w:pStyle w:val="Compact"/>
              <w:jc w:val="right"/>
            </w:pPr>
            <w:r>
              <w:t>27</w:t>
            </w:r>
          </w:p>
        </w:tc>
        <w:tc>
          <w:tcPr>
            <w:tcW w:w="0" w:type="auto"/>
          </w:tcPr>
          <w:p w14:paraId="1CD49648" w14:textId="77777777" w:rsidR="00B476F1" w:rsidRDefault="00000000">
            <w:pPr>
              <w:pStyle w:val="Compact"/>
              <w:jc w:val="right"/>
            </w:pPr>
            <w:r>
              <w:t>20</w:t>
            </w:r>
          </w:p>
        </w:tc>
        <w:tc>
          <w:tcPr>
            <w:tcW w:w="0" w:type="auto"/>
          </w:tcPr>
          <w:p w14:paraId="22960C45" w14:textId="77777777" w:rsidR="00B476F1" w:rsidRDefault="00000000">
            <w:pPr>
              <w:pStyle w:val="Compact"/>
              <w:jc w:val="right"/>
            </w:pPr>
            <w:r>
              <w:t>4</w:t>
            </w:r>
          </w:p>
        </w:tc>
        <w:tc>
          <w:tcPr>
            <w:tcW w:w="0" w:type="auto"/>
          </w:tcPr>
          <w:p w14:paraId="71616ACF" w14:textId="77777777" w:rsidR="00B476F1" w:rsidRDefault="00000000">
            <w:pPr>
              <w:pStyle w:val="Compact"/>
              <w:jc w:val="right"/>
            </w:pPr>
            <w:r>
              <w:t>28</w:t>
            </w:r>
          </w:p>
        </w:tc>
      </w:tr>
      <w:tr w:rsidR="00B476F1" w14:paraId="4DEB5458" w14:textId="77777777" w:rsidTr="0018388A">
        <w:trPr>
          <w:jc w:val="center"/>
        </w:trPr>
        <w:tc>
          <w:tcPr>
            <w:tcW w:w="0" w:type="auto"/>
          </w:tcPr>
          <w:p w14:paraId="0A6542DB" w14:textId="77777777" w:rsidR="00B476F1" w:rsidRDefault="00000000">
            <w:pPr>
              <w:pStyle w:val="Compact"/>
            </w:pPr>
            <w:r>
              <w:t>2015-Q4</w:t>
            </w:r>
          </w:p>
        </w:tc>
        <w:tc>
          <w:tcPr>
            <w:tcW w:w="0" w:type="auto"/>
          </w:tcPr>
          <w:p w14:paraId="69C28FBE" w14:textId="77777777" w:rsidR="00B476F1" w:rsidRDefault="00000000">
            <w:pPr>
              <w:pStyle w:val="Compact"/>
              <w:jc w:val="right"/>
            </w:pPr>
            <w:r>
              <w:t>10</w:t>
            </w:r>
          </w:p>
        </w:tc>
        <w:tc>
          <w:tcPr>
            <w:tcW w:w="0" w:type="auto"/>
          </w:tcPr>
          <w:p w14:paraId="68115119" w14:textId="77777777" w:rsidR="00B476F1" w:rsidRDefault="00000000">
            <w:pPr>
              <w:pStyle w:val="Compact"/>
              <w:jc w:val="right"/>
            </w:pPr>
            <w:r>
              <w:t>27</w:t>
            </w:r>
          </w:p>
        </w:tc>
        <w:tc>
          <w:tcPr>
            <w:tcW w:w="0" w:type="auto"/>
          </w:tcPr>
          <w:p w14:paraId="7B612D8E" w14:textId="77777777" w:rsidR="00B476F1" w:rsidRDefault="00000000">
            <w:pPr>
              <w:pStyle w:val="Compact"/>
              <w:jc w:val="right"/>
            </w:pPr>
            <w:r>
              <w:t>20</w:t>
            </w:r>
          </w:p>
        </w:tc>
        <w:tc>
          <w:tcPr>
            <w:tcW w:w="0" w:type="auto"/>
          </w:tcPr>
          <w:p w14:paraId="5A1D9BFE" w14:textId="77777777" w:rsidR="00B476F1" w:rsidRDefault="00000000">
            <w:pPr>
              <w:pStyle w:val="Compact"/>
              <w:jc w:val="right"/>
            </w:pPr>
            <w:r>
              <w:t>6</w:t>
            </w:r>
          </w:p>
        </w:tc>
        <w:tc>
          <w:tcPr>
            <w:tcW w:w="0" w:type="auto"/>
          </w:tcPr>
          <w:p w14:paraId="3CF63F68" w14:textId="77777777" w:rsidR="00B476F1" w:rsidRDefault="00000000">
            <w:pPr>
              <w:pStyle w:val="Compact"/>
              <w:jc w:val="right"/>
            </w:pPr>
            <w:r>
              <w:t>28</w:t>
            </w:r>
          </w:p>
        </w:tc>
      </w:tr>
      <w:tr w:rsidR="00B476F1" w14:paraId="61A58EAE" w14:textId="77777777" w:rsidTr="0018388A">
        <w:trPr>
          <w:jc w:val="center"/>
        </w:trPr>
        <w:tc>
          <w:tcPr>
            <w:tcW w:w="0" w:type="auto"/>
          </w:tcPr>
          <w:p w14:paraId="580F8C75" w14:textId="77777777" w:rsidR="00B476F1" w:rsidRDefault="00000000">
            <w:pPr>
              <w:pStyle w:val="Compact"/>
            </w:pPr>
            <w:r>
              <w:t>2016-Q1</w:t>
            </w:r>
          </w:p>
        </w:tc>
        <w:tc>
          <w:tcPr>
            <w:tcW w:w="0" w:type="auto"/>
          </w:tcPr>
          <w:p w14:paraId="678C5232" w14:textId="77777777" w:rsidR="00B476F1" w:rsidRDefault="00000000">
            <w:pPr>
              <w:pStyle w:val="Compact"/>
              <w:jc w:val="right"/>
            </w:pPr>
            <w:r>
              <w:t>11</w:t>
            </w:r>
          </w:p>
        </w:tc>
        <w:tc>
          <w:tcPr>
            <w:tcW w:w="0" w:type="auto"/>
          </w:tcPr>
          <w:p w14:paraId="0D3A455F" w14:textId="77777777" w:rsidR="00B476F1" w:rsidRDefault="00000000">
            <w:pPr>
              <w:pStyle w:val="Compact"/>
              <w:jc w:val="right"/>
            </w:pPr>
            <w:r>
              <w:t>30</w:t>
            </w:r>
          </w:p>
        </w:tc>
        <w:tc>
          <w:tcPr>
            <w:tcW w:w="0" w:type="auto"/>
          </w:tcPr>
          <w:p w14:paraId="0F8414FF" w14:textId="77777777" w:rsidR="00B476F1" w:rsidRDefault="00000000">
            <w:pPr>
              <w:pStyle w:val="Compact"/>
              <w:jc w:val="right"/>
            </w:pPr>
            <w:r>
              <w:t>21</w:t>
            </w:r>
          </w:p>
        </w:tc>
        <w:tc>
          <w:tcPr>
            <w:tcW w:w="0" w:type="auto"/>
          </w:tcPr>
          <w:p w14:paraId="5926390D" w14:textId="77777777" w:rsidR="00B476F1" w:rsidRDefault="00000000">
            <w:pPr>
              <w:pStyle w:val="Compact"/>
              <w:jc w:val="right"/>
            </w:pPr>
            <w:r>
              <w:t>6</w:t>
            </w:r>
          </w:p>
        </w:tc>
        <w:tc>
          <w:tcPr>
            <w:tcW w:w="0" w:type="auto"/>
          </w:tcPr>
          <w:p w14:paraId="2A678D54" w14:textId="77777777" w:rsidR="00B476F1" w:rsidRDefault="00000000">
            <w:pPr>
              <w:pStyle w:val="Compact"/>
              <w:jc w:val="right"/>
            </w:pPr>
            <w:r>
              <w:t>28</w:t>
            </w:r>
          </w:p>
        </w:tc>
      </w:tr>
      <w:tr w:rsidR="00B476F1" w14:paraId="48C41849" w14:textId="77777777" w:rsidTr="0018388A">
        <w:trPr>
          <w:jc w:val="center"/>
        </w:trPr>
        <w:tc>
          <w:tcPr>
            <w:tcW w:w="0" w:type="auto"/>
          </w:tcPr>
          <w:p w14:paraId="275F87C6" w14:textId="77777777" w:rsidR="00B476F1" w:rsidRDefault="00000000">
            <w:pPr>
              <w:pStyle w:val="Compact"/>
            </w:pPr>
            <w:r>
              <w:t>2016-Q2</w:t>
            </w:r>
          </w:p>
        </w:tc>
        <w:tc>
          <w:tcPr>
            <w:tcW w:w="0" w:type="auto"/>
          </w:tcPr>
          <w:p w14:paraId="16E87340" w14:textId="77777777" w:rsidR="00B476F1" w:rsidRDefault="00000000">
            <w:pPr>
              <w:pStyle w:val="Compact"/>
              <w:jc w:val="right"/>
            </w:pPr>
            <w:r>
              <w:t>12</w:t>
            </w:r>
          </w:p>
        </w:tc>
        <w:tc>
          <w:tcPr>
            <w:tcW w:w="0" w:type="auto"/>
          </w:tcPr>
          <w:p w14:paraId="6E9A1A31" w14:textId="77777777" w:rsidR="00B476F1" w:rsidRDefault="00000000">
            <w:pPr>
              <w:pStyle w:val="Compact"/>
              <w:jc w:val="right"/>
            </w:pPr>
            <w:r>
              <w:t>34</w:t>
            </w:r>
          </w:p>
        </w:tc>
        <w:tc>
          <w:tcPr>
            <w:tcW w:w="0" w:type="auto"/>
          </w:tcPr>
          <w:p w14:paraId="28EBAFA1" w14:textId="77777777" w:rsidR="00B476F1" w:rsidRDefault="00000000">
            <w:pPr>
              <w:pStyle w:val="Compact"/>
              <w:jc w:val="right"/>
            </w:pPr>
            <w:r>
              <w:t>21</w:t>
            </w:r>
          </w:p>
        </w:tc>
        <w:tc>
          <w:tcPr>
            <w:tcW w:w="0" w:type="auto"/>
          </w:tcPr>
          <w:p w14:paraId="74BD87A1" w14:textId="77777777" w:rsidR="00B476F1" w:rsidRDefault="00000000">
            <w:pPr>
              <w:pStyle w:val="Compact"/>
              <w:jc w:val="right"/>
            </w:pPr>
            <w:r>
              <w:t>6</w:t>
            </w:r>
          </w:p>
        </w:tc>
        <w:tc>
          <w:tcPr>
            <w:tcW w:w="0" w:type="auto"/>
          </w:tcPr>
          <w:p w14:paraId="26092B05" w14:textId="77777777" w:rsidR="00B476F1" w:rsidRDefault="00000000">
            <w:pPr>
              <w:pStyle w:val="Compact"/>
              <w:jc w:val="right"/>
            </w:pPr>
            <w:r>
              <w:t>28</w:t>
            </w:r>
          </w:p>
        </w:tc>
      </w:tr>
      <w:tr w:rsidR="00B476F1" w14:paraId="71169C25" w14:textId="77777777" w:rsidTr="0018388A">
        <w:trPr>
          <w:jc w:val="center"/>
        </w:trPr>
        <w:tc>
          <w:tcPr>
            <w:tcW w:w="0" w:type="auto"/>
          </w:tcPr>
          <w:p w14:paraId="25E48E93" w14:textId="77777777" w:rsidR="00B476F1" w:rsidRDefault="00000000">
            <w:pPr>
              <w:pStyle w:val="Compact"/>
            </w:pPr>
            <w:r>
              <w:t>2016-Q3</w:t>
            </w:r>
          </w:p>
        </w:tc>
        <w:tc>
          <w:tcPr>
            <w:tcW w:w="0" w:type="auto"/>
          </w:tcPr>
          <w:p w14:paraId="4C3E6003" w14:textId="77777777" w:rsidR="00B476F1" w:rsidRDefault="00000000">
            <w:pPr>
              <w:pStyle w:val="Compact"/>
              <w:jc w:val="right"/>
            </w:pPr>
            <w:r>
              <w:t>13</w:t>
            </w:r>
          </w:p>
        </w:tc>
        <w:tc>
          <w:tcPr>
            <w:tcW w:w="0" w:type="auto"/>
          </w:tcPr>
          <w:p w14:paraId="0FF63F4A" w14:textId="77777777" w:rsidR="00B476F1" w:rsidRDefault="00000000">
            <w:pPr>
              <w:pStyle w:val="Compact"/>
              <w:jc w:val="right"/>
            </w:pPr>
            <w:r>
              <w:t>34</w:t>
            </w:r>
          </w:p>
        </w:tc>
        <w:tc>
          <w:tcPr>
            <w:tcW w:w="0" w:type="auto"/>
          </w:tcPr>
          <w:p w14:paraId="74E6B872" w14:textId="77777777" w:rsidR="00B476F1" w:rsidRDefault="00000000">
            <w:pPr>
              <w:pStyle w:val="Compact"/>
              <w:jc w:val="right"/>
            </w:pPr>
            <w:r>
              <w:t>21</w:t>
            </w:r>
          </w:p>
        </w:tc>
        <w:tc>
          <w:tcPr>
            <w:tcW w:w="0" w:type="auto"/>
          </w:tcPr>
          <w:p w14:paraId="523EE0F4" w14:textId="77777777" w:rsidR="00B476F1" w:rsidRDefault="00000000">
            <w:pPr>
              <w:pStyle w:val="Compact"/>
              <w:jc w:val="right"/>
            </w:pPr>
            <w:r>
              <w:t>7</w:t>
            </w:r>
          </w:p>
        </w:tc>
        <w:tc>
          <w:tcPr>
            <w:tcW w:w="0" w:type="auto"/>
          </w:tcPr>
          <w:p w14:paraId="5148CE13" w14:textId="77777777" w:rsidR="00B476F1" w:rsidRDefault="00000000">
            <w:pPr>
              <w:pStyle w:val="Compact"/>
              <w:jc w:val="right"/>
            </w:pPr>
            <w:r>
              <w:t>33</w:t>
            </w:r>
          </w:p>
        </w:tc>
      </w:tr>
      <w:tr w:rsidR="00B476F1" w14:paraId="1B43FCBA" w14:textId="77777777" w:rsidTr="0018388A">
        <w:trPr>
          <w:jc w:val="center"/>
        </w:trPr>
        <w:tc>
          <w:tcPr>
            <w:tcW w:w="0" w:type="auto"/>
          </w:tcPr>
          <w:p w14:paraId="0B713134" w14:textId="77777777" w:rsidR="00B476F1" w:rsidRDefault="00000000">
            <w:pPr>
              <w:pStyle w:val="Compact"/>
            </w:pPr>
            <w:r>
              <w:t>2016-Q4</w:t>
            </w:r>
          </w:p>
        </w:tc>
        <w:tc>
          <w:tcPr>
            <w:tcW w:w="0" w:type="auto"/>
          </w:tcPr>
          <w:p w14:paraId="107951D0" w14:textId="77777777" w:rsidR="00B476F1" w:rsidRDefault="00000000">
            <w:pPr>
              <w:pStyle w:val="Compact"/>
              <w:jc w:val="right"/>
            </w:pPr>
            <w:r>
              <w:t>14</w:t>
            </w:r>
          </w:p>
        </w:tc>
        <w:tc>
          <w:tcPr>
            <w:tcW w:w="0" w:type="auto"/>
          </w:tcPr>
          <w:p w14:paraId="19445BB3" w14:textId="77777777" w:rsidR="00B476F1" w:rsidRDefault="00000000">
            <w:pPr>
              <w:pStyle w:val="Compact"/>
              <w:jc w:val="right"/>
            </w:pPr>
            <w:r>
              <w:t>36</w:t>
            </w:r>
          </w:p>
        </w:tc>
        <w:tc>
          <w:tcPr>
            <w:tcW w:w="0" w:type="auto"/>
          </w:tcPr>
          <w:p w14:paraId="6E7EB246" w14:textId="77777777" w:rsidR="00B476F1" w:rsidRDefault="00000000">
            <w:pPr>
              <w:pStyle w:val="Compact"/>
              <w:jc w:val="right"/>
            </w:pPr>
            <w:r>
              <w:t>23</w:t>
            </w:r>
          </w:p>
        </w:tc>
        <w:tc>
          <w:tcPr>
            <w:tcW w:w="0" w:type="auto"/>
          </w:tcPr>
          <w:p w14:paraId="0D8A15E1" w14:textId="77777777" w:rsidR="00B476F1" w:rsidRDefault="00000000">
            <w:pPr>
              <w:pStyle w:val="Compact"/>
              <w:jc w:val="right"/>
            </w:pPr>
            <w:r>
              <w:t>7</w:t>
            </w:r>
          </w:p>
        </w:tc>
        <w:tc>
          <w:tcPr>
            <w:tcW w:w="0" w:type="auto"/>
          </w:tcPr>
          <w:p w14:paraId="05760254" w14:textId="77777777" w:rsidR="00B476F1" w:rsidRDefault="00000000">
            <w:pPr>
              <w:pStyle w:val="Compact"/>
              <w:jc w:val="right"/>
            </w:pPr>
            <w:r>
              <w:t>33</w:t>
            </w:r>
          </w:p>
        </w:tc>
      </w:tr>
      <w:tr w:rsidR="00B476F1" w14:paraId="2C5C317C" w14:textId="77777777" w:rsidTr="0018388A">
        <w:trPr>
          <w:jc w:val="center"/>
        </w:trPr>
        <w:tc>
          <w:tcPr>
            <w:tcW w:w="0" w:type="auto"/>
          </w:tcPr>
          <w:p w14:paraId="1A43257E" w14:textId="77777777" w:rsidR="00B476F1" w:rsidRDefault="00000000">
            <w:pPr>
              <w:pStyle w:val="Compact"/>
            </w:pPr>
            <w:r>
              <w:t>2017-Q1</w:t>
            </w:r>
          </w:p>
        </w:tc>
        <w:tc>
          <w:tcPr>
            <w:tcW w:w="0" w:type="auto"/>
          </w:tcPr>
          <w:p w14:paraId="1D0215E9" w14:textId="77777777" w:rsidR="00B476F1" w:rsidRDefault="00000000">
            <w:pPr>
              <w:pStyle w:val="Compact"/>
              <w:jc w:val="right"/>
            </w:pPr>
            <w:r>
              <w:t>15</w:t>
            </w:r>
          </w:p>
        </w:tc>
        <w:tc>
          <w:tcPr>
            <w:tcW w:w="0" w:type="auto"/>
          </w:tcPr>
          <w:p w14:paraId="740F5BE4" w14:textId="77777777" w:rsidR="00B476F1" w:rsidRDefault="00000000">
            <w:pPr>
              <w:pStyle w:val="Compact"/>
              <w:jc w:val="right"/>
            </w:pPr>
            <w:r>
              <w:t>45</w:t>
            </w:r>
          </w:p>
        </w:tc>
        <w:tc>
          <w:tcPr>
            <w:tcW w:w="0" w:type="auto"/>
          </w:tcPr>
          <w:p w14:paraId="0C452847" w14:textId="77777777" w:rsidR="00B476F1" w:rsidRDefault="00000000">
            <w:pPr>
              <w:pStyle w:val="Compact"/>
              <w:jc w:val="right"/>
            </w:pPr>
            <w:r>
              <w:t>23</w:t>
            </w:r>
          </w:p>
        </w:tc>
        <w:tc>
          <w:tcPr>
            <w:tcW w:w="0" w:type="auto"/>
          </w:tcPr>
          <w:p w14:paraId="5426D561" w14:textId="77777777" w:rsidR="00B476F1" w:rsidRDefault="00000000">
            <w:pPr>
              <w:pStyle w:val="Compact"/>
              <w:jc w:val="right"/>
            </w:pPr>
            <w:r>
              <w:t>8</w:t>
            </w:r>
          </w:p>
        </w:tc>
        <w:tc>
          <w:tcPr>
            <w:tcW w:w="0" w:type="auto"/>
          </w:tcPr>
          <w:p w14:paraId="70D4BCCE" w14:textId="77777777" w:rsidR="00B476F1" w:rsidRDefault="00000000">
            <w:pPr>
              <w:pStyle w:val="Compact"/>
              <w:jc w:val="right"/>
            </w:pPr>
            <w:r>
              <w:t>34</w:t>
            </w:r>
          </w:p>
        </w:tc>
      </w:tr>
      <w:tr w:rsidR="00B476F1" w14:paraId="4020AE3B" w14:textId="77777777" w:rsidTr="0018388A">
        <w:trPr>
          <w:jc w:val="center"/>
        </w:trPr>
        <w:tc>
          <w:tcPr>
            <w:tcW w:w="0" w:type="auto"/>
          </w:tcPr>
          <w:p w14:paraId="67E32541" w14:textId="77777777" w:rsidR="00B476F1" w:rsidRDefault="00000000">
            <w:pPr>
              <w:pStyle w:val="Compact"/>
            </w:pPr>
            <w:r>
              <w:t>2017-Q2</w:t>
            </w:r>
          </w:p>
        </w:tc>
        <w:tc>
          <w:tcPr>
            <w:tcW w:w="0" w:type="auto"/>
          </w:tcPr>
          <w:p w14:paraId="10192C32" w14:textId="77777777" w:rsidR="00B476F1" w:rsidRDefault="00000000">
            <w:pPr>
              <w:pStyle w:val="Compact"/>
              <w:jc w:val="right"/>
            </w:pPr>
            <w:r>
              <w:t>16</w:t>
            </w:r>
          </w:p>
        </w:tc>
        <w:tc>
          <w:tcPr>
            <w:tcW w:w="0" w:type="auto"/>
          </w:tcPr>
          <w:p w14:paraId="30C13E20" w14:textId="77777777" w:rsidR="00B476F1" w:rsidRDefault="00000000">
            <w:pPr>
              <w:pStyle w:val="Compact"/>
              <w:jc w:val="right"/>
            </w:pPr>
            <w:r>
              <w:t>58</w:t>
            </w:r>
          </w:p>
        </w:tc>
        <w:tc>
          <w:tcPr>
            <w:tcW w:w="0" w:type="auto"/>
          </w:tcPr>
          <w:p w14:paraId="007921CD" w14:textId="77777777" w:rsidR="00B476F1" w:rsidRDefault="00000000">
            <w:pPr>
              <w:pStyle w:val="Compact"/>
              <w:jc w:val="right"/>
            </w:pPr>
            <w:r>
              <w:t>24</w:t>
            </w:r>
          </w:p>
        </w:tc>
        <w:tc>
          <w:tcPr>
            <w:tcW w:w="0" w:type="auto"/>
          </w:tcPr>
          <w:p w14:paraId="42127696" w14:textId="77777777" w:rsidR="00B476F1" w:rsidRDefault="00000000">
            <w:pPr>
              <w:pStyle w:val="Compact"/>
              <w:jc w:val="right"/>
            </w:pPr>
            <w:r>
              <w:t>8</w:t>
            </w:r>
          </w:p>
        </w:tc>
        <w:tc>
          <w:tcPr>
            <w:tcW w:w="0" w:type="auto"/>
          </w:tcPr>
          <w:p w14:paraId="595C2C69" w14:textId="77777777" w:rsidR="00B476F1" w:rsidRDefault="00000000">
            <w:pPr>
              <w:pStyle w:val="Compact"/>
              <w:jc w:val="right"/>
            </w:pPr>
            <w:r>
              <w:t>37</w:t>
            </w:r>
          </w:p>
        </w:tc>
      </w:tr>
      <w:tr w:rsidR="00B476F1" w14:paraId="110AE35E" w14:textId="77777777" w:rsidTr="0018388A">
        <w:trPr>
          <w:jc w:val="center"/>
        </w:trPr>
        <w:tc>
          <w:tcPr>
            <w:tcW w:w="0" w:type="auto"/>
          </w:tcPr>
          <w:p w14:paraId="40C8F177" w14:textId="77777777" w:rsidR="00B476F1" w:rsidRDefault="00000000">
            <w:pPr>
              <w:pStyle w:val="Compact"/>
            </w:pPr>
            <w:r>
              <w:t>2017-Q3</w:t>
            </w:r>
          </w:p>
        </w:tc>
        <w:tc>
          <w:tcPr>
            <w:tcW w:w="0" w:type="auto"/>
          </w:tcPr>
          <w:p w14:paraId="77E42883" w14:textId="77777777" w:rsidR="00B476F1" w:rsidRDefault="00000000">
            <w:pPr>
              <w:pStyle w:val="Compact"/>
              <w:jc w:val="right"/>
            </w:pPr>
            <w:r>
              <w:t>17</w:t>
            </w:r>
          </w:p>
        </w:tc>
        <w:tc>
          <w:tcPr>
            <w:tcW w:w="0" w:type="auto"/>
          </w:tcPr>
          <w:p w14:paraId="06F311F8" w14:textId="77777777" w:rsidR="00B476F1" w:rsidRDefault="00000000">
            <w:pPr>
              <w:pStyle w:val="Compact"/>
              <w:jc w:val="right"/>
            </w:pPr>
            <w:r>
              <w:t>68</w:t>
            </w:r>
          </w:p>
        </w:tc>
        <w:tc>
          <w:tcPr>
            <w:tcW w:w="0" w:type="auto"/>
          </w:tcPr>
          <w:p w14:paraId="36050B9F" w14:textId="77777777" w:rsidR="00B476F1" w:rsidRDefault="00000000">
            <w:pPr>
              <w:pStyle w:val="Compact"/>
              <w:jc w:val="right"/>
            </w:pPr>
            <w:r>
              <w:t>24</w:t>
            </w:r>
          </w:p>
        </w:tc>
        <w:tc>
          <w:tcPr>
            <w:tcW w:w="0" w:type="auto"/>
          </w:tcPr>
          <w:p w14:paraId="7A9B92E6" w14:textId="77777777" w:rsidR="00B476F1" w:rsidRDefault="00000000">
            <w:pPr>
              <w:pStyle w:val="Compact"/>
              <w:jc w:val="right"/>
            </w:pPr>
            <w:r>
              <w:t>8</w:t>
            </w:r>
          </w:p>
        </w:tc>
        <w:tc>
          <w:tcPr>
            <w:tcW w:w="0" w:type="auto"/>
          </w:tcPr>
          <w:p w14:paraId="3D5F6DFA" w14:textId="77777777" w:rsidR="00B476F1" w:rsidRDefault="00000000">
            <w:pPr>
              <w:pStyle w:val="Compact"/>
              <w:jc w:val="right"/>
            </w:pPr>
            <w:r>
              <w:t>38</w:t>
            </w:r>
          </w:p>
        </w:tc>
      </w:tr>
      <w:tr w:rsidR="00B476F1" w14:paraId="624BC1BA" w14:textId="77777777" w:rsidTr="0018388A">
        <w:trPr>
          <w:jc w:val="center"/>
        </w:trPr>
        <w:tc>
          <w:tcPr>
            <w:tcW w:w="0" w:type="auto"/>
          </w:tcPr>
          <w:p w14:paraId="69C154ED" w14:textId="77777777" w:rsidR="00B476F1" w:rsidRDefault="00000000">
            <w:pPr>
              <w:pStyle w:val="Compact"/>
            </w:pPr>
            <w:r>
              <w:t>2017-Q4</w:t>
            </w:r>
          </w:p>
        </w:tc>
        <w:tc>
          <w:tcPr>
            <w:tcW w:w="0" w:type="auto"/>
          </w:tcPr>
          <w:p w14:paraId="38E408C0" w14:textId="77777777" w:rsidR="00B476F1" w:rsidRDefault="00000000">
            <w:pPr>
              <w:pStyle w:val="Compact"/>
              <w:jc w:val="right"/>
            </w:pPr>
            <w:r>
              <w:t>18</w:t>
            </w:r>
          </w:p>
        </w:tc>
        <w:tc>
          <w:tcPr>
            <w:tcW w:w="0" w:type="auto"/>
          </w:tcPr>
          <w:p w14:paraId="1F3082DF" w14:textId="77777777" w:rsidR="00B476F1" w:rsidRDefault="00000000">
            <w:pPr>
              <w:pStyle w:val="Compact"/>
              <w:jc w:val="right"/>
            </w:pPr>
            <w:r>
              <w:t>77</w:t>
            </w:r>
          </w:p>
        </w:tc>
        <w:tc>
          <w:tcPr>
            <w:tcW w:w="0" w:type="auto"/>
          </w:tcPr>
          <w:p w14:paraId="231965AD" w14:textId="77777777" w:rsidR="00B476F1" w:rsidRDefault="00000000">
            <w:pPr>
              <w:pStyle w:val="Compact"/>
              <w:jc w:val="right"/>
            </w:pPr>
            <w:r>
              <w:t>25</w:t>
            </w:r>
          </w:p>
        </w:tc>
        <w:tc>
          <w:tcPr>
            <w:tcW w:w="0" w:type="auto"/>
          </w:tcPr>
          <w:p w14:paraId="205E6E53" w14:textId="77777777" w:rsidR="00B476F1" w:rsidRDefault="00000000">
            <w:pPr>
              <w:pStyle w:val="Compact"/>
              <w:jc w:val="right"/>
            </w:pPr>
            <w:r>
              <w:t>8</w:t>
            </w:r>
          </w:p>
        </w:tc>
        <w:tc>
          <w:tcPr>
            <w:tcW w:w="0" w:type="auto"/>
          </w:tcPr>
          <w:p w14:paraId="61BB1CC6" w14:textId="77777777" w:rsidR="00B476F1" w:rsidRDefault="00000000">
            <w:pPr>
              <w:pStyle w:val="Compact"/>
              <w:jc w:val="right"/>
            </w:pPr>
            <w:r>
              <w:t>38</w:t>
            </w:r>
          </w:p>
        </w:tc>
      </w:tr>
    </w:tbl>
    <w:p w14:paraId="0F53E8B2" w14:textId="77777777" w:rsidR="00B476F1" w:rsidRDefault="00000000">
      <w:pPr>
        <w:pStyle w:val="BodyText"/>
      </w:pPr>
      <w:r>
        <w:t xml:space="preserve">While not the values used for determining significance, Figure 2 demonstrates the statistics, termed here as “reporting ratio statistics”, over the follow-up period that are most likely the familiar signal detection estimates to the reader. The specific comparison seen is for pelvic mesh (target) vs hernia mesh (comparator) for four different </w:t>
      </w:r>
      <m:oMath>
        <m:sSub>
          <m:sSubPr>
            <m:ctrlPr>
              <w:rPr>
                <w:rFonts w:ascii="Cambria Math" w:hAnsi="Cambria Math"/>
              </w:rPr>
            </m:ctrlPr>
          </m:sSubPr>
          <m:e>
            <m:r>
              <w:rPr>
                <w:rFonts w:ascii="Cambria Math" w:hAnsi="Cambria Math"/>
              </w:rPr>
              <m:t>p</m:t>
            </m:r>
          </m:e>
          <m:sub>
            <m:r>
              <w:rPr>
                <w:rFonts w:ascii="Cambria Math" w:hAnsi="Cambria Math"/>
              </w:rPr>
              <m:t>t</m:t>
            </m:r>
          </m:sub>
        </m:sSub>
      </m:oMath>
      <w:r>
        <w:t xml:space="preserve"> thresholds. The RR estimates for maxSPRT and PRR methods are of course identical, the methods differ in using the LRT and Wald tests respectively. The IC statistic is not directly comparable to RR, it does share similarities in that values above the null value of 0 (on the log2 scale) represent disproportionate reporting rate in the cohort of interest. Plotted however is </w:t>
      </w:r>
      <m:oMath>
        <m:sSup>
          <m:sSupPr>
            <m:ctrlPr>
              <w:rPr>
                <w:rFonts w:ascii="Cambria Math" w:hAnsi="Cambria Math"/>
              </w:rPr>
            </m:ctrlPr>
          </m:sSupPr>
          <m:e>
            <m:r>
              <w:rPr>
                <w:rFonts w:ascii="Cambria Math" w:hAnsi="Cambria Math"/>
              </w:rPr>
              <m:t>2</m:t>
            </m:r>
          </m:e>
          <m:sup>
            <m:r>
              <w:rPr>
                <w:rFonts w:ascii="Cambria Math" w:hAnsi="Cambria Math"/>
              </w:rPr>
              <m:t>I</m:t>
            </m:r>
          </m:sup>
        </m:sSup>
        <m:r>
          <w:rPr>
            <w:rFonts w:ascii="Cambria Math" w:hAnsi="Cambria Math"/>
          </w:rPr>
          <m:t>C</m:t>
        </m:r>
      </m:oMath>
      <w:r>
        <w:t xml:space="preserve"> as this is a ratio-scale statistic that can be more easily compared to a RR. Note these reporting ratio statistics are not affected by multiple comparison adjustment.</w:t>
      </w:r>
    </w:p>
    <w:p w14:paraId="2112AC43" w14:textId="77777777" w:rsidR="00B476F1" w:rsidRDefault="00000000">
      <w:pPr>
        <w:pStyle w:val="BodyText"/>
      </w:pPr>
      <w:r>
        <w:t>Vertical lines are when H0 is rejected for the various methods which don’t necessarily coincide with the largest reporting ratio estimate but with the testing procedure used.  Significance was reached at the same time for all methods (last quarter of 2014), except for the PRR method at the 0.08 threshold which was a delayed an additional quarter. The jumps in the reporting ratios were larger for larger thresholds, however it should be noted higher thresholds stopped reporting ratios being estimated until further into the follow up because less spontaneous report free text records are classified as pain events as a result of elevated estimated probability criteria (threshold).</w:t>
      </w:r>
    </w:p>
    <w:p w14:paraId="646757A3" w14:textId="77777777" w:rsidR="00B476F1" w:rsidRDefault="00000000">
      <w:pPr>
        <w:pStyle w:val="BodyText"/>
      </w:pPr>
      <w:r>
        <w:lastRenderedPageBreak/>
        <w:t>(include a 2^IC vs RR numeric example here to compare reporting ratios)</w:t>
      </w:r>
    </w:p>
    <w:p w14:paraId="6B99E520" w14:textId="77777777" w:rsidR="00B476F1" w:rsidRDefault="00000000">
      <w:pPr>
        <w:pStyle w:val="BodyText"/>
      </w:pPr>
      <w:r>
        <w:t>The columns of Figure 2 depict increasing pain topic thresholds. Within each threshold, the reporting ratio estimates are reasonably stable after some initial fluctuation as a result of the uncertainty discrete nature of the data accumulated over time. However, the RR estimates for the larger thresholds show a general increase in the reporting ratio estimates over time. Interestingly, this is not the case for the BCPNN which actually decreases for the 0.08 threshold from 2016 onward. Common to all methods though are increased reporting ratio estimates for larger thresholds within their respective method suggesting that larger P(topic = “pain”| document) are more frequent in the pelvic mesh group. This higher threshold comes with a cost, that the higher barrier to pain events means insufficient data are available to produce a reporting ratio estimate early in the data accumulation. Further demonstrating competing constraints of a threshold low enough to detect sufficient presumptive pain events but high enough (specific enough) to discriminate between non-pain and pain events.</w:t>
      </w:r>
    </w:p>
    <w:tbl>
      <w:tblPr>
        <w:tblStyle w:val="Table"/>
        <w:tblW w:w="5000" w:type="pct"/>
        <w:tblLook w:val="0000" w:firstRow="0" w:lastRow="0" w:firstColumn="0" w:lastColumn="0" w:noHBand="0" w:noVBand="0"/>
      </w:tblPr>
      <w:tblGrid>
        <w:gridCol w:w="9360"/>
      </w:tblGrid>
      <w:tr w:rsidR="00B476F1" w14:paraId="298F4E0F" w14:textId="77777777">
        <w:tc>
          <w:tcPr>
            <w:tcW w:w="0" w:type="auto"/>
          </w:tcPr>
          <w:p w14:paraId="09F7DF76" w14:textId="77777777" w:rsidR="00B476F1" w:rsidRDefault="00000000">
            <w:pPr>
              <w:jc w:val="center"/>
            </w:pPr>
            <w:r>
              <w:rPr>
                <w:noProof/>
              </w:rPr>
              <w:drawing>
                <wp:inline distT="0" distB="0" distL="0" distR="0" wp14:anchorId="1175D4A4" wp14:editId="706B5B16">
                  <wp:extent cx="5334000" cy="3111500"/>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2_report_files/figure-docx/stat_over_time_plot2-1.png"/>
                          <pic:cNvPicPr>
                            <a:picLocks noChangeAspect="1" noChangeArrowheads="1"/>
                          </pic:cNvPicPr>
                        </pic:nvPicPr>
                        <pic:blipFill>
                          <a:blip r:embed="rId15"/>
                          <a:stretch>
                            <a:fillRect/>
                          </a:stretch>
                        </pic:blipFill>
                        <pic:spPr bwMode="auto">
                          <a:xfrm>
                            <a:off x="0" y="0"/>
                            <a:ext cx="5334000" cy="3111500"/>
                          </a:xfrm>
                          <a:prstGeom prst="rect">
                            <a:avLst/>
                          </a:prstGeom>
                          <a:noFill/>
                          <a:ln w="9525">
                            <a:noFill/>
                            <a:headEnd/>
                            <a:tailEnd/>
                          </a:ln>
                        </pic:spPr>
                      </pic:pic>
                    </a:graphicData>
                  </a:graphic>
                </wp:inline>
              </w:drawing>
            </w:r>
          </w:p>
          <w:p w14:paraId="05445576" w14:textId="77777777" w:rsidR="00B476F1" w:rsidRDefault="00000000">
            <w:pPr>
              <w:pStyle w:val="ImageCaption"/>
              <w:spacing w:before="200"/>
            </w:pPr>
            <w:r>
              <w:t>Reporting ratio estimates for the pelvic mesh v hernia mesh comparison over time for the three signal detection methods at different pain topic thresholds.</w:t>
            </w:r>
          </w:p>
        </w:tc>
      </w:tr>
    </w:tbl>
    <w:p w14:paraId="79B26625" w14:textId="77777777" w:rsidR="00B476F1" w:rsidRDefault="00000000">
      <w:pPr>
        <w:pStyle w:val="BodyText"/>
      </w:pPr>
      <w:r>
        <w:t xml:space="preserve">Figure 3 shows how significance is determined for the three methods over time and for various comparisons (a fixed </w:t>
      </w:r>
      <m:oMath>
        <m:sSub>
          <m:sSubPr>
            <m:ctrlPr>
              <w:rPr>
                <w:rFonts w:ascii="Cambria Math" w:hAnsi="Cambria Math"/>
              </w:rPr>
            </m:ctrlPr>
          </m:sSubPr>
          <m:e>
            <m:r>
              <w:rPr>
                <w:rFonts w:ascii="Cambria Math" w:hAnsi="Cambria Math"/>
              </w:rPr>
              <m:t>p</m:t>
            </m:r>
          </m:e>
          <m:sub>
            <m:r>
              <w:rPr>
                <w:rFonts w:ascii="Cambria Math" w:hAnsi="Cambria Math"/>
              </w:rPr>
              <m:t>t</m:t>
            </m:r>
          </m:sub>
        </m:sSub>
        <m:r>
          <m:rPr>
            <m:sty m:val="p"/>
          </m:rPr>
          <w:rPr>
            <w:rFonts w:ascii="Cambria Math" w:hAnsi="Cambria Math"/>
          </w:rPr>
          <m:t>=</m:t>
        </m:r>
        <m:r>
          <w:rPr>
            <w:rFonts w:ascii="Cambria Math" w:hAnsi="Cambria Math"/>
          </w:rPr>
          <m:t>0.04</m:t>
        </m:r>
      </m:oMath>
      <w:r>
        <w:t xml:space="preserve"> is used). Similarly to Figure 2, the vertical lines shows when significance is reached. The CV values for each maxSPRT analysis for the different comparators are different (values here), although not obvious from the graph. Also note that the LLR values have been truncated when exceeding 30 to not dominate the y-axis scaling.</w:t>
      </w:r>
    </w:p>
    <w:p w14:paraId="4C058B55" w14:textId="77777777" w:rsidR="00B476F1" w:rsidRDefault="00000000">
      <w:pPr>
        <w:pStyle w:val="BodyText"/>
      </w:pPr>
      <w:r>
        <w:lastRenderedPageBreak/>
        <w:t>The Hernia mesh v Other mesh group in the final column servea a negative control as it is not expected to produce a significant signal. Indeed no signal detection method reaches significance for this comparison.</w:t>
      </w:r>
    </w:p>
    <w:p w14:paraId="0BBF1951" w14:textId="77777777" w:rsidR="00B476F1" w:rsidRDefault="00000000">
      <w:pPr>
        <w:pStyle w:val="BodyText"/>
      </w:pPr>
      <w:r>
        <w:t>Significance is reached in all methods when hernia mesh is the target. However the comparisons hernia mesh vs pelvic mesh and hernia mesh vs pelvic/other mesh rejected the null hypothesis a year later than the hernia mesh vs pelvic/other mesh/other devices comparison. This may be a result of difference safety profiles for non-mesh devices in the comparator counts (</w:t>
      </w:r>
      <m:oMath>
        <m:sSub>
          <m:sSubPr>
            <m:ctrlPr>
              <w:rPr>
                <w:rFonts w:ascii="Cambria Math" w:hAnsi="Cambria Math"/>
              </w:rPr>
            </m:ctrlPr>
          </m:sSubPr>
          <m:e>
            <m:r>
              <w:rPr>
                <w:rFonts w:ascii="Cambria Math" w:hAnsi="Cambria Math"/>
              </w:rPr>
              <m:t>c</m:t>
            </m:r>
          </m:e>
          <m:sub>
            <m:r>
              <w:rPr>
                <w:rFonts w:ascii="Cambria Math" w:hAnsi="Cambria Math"/>
              </w:rPr>
              <m:t>t</m:t>
            </m:r>
          </m:sub>
        </m:sSub>
      </m:oMath>
      <w:r>
        <w:t xml:space="preserve"> and </w:t>
      </w:r>
      <m:oMath>
        <m:sSub>
          <m:sSubPr>
            <m:ctrlPr>
              <w:rPr>
                <w:rFonts w:ascii="Cambria Math" w:hAnsi="Cambria Math"/>
              </w:rPr>
            </m:ctrlPr>
          </m:sSubPr>
          <m:e>
            <m:r>
              <w:rPr>
                <w:rFonts w:ascii="Cambria Math" w:hAnsi="Cambria Math"/>
              </w:rPr>
              <m:t>d</m:t>
            </m:r>
          </m:e>
          <m:sub>
            <m:r>
              <w:rPr>
                <w:rFonts w:ascii="Cambria Math" w:hAnsi="Cambria Math"/>
              </w:rPr>
              <m:t>t</m:t>
            </m:r>
          </m:sub>
        </m:sSub>
      </m:oMath>
      <w:r>
        <w:t>). Consideration needs to be made about whether this is an appropriate comparison. Discussed in other articles (refs).</w:t>
      </w:r>
    </w:p>
    <w:p w14:paraId="3D3AFF4F" w14:textId="77777777" w:rsidR="00B476F1" w:rsidRDefault="00000000">
      <w:pPr>
        <w:pStyle w:val="SourceCode"/>
      </w:pPr>
      <w:r>
        <w:rPr>
          <w:rStyle w:val="VerbatimChar"/>
        </w:rPr>
        <w:t>Warning: Removed 54 rows containing missing values (`geom_vline()`).</w:t>
      </w:r>
    </w:p>
    <w:tbl>
      <w:tblPr>
        <w:tblStyle w:val="Table"/>
        <w:tblW w:w="5000" w:type="pct"/>
        <w:tblLook w:val="0000" w:firstRow="0" w:lastRow="0" w:firstColumn="0" w:lastColumn="0" w:noHBand="0" w:noVBand="0"/>
      </w:tblPr>
      <w:tblGrid>
        <w:gridCol w:w="9360"/>
      </w:tblGrid>
      <w:tr w:rsidR="00B476F1" w14:paraId="2A3A73A1" w14:textId="77777777">
        <w:tc>
          <w:tcPr>
            <w:tcW w:w="0" w:type="auto"/>
          </w:tcPr>
          <w:p w14:paraId="1B614D19" w14:textId="77777777" w:rsidR="00B476F1" w:rsidRDefault="00000000">
            <w:pPr>
              <w:jc w:val="center"/>
            </w:pPr>
            <w:r>
              <w:rPr>
                <w:noProof/>
              </w:rPr>
              <w:drawing>
                <wp:inline distT="0" distB="0" distL="0" distR="0" wp14:anchorId="61924E15" wp14:editId="44CA5578">
                  <wp:extent cx="5334000" cy="3733800"/>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2_report_files/figure-docx/stat_over_time_plot1-1.png"/>
                          <pic:cNvPicPr>
                            <a:picLocks noChangeAspect="1" noChangeArrowheads="1"/>
                          </pic:cNvPicPr>
                        </pic:nvPicPr>
                        <pic:blipFill>
                          <a:blip r:embed="rId16"/>
                          <a:stretch>
                            <a:fillRect/>
                          </a:stretch>
                        </pic:blipFill>
                        <pic:spPr bwMode="auto">
                          <a:xfrm>
                            <a:off x="0" y="0"/>
                            <a:ext cx="5334000" cy="3733800"/>
                          </a:xfrm>
                          <a:prstGeom prst="rect">
                            <a:avLst/>
                          </a:prstGeom>
                          <a:noFill/>
                          <a:ln w="9525">
                            <a:noFill/>
                            <a:headEnd/>
                            <a:tailEnd/>
                          </a:ln>
                        </pic:spPr>
                      </pic:pic>
                    </a:graphicData>
                  </a:graphic>
                </wp:inline>
              </w:drawing>
            </w:r>
          </w:p>
          <w:p w14:paraId="7ED771EC" w14:textId="77777777" w:rsidR="00B476F1" w:rsidRDefault="00000000">
            <w:pPr>
              <w:pStyle w:val="ImageCaption"/>
              <w:spacing w:before="200"/>
            </w:pPr>
            <w:r>
              <w:t>Disproportionality test statistic values for heneria mesh compared to three copmparison groups over time with their respective critical values. The P(topic = ‘pain’| document) threshold is set at 0.04.</w:t>
            </w:r>
          </w:p>
        </w:tc>
      </w:tr>
    </w:tbl>
    <w:p w14:paraId="1F72BBEF" w14:textId="77777777" w:rsidR="00B476F1" w:rsidRDefault="00000000">
      <w:pPr>
        <w:pStyle w:val="SourceCode"/>
      </w:pPr>
      <w:r>
        <w:rPr>
          <w:rStyle w:val="VerbatimChar"/>
        </w:rPr>
        <w:t>Warning: Removed 54 rows containing missing values (`geom_vline()`).</w:t>
      </w:r>
    </w:p>
    <w:p w14:paraId="0FA08E81" w14:textId="77777777" w:rsidR="00B476F1" w:rsidRDefault="00000000">
      <w:pPr>
        <w:pStyle w:val="FirstParagraph"/>
      </w:pPr>
      <w:r>
        <w:t xml:space="preserve">Figure 4 shows how the different signal detection methods reached significance at different pain thresholds </w:t>
      </w:r>
      <m:oMath>
        <m:sSub>
          <m:sSubPr>
            <m:ctrlPr>
              <w:rPr>
                <w:rFonts w:ascii="Cambria Math" w:hAnsi="Cambria Math"/>
              </w:rPr>
            </m:ctrlPr>
          </m:sSubPr>
          <m:e>
            <m:r>
              <w:rPr>
                <w:rFonts w:ascii="Cambria Math" w:hAnsi="Cambria Math"/>
              </w:rPr>
              <m:t>p</m:t>
            </m:r>
          </m:e>
          <m:sub>
            <m:r>
              <w:rPr>
                <w:rFonts w:ascii="Cambria Math" w:hAnsi="Cambria Math"/>
              </w:rPr>
              <m:t>t</m:t>
            </m:r>
          </m:sub>
        </m:sSub>
      </m:oMath>
      <w:r>
        <w:t>. The highest thresholds risk delayed signal detection or not reaching significance at all, especially in the least data rich comparison of pelvic mesh v hernia mesh.</w:t>
      </w:r>
    </w:p>
    <w:p w14:paraId="1D8793B4" w14:textId="77777777" w:rsidR="00B476F1" w:rsidRDefault="00000000">
      <w:pPr>
        <w:pStyle w:val="BodyText"/>
      </w:pPr>
      <w:r>
        <w:t>xxx where the thresholds that ensured all methods for the mesh only comparisons were detected prior to 2015</w:t>
      </w:r>
    </w:p>
    <w:p w14:paraId="753A13A3" w14:textId="77777777" w:rsidR="00B476F1" w:rsidRDefault="00000000">
      <w:pPr>
        <w:pStyle w:val="BodyText"/>
      </w:pPr>
      <w:r>
        <w:lastRenderedPageBreak/>
        <w:t>while the PRR allowed earlier potential signal detection in the pelvic mesh vs pelvic/other mesh/other devices comparison (2012 Q4) for thresholds xxxx, these thresholds were sub-optimal for the other methods of signal detection</w:t>
      </w:r>
    </w:p>
    <w:tbl>
      <w:tblPr>
        <w:tblStyle w:val="Table"/>
        <w:tblW w:w="5000" w:type="pct"/>
        <w:tblLook w:val="0000" w:firstRow="0" w:lastRow="0" w:firstColumn="0" w:lastColumn="0" w:noHBand="0" w:noVBand="0"/>
      </w:tblPr>
      <w:tblGrid>
        <w:gridCol w:w="9360"/>
      </w:tblGrid>
      <w:tr w:rsidR="00B476F1" w14:paraId="3DECFE33" w14:textId="77777777">
        <w:tc>
          <w:tcPr>
            <w:tcW w:w="0" w:type="auto"/>
          </w:tcPr>
          <w:p w14:paraId="50105DB5" w14:textId="77777777" w:rsidR="00B476F1" w:rsidRDefault="00000000">
            <w:pPr>
              <w:jc w:val="center"/>
            </w:pPr>
            <w:r>
              <w:rPr>
                <w:noProof/>
              </w:rPr>
              <w:drawing>
                <wp:inline distT="0" distB="0" distL="0" distR="0" wp14:anchorId="213DAE45" wp14:editId="56534017">
                  <wp:extent cx="5334000" cy="3733800"/>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9" name="Picture" descr="2_report_files/figure-docx/time_to_sig_plot1-1.png"/>
                          <pic:cNvPicPr>
                            <a:picLocks noChangeAspect="1" noChangeArrowheads="1"/>
                          </pic:cNvPicPr>
                        </pic:nvPicPr>
                        <pic:blipFill>
                          <a:blip r:embed="rId17"/>
                          <a:stretch>
                            <a:fillRect/>
                          </a:stretch>
                        </pic:blipFill>
                        <pic:spPr bwMode="auto">
                          <a:xfrm>
                            <a:off x="0" y="0"/>
                            <a:ext cx="5334000" cy="3733800"/>
                          </a:xfrm>
                          <a:prstGeom prst="rect">
                            <a:avLst/>
                          </a:prstGeom>
                          <a:noFill/>
                          <a:ln w="9525">
                            <a:noFill/>
                            <a:headEnd/>
                            <a:tailEnd/>
                          </a:ln>
                        </pic:spPr>
                      </pic:pic>
                    </a:graphicData>
                  </a:graphic>
                </wp:inline>
              </w:drawing>
            </w:r>
          </w:p>
          <w:p w14:paraId="1EE7CE95" w14:textId="77777777" w:rsidR="00B476F1" w:rsidRDefault="00000000">
            <w:pPr>
              <w:pStyle w:val="ImageCaption"/>
              <w:spacing w:before="200"/>
            </w:pPr>
            <w:r>
              <w:t>Time when methods reached critical values for signal detection.</w:t>
            </w:r>
          </w:p>
        </w:tc>
      </w:tr>
    </w:tbl>
    <w:p w14:paraId="47E0BCB9" w14:textId="77777777" w:rsidR="00B476F1" w:rsidRDefault="00000000">
      <w:pPr>
        <w:pStyle w:val="BodyText"/>
      </w:pPr>
      <w:r>
        <w:t>Figure 5 explores the information about follow-up that is only available retrospectively that may affect signal detection if not approciximately estimated ahead of time. maxSPRT requires both the expected ratio of controls to cases (</w:t>
      </w:r>
      <m:oMath>
        <m:sSub>
          <m:sSubPr>
            <m:ctrlPr>
              <w:rPr>
                <w:rFonts w:ascii="Cambria Math" w:hAnsi="Cambria Math"/>
              </w:rPr>
            </m:ctrlPr>
          </m:sSubPr>
          <m:e>
            <m:r>
              <w:rPr>
                <w:rFonts w:ascii="Cambria Math" w:hAnsi="Cambria Math"/>
              </w:rPr>
              <m:t>c</m:t>
            </m:r>
          </m:e>
          <m:sub>
            <m:r>
              <w:rPr>
                <w:rFonts w:ascii="Cambria Math" w:hAnsi="Cambria Math"/>
              </w:rPr>
              <m:t>t</m:t>
            </m:r>
          </m:sub>
        </m:sSub>
      </m:oMath>
      <w:r>
        <w:t xml:space="preserve"> to </w:t>
      </w:r>
      <m:oMath>
        <m:sSub>
          <m:sSubPr>
            <m:ctrlPr>
              <w:rPr>
                <w:rFonts w:ascii="Cambria Math" w:hAnsi="Cambria Math"/>
              </w:rPr>
            </m:ctrlPr>
          </m:sSubPr>
          <m:e>
            <m:r>
              <w:rPr>
                <w:rFonts w:ascii="Cambria Math" w:hAnsi="Cambria Math"/>
              </w:rPr>
              <m:t>a</m:t>
            </m:r>
          </m:e>
          <m:sub>
            <m:r>
              <w:rPr>
                <w:rFonts w:ascii="Cambria Math" w:hAnsi="Cambria Math"/>
              </w:rPr>
              <m:t>t</m:t>
            </m:r>
          </m:sub>
        </m:sSub>
      </m:oMath>
      <w:r>
        <w:t xml:space="preserve"> in this case) as data is accumulated as well as the expected number of reports per quarter (for a finite follow up period). Figure 5 shows how the time-to signal is alterd with changing assumed values that affect the CV thresholds for significance.</w:t>
      </w:r>
    </w:p>
    <w:tbl>
      <w:tblPr>
        <w:tblStyle w:val="Table"/>
        <w:tblW w:w="5000" w:type="pct"/>
        <w:tblLook w:val="0000" w:firstRow="0" w:lastRow="0" w:firstColumn="0" w:lastColumn="0" w:noHBand="0" w:noVBand="0"/>
      </w:tblPr>
      <w:tblGrid>
        <w:gridCol w:w="9360"/>
      </w:tblGrid>
      <w:tr w:rsidR="00B476F1" w14:paraId="480C8CC1" w14:textId="77777777">
        <w:tc>
          <w:tcPr>
            <w:tcW w:w="0" w:type="auto"/>
          </w:tcPr>
          <w:p w14:paraId="13B4E904" w14:textId="77777777" w:rsidR="00B476F1" w:rsidRDefault="00000000">
            <w:pPr>
              <w:jc w:val="center"/>
            </w:pPr>
            <w:r>
              <w:rPr>
                <w:noProof/>
              </w:rPr>
              <w:lastRenderedPageBreak/>
              <w:drawing>
                <wp:inline distT="0" distB="0" distL="0" distR="0" wp14:anchorId="52CEA6F1" wp14:editId="5CE75DAA">
                  <wp:extent cx="5334000" cy="3733800"/>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52" name="Picture" descr="2_report_files/figure-docx/time_to_sig_plot_alts-1.png"/>
                          <pic:cNvPicPr>
                            <a:picLocks noChangeAspect="1" noChangeArrowheads="1"/>
                          </pic:cNvPicPr>
                        </pic:nvPicPr>
                        <pic:blipFill>
                          <a:blip r:embed="rId18"/>
                          <a:stretch>
                            <a:fillRect/>
                          </a:stretch>
                        </pic:blipFill>
                        <pic:spPr bwMode="auto">
                          <a:xfrm>
                            <a:off x="0" y="0"/>
                            <a:ext cx="5334000" cy="3733800"/>
                          </a:xfrm>
                          <a:prstGeom prst="rect">
                            <a:avLst/>
                          </a:prstGeom>
                          <a:noFill/>
                          <a:ln w="9525">
                            <a:noFill/>
                            <a:headEnd/>
                            <a:tailEnd/>
                          </a:ln>
                        </pic:spPr>
                      </pic:pic>
                    </a:graphicData>
                  </a:graphic>
                </wp:inline>
              </w:drawing>
            </w:r>
          </w:p>
          <w:p w14:paraId="1E5BEFD5" w14:textId="77777777" w:rsidR="00B476F1" w:rsidRDefault="00000000">
            <w:pPr>
              <w:pStyle w:val="ImageCaption"/>
              <w:spacing w:before="200"/>
            </w:pPr>
            <w:r>
              <w:t>Time when methods reached critical values for signal detection using different assumed a priori variables for CV calculation.</w:t>
            </w:r>
          </w:p>
        </w:tc>
      </w:tr>
    </w:tbl>
    <w:p w14:paraId="2480A1CE" w14:textId="77777777" w:rsidR="00B476F1" w:rsidRDefault="00000000">
      <w:pPr>
        <w:pStyle w:val="Heading1"/>
      </w:pPr>
      <w:bookmarkStart w:id="24" w:name="conclusion"/>
      <w:bookmarkStart w:id="25" w:name="_Toc154170409"/>
      <w:bookmarkEnd w:id="22"/>
      <w:r>
        <w:t>5. Conclusion</w:t>
      </w:r>
      <w:bookmarkEnd w:id="25"/>
    </w:p>
    <w:p w14:paraId="75CC1F91" w14:textId="77777777" w:rsidR="00B476F1" w:rsidRDefault="00000000">
      <w:pPr>
        <w:pStyle w:val="FirstParagraph"/>
      </w:pPr>
      <w:r>
        <w:t>Urogynaecological mesh was withdrawn from the Australian market in 2018, while our retrospective analysis with a 0.06 threshold detected signals between August – December 2014. We have demonstrated the potential of using topic modelling in spontaneous reports for signal detection in post-market surveillance.</w:t>
      </w:r>
    </w:p>
    <w:p w14:paraId="32E405AC" w14:textId="77777777" w:rsidR="00B476F1" w:rsidRDefault="00000000">
      <w:r>
        <w:br w:type="page"/>
      </w:r>
    </w:p>
    <w:p w14:paraId="70BA6508" w14:textId="77777777" w:rsidR="00B476F1" w:rsidRDefault="00000000">
      <w:pPr>
        <w:pStyle w:val="Heading1"/>
      </w:pPr>
      <w:bookmarkStart w:id="26" w:name="session-information"/>
      <w:bookmarkStart w:id="27" w:name="_Toc154170410"/>
      <w:bookmarkEnd w:id="24"/>
      <w:r>
        <w:lastRenderedPageBreak/>
        <w:t>6. Session information</w:t>
      </w:r>
      <w:bookmarkEnd w:id="27"/>
    </w:p>
    <w:p w14:paraId="39C2E409" w14:textId="77777777" w:rsidR="00B476F1" w:rsidRDefault="00000000">
      <w:pPr>
        <w:pStyle w:val="SourceCode"/>
      </w:pPr>
      <w:r>
        <w:rPr>
          <w:rStyle w:val="FunctionTok"/>
        </w:rPr>
        <w:t>format</w:t>
      </w:r>
      <w:r>
        <w:rPr>
          <w:rStyle w:val="NormalTok"/>
        </w:rPr>
        <w:t>(</w:t>
      </w:r>
      <w:r>
        <w:rPr>
          <w:rStyle w:val="FunctionTok"/>
        </w:rPr>
        <w:t>Sys.time</w:t>
      </w:r>
      <w:r>
        <w:rPr>
          <w:rStyle w:val="NormalTok"/>
        </w:rPr>
        <w:t xml:space="preserve">(), </w:t>
      </w:r>
      <w:r>
        <w:rPr>
          <w:rStyle w:val="StringTok"/>
        </w:rPr>
        <w:t>'%d %b %Y'</w:t>
      </w:r>
      <w:r>
        <w:rPr>
          <w:rStyle w:val="NormalTok"/>
        </w:rPr>
        <w:t>)</w:t>
      </w:r>
    </w:p>
    <w:p w14:paraId="04B2F820" w14:textId="77777777" w:rsidR="00B476F1" w:rsidRDefault="00000000">
      <w:pPr>
        <w:pStyle w:val="SourceCode"/>
      </w:pPr>
      <w:r>
        <w:rPr>
          <w:rStyle w:val="VerbatimChar"/>
        </w:rPr>
        <w:t>[1] "22 Dec 2023"</w:t>
      </w:r>
    </w:p>
    <w:p w14:paraId="60E5A8B5" w14:textId="77777777" w:rsidR="00B476F1" w:rsidRDefault="00000000">
      <w:pPr>
        <w:pStyle w:val="SourceCode"/>
      </w:pPr>
      <w:r>
        <w:rPr>
          <w:rStyle w:val="FunctionTok"/>
        </w:rPr>
        <w:t>sessionInfo</w:t>
      </w:r>
      <w:r>
        <w:rPr>
          <w:rStyle w:val="NormalTok"/>
        </w:rPr>
        <w:t>()</w:t>
      </w:r>
    </w:p>
    <w:p w14:paraId="658613B9" w14:textId="77777777" w:rsidR="00B476F1" w:rsidRDefault="00000000">
      <w:pPr>
        <w:pStyle w:val="SourceCode"/>
      </w:pPr>
      <w:r>
        <w:rPr>
          <w:rStyle w:val="VerbatimChar"/>
        </w:rPr>
        <w:t>R version 4.3.1 (2023-06-16 ucrt)</w:t>
      </w:r>
      <w:r>
        <w:br/>
      </w:r>
      <w:r>
        <w:rPr>
          <w:rStyle w:val="VerbatimChar"/>
        </w:rPr>
        <w:t>Platform: x86_64-w64-mingw32/x64 (64-bit)</w:t>
      </w:r>
      <w:r>
        <w:br/>
      </w:r>
      <w:r>
        <w:rPr>
          <w:rStyle w:val="VerbatimChar"/>
        </w:rPr>
        <w:t>Running under: Windows 10 x64 (build 19045)</w:t>
      </w:r>
      <w:r>
        <w:br/>
      </w:r>
      <w:r>
        <w:br/>
      </w:r>
      <w:r>
        <w:rPr>
          <w:rStyle w:val="VerbatimChar"/>
        </w:rPr>
        <w:t>Matrix products: default</w:t>
      </w:r>
      <w:r>
        <w:br/>
      </w:r>
      <w:r>
        <w:br/>
      </w:r>
      <w:r>
        <w:br/>
      </w:r>
      <w:r>
        <w:rPr>
          <w:rStyle w:val="VerbatimChar"/>
        </w:rPr>
        <w:t>locale:</w:t>
      </w:r>
      <w:r>
        <w:br/>
      </w:r>
      <w:r>
        <w:rPr>
          <w:rStyle w:val="VerbatimChar"/>
        </w:rPr>
        <w:t xml:space="preserve">[1] LC_COLLATE=English_Australia.utf8  LC_CTYPE=English_Australia.utf8   </w:t>
      </w:r>
      <w:r>
        <w:br/>
      </w:r>
      <w:r>
        <w:rPr>
          <w:rStyle w:val="VerbatimChar"/>
        </w:rPr>
        <w:t xml:space="preserve">[3] LC_MONETARY=English_Australia.utf8 LC_NUMERIC=C                      </w:t>
      </w:r>
      <w:r>
        <w:br/>
      </w:r>
      <w:r>
        <w:rPr>
          <w:rStyle w:val="VerbatimChar"/>
        </w:rPr>
        <w:t xml:space="preserve">[5] LC_TIME=English_Australia.utf8    </w:t>
      </w:r>
      <w:r>
        <w:br/>
      </w:r>
      <w:r>
        <w:br/>
      </w:r>
      <w:r>
        <w:rPr>
          <w:rStyle w:val="VerbatimChar"/>
        </w:rPr>
        <w:t>time zone: Australia/Adelaide</w:t>
      </w:r>
      <w:r>
        <w:br/>
      </w:r>
      <w:r>
        <w:rPr>
          <w:rStyle w:val="VerbatimChar"/>
        </w:rPr>
        <w:t>tzcode source: internal</w:t>
      </w:r>
      <w:r>
        <w:br/>
      </w:r>
      <w:r>
        <w:br/>
      </w:r>
      <w:r>
        <w:rPr>
          <w:rStyle w:val="VerbatimChar"/>
        </w:rPr>
        <w:t>attached base packages:</w:t>
      </w:r>
      <w:r>
        <w:br/>
      </w:r>
      <w:r>
        <w:rPr>
          <w:rStyle w:val="VerbatimChar"/>
        </w:rPr>
        <w:t xml:space="preserve">[1] stats     graphics  grDevices utils     datasets  methods   base     </w:t>
      </w:r>
      <w:r>
        <w:br/>
      </w:r>
      <w:r>
        <w:br/>
      </w:r>
      <w:r>
        <w:rPr>
          <w:rStyle w:val="VerbatimChar"/>
        </w:rPr>
        <w:t>other attached packages:</w:t>
      </w:r>
      <w:r>
        <w:br/>
      </w:r>
      <w:r>
        <w:rPr>
          <w:rStyle w:val="VerbatimChar"/>
        </w:rPr>
        <w:t xml:space="preserve"> [1] arrow_12.0.1.1  gsDesign_3.5.0  knitr_1.43      ggrepel_0.9.3  </w:t>
      </w:r>
      <w:r>
        <w:br/>
      </w:r>
      <w:r>
        <w:rPr>
          <w:rStyle w:val="VerbatimChar"/>
        </w:rPr>
        <w:t xml:space="preserve"> [5] ggthemes_5.0.0  ggplot2_3.4.2   stringr_1.5.0   lubridate_1.9.2</w:t>
      </w:r>
      <w:r>
        <w:br/>
      </w:r>
      <w:r>
        <w:rPr>
          <w:rStyle w:val="VerbatimChar"/>
        </w:rPr>
        <w:t xml:space="preserve"> [9] forcats_1.0.0   tidyr_1.3.0     dplyr_1.1.2     readr_2.1.4    </w:t>
      </w:r>
      <w:r>
        <w:br/>
      </w:r>
      <w:r>
        <w:br/>
      </w:r>
      <w:r>
        <w:rPr>
          <w:rStyle w:val="VerbatimChar"/>
        </w:rPr>
        <w:t>loaded via a namespace (and not attached):</w:t>
      </w:r>
      <w:r>
        <w:br/>
      </w:r>
      <w:r>
        <w:rPr>
          <w:rStyle w:val="VerbatimChar"/>
        </w:rPr>
        <w:t xml:space="preserve"> [1] gt_0.9.0          utf8_1.2.3        generics_0.1.3    xml2_1.3.5       </w:t>
      </w:r>
      <w:r>
        <w:br/>
      </w:r>
      <w:r>
        <w:rPr>
          <w:rStyle w:val="VerbatimChar"/>
        </w:rPr>
        <w:t xml:space="preserve"> [5] stringi_1.7.12    hms_1.1.3         digest_0.6.33     magrittr_2.0.3   </w:t>
      </w:r>
      <w:r>
        <w:br/>
      </w:r>
      <w:r>
        <w:rPr>
          <w:rStyle w:val="VerbatimChar"/>
        </w:rPr>
        <w:t xml:space="preserve"> [9] evaluate_0.21     grid_4.3.1        timechange_0.2.0  fastmap_1.1.1    </w:t>
      </w:r>
      <w:r>
        <w:br/>
      </w:r>
      <w:r>
        <w:rPr>
          <w:rStyle w:val="VerbatimChar"/>
        </w:rPr>
        <w:t xml:space="preserve">[13] jsonlite_1.8.7    purrr_1.0.1       fansi_1.0.4       scales_1.2.1     </w:t>
      </w:r>
      <w:r>
        <w:br/>
      </w:r>
      <w:r>
        <w:rPr>
          <w:rStyle w:val="VerbatimChar"/>
        </w:rPr>
        <w:t xml:space="preserve">[17] textshaping_0.3.6 cli_3.6.1         rlang_1.1.1       bit64_4.0.5      </w:t>
      </w:r>
      <w:r>
        <w:br/>
      </w:r>
      <w:r>
        <w:rPr>
          <w:rStyle w:val="VerbatimChar"/>
        </w:rPr>
        <w:t xml:space="preserve">[21] munsell_0.5.0     withr_2.5.0       yaml_2.3.7        tools_4.3.1      </w:t>
      </w:r>
      <w:r>
        <w:br/>
      </w:r>
      <w:r>
        <w:rPr>
          <w:rStyle w:val="VerbatimChar"/>
        </w:rPr>
        <w:t xml:space="preserve">[25] tzdb_0.4.0        colorspace_2.1-0  assertthat_0.2.1  vctrs_0.6.3      </w:t>
      </w:r>
      <w:r>
        <w:br/>
      </w:r>
      <w:r>
        <w:rPr>
          <w:rStyle w:val="VerbatimChar"/>
        </w:rPr>
        <w:t xml:space="preserve">[29] R6_2.5.1          lifecycle_1.0.3   bit_4.0.5         ragg_1.2.5       </w:t>
      </w:r>
      <w:r>
        <w:br/>
      </w:r>
      <w:r>
        <w:rPr>
          <w:rStyle w:val="VerbatimChar"/>
        </w:rPr>
        <w:t xml:space="preserve">[33] pkgconfig_2.0.3   pillar_1.9.0      gtable_0.3.3      glue_1.6.2       </w:t>
      </w:r>
      <w:r>
        <w:br/>
      </w:r>
      <w:r>
        <w:rPr>
          <w:rStyle w:val="VerbatimChar"/>
        </w:rPr>
        <w:t xml:space="preserve">[37] Rcpp_1.0.11       systemfonts_1.0.4 xfun_0.39         tibble_3.2.1     </w:t>
      </w:r>
      <w:r>
        <w:br/>
      </w:r>
      <w:r>
        <w:rPr>
          <w:rStyle w:val="VerbatimChar"/>
        </w:rPr>
        <w:t xml:space="preserve">[41] tidyselect_1.2.0  rstudioapi_0.15.0 farver_2.1.1      xtable_1.8-4     </w:t>
      </w:r>
      <w:r>
        <w:br/>
      </w:r>
      <w:r>
        <w:rPr>
          <w:rStyle w:val="VerbatimChar"/>
        </w:rPr>
        <w:t xml:space="preserve">[45] htmltools_0.5.5   labeling_0.4.2    rmarkdown_2.23    compiler_4.3.1   </w:t>
      </w:r>
      <w:bookmarkEnd w:id="26"/>
    </w:p>
    <w:sectPr w:rsidR="00B476F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2AE256" w14:textId="77777777" w:rsidR="007447D2" w:rsidRDefault="007447D2">
      <w:pPr>
        <w:spacing w:after="0"/>
      </w:pPr>
      <w:r>
        <w:separator/>
      </w:r>
    </w:p>
  </w:endnote>
  <w:endnote w:type="continuationSeparator" w:id="0">
    <w:p w14:paraId="00EF09F9" w14:textId="77777777" w:rsidR="007447D2" w:rsidRDefault="007447D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B2D885" w14:textId="77777777" w:rsidR="007447D2" w:rsidRDefault="007447D2">
      <w:r>
        <w:separator/>
      </w:r>
    </w:p>
  </w:footnote>
  <w:footnote w:type="continuationSeparator" w:id="0">
    <w:p w14:paraId="1BAFB3D8" w14:textId="77777777" w:rsidR="007447D2" w:rsidRDefault="007447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90D8593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0CF0ABC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D02A942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936669397">
    <w:abstractNumId w:val="0"/>
  </w:num>
  <w:num w:numId="2" w16cid:durableId="1131414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60534622">
    <w:abstractNumId w:val="1"/>
  </w:num>
  <w:num w:numId="4" w16cid:durableId="986207958">
    <w:abstractNumId w:val="1"/>
  </w:num>
  <w:num w:numId="5" w16cid:durableId="1556547957">
    <w:abstractNumId w:val="1"/>
  </w:num>
  <w:num w:numId="6" w16cid:durableId="1224829359">
    <w:abstractNumId w:val="1"/>
  </w:num>
  <w:num w:numId="7" w16cid:durableId="407459055">
    <w:abstractNumId w:val="1"/>
  </w:num>
  <w:num w:numId="8" w16cid:durableId="18023820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6F1"/>
    <w:rsid w:val="0018388A"/>
    <w:rsid w:val="007447D2"/>
    <w:rsid w:val="00B476F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05F36"/>
  <w15:docId w15:val="{83570D2D-F4F2-4820-8F4C-068083AFD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color w:val="A626A4"/>
      <w:sz w:val="22"/>
    </w:rPr>
  </w:style>
  <w:style w:type="character" w:customStyle="1" w:styleId="DataTypeTok">
    <w:name w:val="DataTypeTok"/>
    <w:basedOn w:val="VerbatimChar"/>
    <w:rPr>
      <w:rFonts w:ascii="Consolas" w:hAnsi="Consolas"/>
      <w:color w:val="A626A4"/>
      <w:sz w:val="22"/>
    </w:rPr>
  </w:style>
  <w:style w:type="character" w:customStyle="1" w:styleId="DecValTok">
    <w:name w:val="DecValTok"/>
    <w:basedOn w:val="VerbatimChar"/>
    <w:rPr>
      <w:rFonts w:ascii="Consolas" w:hAnsi="Consolas"/>
      <w:color w:val="986801"/>
      <w:sz w:val="22"/>
    </w:rPr>
  </w:style>
  <w:style w:type="character" w:customStyle="1" w:styleId="BaseNTok">
    <w:name w:val="BaseNTok"/>
    <w:basedOn w:val="VerbatimChar"/>
    <w:rPr>
      <w:rFonts w:ascii="Consolas" w:hAnsi="Consolas"/>
      <w:color w:val="986801"/>
      <w:sz w:val="22"/>
    </w:rPr>
  </w:style>
  <w:style w:type="character" w:customStyle="1" w:styleId="FloatTok">
    <w:name w:val="FloatTok"/>
    <w:basedOn w:val="VerbatimChar"/>
    <w:rPr>
      <w:rFonts w:ascii="Consolas" w:hAnsi="Consolas"/>
      <w:color w:val="986801"/>
      <w:sz w:val="22"/>
    </w:rPr>
  </w:style>
  <w:style w:type="character" w:customStyle="1" w:styleId="ConstantTok">
    <w:name w:val="ConstantTok"/>
    <w:basedOn w:val="VerbatimChar"/>
    <w:rPr>
      <w:rFonts w:ascii="Consolas" w:hAnsi="Consolas"/>
      <w:color w:val="986801"/>
      <w:sz w:val="22"/>
    </w:rPr>
  </w:style>
  <w:style w:type="character" w:customStyle="1" w:styleId="CharTok">
    <w:name w:val="CharTok"/>
    <w:basedOn w:val="VerbatimChar"/>
    <w:rPr>
      <w:rFonts w:ascii="Consolas" w:hAnsi="Consolas"/>
      <w:color w:val="50A14F"/>
      <w:sz w:val="22"/>
    </w:rPr>
  </w:style>
  <w:style w:type="character" w:customStyle="1" w:styleId="SpecialCharTok">
    <w:name w:val="SpecialCharTok"/>
    <w:basedOn w:val="VerbatimChar"/>
    <w:rPr>
      <w:rFonts w:ascii="Consolas" w:hAnsi="Consolas"/>
      <w:color w:val="0184BC"/>
      <w:sz w:val="22"/>
    </w:rPr>
  </w:style>
  <w:style w:type="character" w:customStyle="1" w:styleId="StringTok">
    <w:name w:val="StringTok"/>
    <w:basedOn w:val="VerbatimChar"/>
    <w:rPr>
      <w:rFonts w:ascii="Consolas" w:hAnsi="Consolas"/>
      <w:color w:val="50A14F"/>
      <w:sz w:val="22"/>
    </w:rPr>
  </w:style>
  <w:style w:type="character" w:customStyle="1" w:styleId="VerbatimStringTok">
    <w:name w:val="VerbatimStringTok"/>
    <w:basedOn w:val="VerbatimChar"/>
    <w:rPr>
      <w:rFonts w:ascii="Consolas" w:hAnsi="Consolas"/>
      <w:color w:val="DA4453"/>
      <w:sz w:val="22"/>
    </w:rPr>
  </w:style>
  <w:style w:type="character" w:customStyle="1" w:styleId="SpecialStringTok">
    <w:name w:val="SpecialStringTok"/>
    <w:basedOn w:val="VerbatimChar"/>
    <w:rPr>
      <w:rFonts w:ascii="Consolas" w:hAnsi="Consolas"/>
      <w:color w:val="DA4453"/>
      <w:sz w:val="22"/>
    </w:rPr>
  </w:style>
  <w:style w:type="character" w:customStyle="1" w:styleId="ImportTok">
    <w:name w:val="ImportTok"/>
    <w:basedOn w:val="VerbatimChar"/>
    <w:rPr>
      <w:rFonts w:ascii="Consolas" w:hAnsi="Consolas"/>
      <w:color w:val="50A14F"/>
      <w:sz w:val="22"/>
    </w:rPr>
  </w:style>
  <w:style w:type="character" w:customStyle="1" w:styleId="CommentTok">
    <w:name w:val="CommentTok"/>
    <w:basedOn w:val="VerbatimChar"/>
    <w:rPr>
      <w:rFonts w:ascii="Consolas" w:hAnsi="Consolas"/>
      <w:i/>
      <w:color w:val="A0A1A7"/>
      <w:sz w:val="22"/>
    </w:rPr>
  </w:style>
  <w:style w:type="character" w:customStyle="1" w:styleId="DocumentationTok">
    <w:name w:val="DocumentationTok"/>
    <w:basedOn w:val="VerbatimChar"/>
    <w:rPr>
      <w:rFonts w:ascii="Consolas" w:hAnsi="Consolas"/>
      <w:color w:val="E45649"/>
      <w:sz w:val="22"/>
    </w:rPr>
  </w:style>
  <w:style w:type="character" w:customStyle="1" w:styleId="AnnotationTok">
    <w:name w:val="AnnotationTok"/>
    <w:basedOn w:val="VerbatimChar"/>
    <w:rPr>
      <w:rFonts w:ascii="Consolas" w:hAnsi="Consolas"/>
      <w:color w:val="50A14F"/>
      <w:sz w:val="22"/>
    </w:rPr>
  </w:style>
  <w:style w:type="character" w:customStyle="1" w:styleId="CommentVarTok">
    <w:name w:val="CommentVarTok"/>
    <w:basedOn w:val="VerbatimChar"/>
    <w:rPr>
      <w:rFonts w:ascii="Consolas" w:hAnsi="Consolas"/>
      <w:i/>
      <w:color w:val="E45649"/>
      <w:sz w:val="22"/>
    </w:rPr>
  </w:style>
  <w:style w:type="character" w:customStyle="1" w:styleId="OtherTok">
    <w:name w:val="OtherTok"/>
    <w:basedOn w:val="VerbatimChar"/>
    <w:rPr>
      <w:rFonts w:ascii="Consolas" w:hAnsi="Consolas"/>
      <w:color w:val="27AE60"/>
      <w:sz w:val="22"/>
    </w:rPr>
  </w:style>
  <w:style w:type="character" w:customStyle="1" w:styleId="FunctionTok">
    <w:name w:val="FunctionTok"/>
    <w:basedOn w:val="VerbatimChar"/>
    <w:rPr>
      <w:rFonts w:ascii="Consolas" w:hAnsi="Consolas"/>
      <w:color w:val="4078F2"/>
      <w:sz w:val="22"/>
    </w:rPr>
  </w:style>
  <w:style w:type="character" w:customStyle="1" w:styleId="VariableTok">
    <w:name w:val="VariableTok"/>
    <w:basedOn w:val="VerbatimChar"/>
    <w:rPr>
      <w:rFonts w:ascii="Consolas" w:hAnsi="Consolas"/>
      <w:color w:val="E45649"/>
      <w:sz w:val="22"/>
    </w:rPr>
  </w:style>
  <w:style w:type="character" w:customStyle="1" w:styleId="ControlFlowTok">
    <w:name w:val="ControlFlowTok"/>
    <w:basedOn w:val="VerbatimChar"/>
    <w:rPr>
      <w:rFonts w:ascii="Consolas" w:hAnsi="Consolas"/>
      <w:color w:val="A626A4"/>
      <w:sz w:val="22"/>
    </w:rPr>
  </w:style>
  <w:style w:type="character" w:customStyle="1" w:styleId="OperatorTok">
    <w:name w:val="OperatorTok"/>
    <w:basedOn w:val="VerbatimChar"/>
    <w:rPr>
      <w:rFonts w:ascii="Consolas" w:hAnsi="Consolas"/>
      <w:color w:val="A626A4"/>
      <w:sz w:val="22"/>
    </w:rPr>
  </w:style>
  <w:style w:type="character" w:customStyle="1" w:styleId="BuiltInTok">
    <w:name w:val="BuiltInTok"/>
    <w:basedOn w:val="VerbatimChar"/>
    <w:rPr>
      <w:rFonts w:ascii="Consolas" w:hAnsi="Consolas"/>
      <w:color w:val="A626A4"/>
      <w:sz w:val="22"/>
    </w:rPr>
  </w:style>
  <w:style w:type="character" w:customStyle="1" w:styleId="ExtensionTok">
    <w:name w:val="ExtensionTok"/>
    <w:basedOn w:val="VerbatimChar"/>
    <w:rPr>
      <w:rFonts w:ascii="Consolas" w:hAnsi="Consolas"/>
      <w:b/>
      <w:color w:val="4078F2"/>
      <w:sz w:val="22"/>
    </w:rPr>
  </w:style>
  <w:style w:type="character" w:customStyle="1" w:styleId="PreprocessorTok">
    <w:name w:val="PreprocessorTok"/>
    <w:basedOn w:val="VerbatimChar"/>
    <w:rPr>
      <w:rFonts w:ascii="Consolas" w:hAnsi="Consolas"/>
      <w:color w:val="A626A4"/>
      <w:sz w:val="22"/>
    </w:rPr>
  </w:style>
  <w:style w:type="character" w:customStyle="1" w:styleId="AttributeTok">
    <w:name w:val="AttributeTok"/>
    <w:basedOn w:val="VerbatimChar"/>
    <w:rPr>
      <w:rFonts w:ascii="Consolas" w:hAnsi="Consolas"/>
      <w:color w:val="A626A4"/>
      <w:sz w:val="22"/>
    </w:rPr>
  </w:style>
  <w:style w:type="character" w:customStyle="1" w:styleId="RegionMarkerTok">
    <w:name w:val="RegionMarkerTok"/>
    <w:basedOn w:val="VerbatimChar"/>
    <w:rPr>
      <w:rFonts w:ascii="Consolas" w:hAnsi="Consolas"/>
      <w:color w:val="2980B9"/>
      <w:sz w:val="22"/>
      <w:shd w:val="clear" w:color="auto" w:fill="153042"/>
    </w:rPr>
  </w:style>
  <w:style w:type="character" w:customStyle="1" w:styleId="InformationTok">
    <w:name w:val="InformationTok"/>
    <w:basedOn w:val="VerbatimChar"/>
    <w:rPr>
      <w:rFonts w:ascii="Consolas" w:hAnsi="Consolas"/>
      <w:color w:val="C45B00"/>
      <w:sz w:val="22"/>
    </w:rPr>
  </w:style>
  <w:style w:type="character" w:customStyle="1" w:styleId="WarningTok">
    <w:name w:val="WarningTok"/>
    <w:basedOn w:val="VerbatimChar"/>
    <w:rPr>
      <w:rFonts w:ascii="Consolas" w:hAnsi="Consolas"/>
      <w:color w:val="DA4453"/>
      <w:sz w:val="22"/>
    </w:rPr>
  </w:style>
  <w:style w:type="character" w:customStyle="1" w:styleId="AlertTok">
    <w:name w:val="AlertTok"/>
    <w:basedOn w:val="VerbatimChar"/>
    <w:rPr>
      <w:rFonts w:ascii="Consolas" w:hAnsi="Consolas"/>
      <w:b/>
      <w:color w:val="95DA4C"/>
      <w:sz w:val="22"/>
      <w:shd w:val="clear" w:color="auto" w:fill="4D1F24"/>
    </w:rPr>
  </w:style>
  <w:style w:type="character" w:customStyle="1" w:styleId="ErrorTok">
    <w:name w:val="ErrorTok"/>
    <w:basedOn w:val="VerbatimChar"/>
    <w:rPr>
      <w:rFonts w:ascii="Consolas" w:hAnsi="Consolas"/>
      <w:color w:val="F44747"/>
      <w:sz w:val="22"/>
    </w:rPr>
  </w:style>
  <w:style w:type="character" w:customStyle="1" w:styleId="NormalTok">
    <w:name w:val="NormalTok"/>
    <w:basedOn w:val="VerbatimChar"/>
    <w:rPr>
      <w:rFonts w:ascii="Consolas" w:hAnsi="Consolas"/>
      <w:color w:val="383A42"/>
      <w:sz w:val="22"/>
    </w:rPr>
  </w:style>
  <w:style w:type="paragraph" w:styleId="TOC1">
    <w:name w:val="toc 1"/>
    <w:basedOn w:val="Normal"/>
    <w:next w:val="Normal"/>
    <w:autoRedefine/>
    <w:uiPriority w:val="39"/>
    <w:rsid w:val="0018388A"/>
    <w:pPr>
      <w:spacing w:after="100"/>
    </w:pPr>
  </w:style>
  <w:style w:type="paragraph" w:styleId="TOC2">
    <w:name w:val="toc 2"/>
    <w:basedOn w:val="Normal"/>
    <w:next w:val="Normal"/>
    <w:autoRedefine/>
    <w:uiPriority w:val="39"/>
    <w:rsid w:val="0018388A"/>
    <w:pPr>
      <w:spacing w:after="100"/>
      <w:ind w:left="240"/>
    </w:pPr>
  </w:style>
  <w:style w:type="paragraph" w:styleId="TOC3">
    <w:name w:val="toc 3"/>
    <w:basedOn w:val="Normal"/>
    <w:next w:val="Normal"/>
    <w:autoRedefine/>
    <w:uiPriority w:val="39"/>
    <w:rsid w:val="0018388A"/>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bc.net.au/news/2022-12-04/mesh-implant-class-action-shine-lawyers-payout-dispute/101728850" TargetMode="External"/><Relationship Id="rId13" Type="http://schemas.openxmlformats.org/officeDocument/2006/relationships/hyperlink" Target="https://doi.org/10.1080/07474946.2011.539924" TargetMode="External"/><Relationship Id="rId18"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academic.oup.com/jamia/pages/General_Instructions" TargetMode="External"/><Relationship Id="rId12" Type="http://schemas.openxmlformats.org/officeDocument/2006/relationships/hyperlink" Target="https://doi.org/10.1002/sim.2473"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07/s002280050466" TargetMode="Externa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yperlink" Target="https://github.com/curtis-murray/MedicalDevicesNLP"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curtis-murray"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19</Pages>
  <Words>4679</Words>
  <Characters>26671</Characters>
  <Application>Microsoft Office Word</Application>
  <DocSecurity>0</DocSecurity>
  <Lines>222</Lines>
  <Paragraphs>62</Paragraphs>
  <ScaleCrop>false</ScaleCrop>
  <Company/>
  <LinksUpToDate>false</LinksUpToDate>
  <CharactersWithSpaces>31288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c:title>
  <dc:creator>Ty Stanford, Lan Kelly, Marianne Gillam, et al.</dc:creator>
  <cp:keywords/>
  <cp:lastModifiedBy>Ty Stanford</cp:lastModifiedBy>
  <cp:revision>2</cp:revision>
  <dcterms:created xsi:type="dcterms:W3CDTF">2023-12-22T10:19:00Z</dcterms:created>
  <dcterms:modified xsi:type="dcterms:W3CDTF">2023-12-22T10:19:00Z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source</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Signal detection of spontaneous medical device reports over time accounting for multiple comparisons</vt:lpwstr>
  </property>
  <property fmtid="{D5CDD505-2E9C-101B-9397-08002B2CF9AE}" pid="11" name="toc-title">
    <vt:lpwstr>Table of contents</vt:lpwstr>
  </property>
</Properties>
</file>