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7200"/>
        <w:gridCol w:w="7200"/>
      </w:tblGrid>
      <w:tr>
        <w:tc>
          <w:tcPr>
            <w:tcW w:type="dxa" w:w="7200"/>
          </w:tcPr>
          <w:p>
            <w:r>
              <w:rPr>
                <w:b/>
                <w:color w:val="104785"/>
                <w:sz w:val="40"/>
              </w:rPr>
              <w:t>Chapter I  Tổng quan về Dịch vụ Hỗ trợ Vận hành</w:t>
            </w:r>
          </w:p>
        </w:tc>
        <w:tc>
          <w:tcPr>
            <w:tcW w:type="dxa" w:w="7200"/>
          </w:tcPr>
          <w:p>
            <w:pPr>
              <w:jc w:val="right"/>
            </w:pPr>
            <w:r>
              <w:drawing>
                <wp:inline xmlns:a="http://schemas.openxmlformats.org/drawingml/2006/main" xmlns:pic="http://schemas.openxmlformats.org/drawingml/2006/picture">
                  <wp:extent cx="1371600" cy="315247"/>
                  <wp:docPr id="1" name="Picture 1"/>
                  <wp:cNvGraphicFramePr>
                    <a:graphicFrameLocks noChangeAspect="1"/>
                  </wp:cNvGraphicFramePr>
                  <a:graphic>
                    <a:graphicData uri="http://schemas.openxmlformats.org/drawingml/2006/picture">
                      <pic:pic>
                        <pic:nvPicPr>
                          <pic:cNvPr id="0" name="img_2.png"/>
                          <pic:cNvPicPr/>
                        </pic:nvPicPr>
                        <pic:blipFill>
                          <a:blip r:embed="rId9"/>
                          <a:stretch>
                            <a:fillRect/>
                          </a:stretch>
                        </pic:blipFill>
                        <pic:spPr>
                          <a:xfrm>
                            <a:off x="0" y="0"/>
                            <a:ext cx="1371600" cy="315247"/>
                          </a:xfrm>
                          <a:prstGeom prst="rect"/>
                        </pic:spPr>
                      </pic:pic>
                    </a:graphicData>
                  </a:graphic>
                </wp:inline>
              </w:drawing>
            </w:r>
          </w:p>
        </w:tc>
      </w:tr>
    </w:tbl>
    <w:p/>
    <w:p>
      <w:pPr>
        <w:pStyle w:val="ListBullet"/>
      </w:pPr>
      <w:r>
        <w:rPr>
          <w:b/>
          <w:u w:val="single"/>
        </w:rPr>
        <w:t>Công tác hỗ trợ vận hành</w:t>
      </w:r>
      <w:r>
        <w:t xml:space="preserve"> hướng đến mục tiêu duy trì hệ thống không để gián đoạn hoạt động kinh doanh thông qua việc khắc phục nhanh chóng khi có sự cố và hỗ trợ liên tục bởi đội ngũ nhân sự chuyên trách. Đồng thời, cung cấp hỗ trợ thường xuyên thông qua các hạng mục cải tiến và quản lý thay đổi (Change Management) trong suốt thời hạn hợp đồng.</w:t>
      </w:r>
    </w:p>
    <w:p>
      <w:pPr>
        <w:pStyle w:val="ListBullet"/>
      </w:pPr>
      <w:r>
        <w:rPr>
          <w:b/>
          <w:u w:val="single"/>
        </w:rPr>
        <w:t>Đội ngũ Hỗ trợ Khách hàng của Zionex (CST : Client Support Team)</w:t>
      </w:r>
      <w:r>
        <w:t xml:space="preserve"> thực hiện phân tích/giải quyết tận gốc các sự cố hệ thống, đưa ra nguyên nhân theo từng trường hợp cụ thể để loại bỏ các yếu tố rủi ro và nỗ lực nâng cao độ tin cậy của hệ thống thông qua việc thiết lập quy trình hỗ trợ vận hành.</w:t>
      </w:r>
    </w:p>
    <w:p/>
    <w:p>
      <w:pPr>
        <w:jc w:val="center"/>
      </w:pPr>
      <w:r>
        <w:rPr>
          <w:b/>
          <w:color w:val="104785"/>
          <w:sz w:val="28"/>
        </w:rPr>
        <w:t>『 Hỗ trợ dịch vụ nhằm vận hành hệ thống ổn định 』</w:t>
      </w:r>
    </w:p>
    <w:tbl>
      <w:tblPr>
        <w:tblStyle w:val="TableGrid"/>
        <w:tblW w:type="auto" w:w="0"/>
        <w:tblLook w:firstColumn="1" w:firstRow="1" w:lastColumn="0" w:lastRow="0" w:noHBand="0" w:noVBand="1" w:val="04A0"/>
      </w:tblPr>
      <w:tblGrid>
        <w:gridCol w:w="4800"/>
        <w:gridCol w:w="4800"/>
        <w:gridCol w:w="4800"/>
      </w:tblGrid>
      <w:tr>
        <w:tc>
          <w:tcPr>
            <w:tcW w:type="dxa" w:w="4800"/>
            <w:shd w:fill="104785"/>
          </w:tcPr>
          <w:p>
            <w:pPr>
              <w:jc w:val="center"/>
            </w:pPr>
            <w:r>
              <w:rPr>
                <w:b/>
                <w:color w:val="FFFFFF"/>
                <w:sz w:val="20"/>
              </w:rPr>
              <w:t>Đào tạo vận hành hệ thống định kỳ</w:t>
              <w:br/>
              <w:t>(Người vận hành hệ thống của khách hàng)</w:t>
            </w:r>
          </w:p>
        </w:tc>
        <w:tc>
          <w:tcPr>
            <w:tcW w:type="dxa" w:w="4800"/>
            <w:shd w:fill="104785"/>
          </w:tcPr>
          <w:p>
            <w:pPr>
              <w:jc w:val="center"/>
            </w:pPr>
            <w:r>
              <w:rPr>
                <w:b/>
                <w:color w:val="FFFFFF"/>
                <w:sz w:val="20"/>
              </w:rPr>
              <w:t>Quản lý hệ thống phát sinh lỗi hệ thống khi vận hành</w:t>
              <w:br/>
              <w:t>(Database/UI)</w:t>
            </w:r>
          </w:p>
        </w:tc>
        <w:tc>
          <w:tcPr>
            <w:tcW w:type="dxa" w:w="4800"/>
            <w:shd w:fill="104785"/>
          </w:tcPr>
          <w:p>
            <w:pPr>
              <w:jc w:val="center"/>
            </w:pPr>
            <w:r>
              <w:rPr>
                <w:b/>
                <w:color w:val="FFFFFF"/>
                <w:sz w:val="20"/>
              </w:rPr>
              <w:t>Hệ thống hỗ trợ khách hàng</w:t>
              <w:br/>
              <w:t>CST(Client Support Team)</w:t>
            </w:r>
          </w:p>
        </w:tc>
      </w:tr>
      <w:tr>
        <w:tc>
          <w:tcPr>
            <w:tcW w:type="dxa" w:w="4800"/>
            <w:shd w:fill="F2F2F2"/>
          </w:tcPr>
          <w:p>
            <w:r>
              <w:rPr>
                <w:sz w:val="18"/>
              </w:rPr>
              <w:t>▪ Tham gia vào toàn bộ quá trình phát triển hệ thống</w:t>
              <w:br/>
              <w:t>▪ Tham gia vận hành hệ thống thông qua các khóa đào tạo kịp thời</w:t>
              <w:br/>
              <w:t>▪ Đào tạo nhân sự kỹ thuật chuyên môn</w:t>
            </w:r>
          </w:p>
        </w:tc>
        <w:tc>
          <w:tcPr>
            <w:tcW w:type="dxa" w:w="4800"/>
            <w:shd w:fill="D9D9D9"/>
          </w:tcPr>
          <w:p>
            <w:r>
              <w:rPr>
                <w:sz w:val="18"/>
              </w:rPr>
              <w:t>▪ Quản lý có hệ thống và phối hợp giải quyết các sự cố phát sinh khi vận hành hệ thống</w:t>
              <w:br/>
              <w:t>▪ Giải quyết triệt để vấn đề thông qua việc phát hiện sớm sự cố 및 bảo trì phòng ngừa trong quá trình vận hành</w:t>
              <w:br/>
              <w:t>▪ Đảm bảo độ tin cậy của hệ thống thông qua việc thiết lập quy trình hỗ trợ vận hành</w:t>
            </w:r>
          </w:p>
        </w:tc>
        <w:tc>
          <w:tcPr>
            <w:tcW w:type="dxa" w:w="4800"/>
            <w:shd w:fill="F2F2F2"/>
          </w:tcPr>
          <w:p>
            <w:r>
              <w:rPr>
                <w:sz w:val="18"/>
              </w:rPr>
              <w:t>▪ Đội ngũ hỗ trợ khách hàng</w:t>
              <w:br/>
              <w:t>▪ Dịch vụ T³Series</w:t>
              <w:br/>
              <w:t>▪ Dịch vụ cơ sở dữ liệu (Database)</w:t>
              <w:br/>
              <w:t>▪ Dịch vụ giao diện người dùng (User UI)</w:t>
            </w:r>
          </w:p>
        </w:tc>
      </w:tr>
    </w:tbl>
    <w:p>
      <w:pPr>
        <w:jc w:val="center"/>
      </w:pPr>
      <w:r>
        <w:rPr>
          <w:b/>
        </w:rPr>
        <w:br/>
        <w:t>[ 3 ]</w:t>
      </w:r>
    </w:p>
    <w:sectPr w:rsidR="00FC693F" w:rsidRPr="0006063C" w:rsidSect="00034616">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