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17"/>
        <w:gridCol w:w="9921"/>
        <w:gridCol w:w="2835"/>
      </w:tblGrid>
      <w:tr>
        <w:tc>
          <w:tcPr>
            <w:tcW w:type="dxa" w:w="4902"/>
            <w:shd w:fill="104785"/>
          </w:tcPr>
          <w:p>
            <w:pPr>
              <w:jc w:val="center"/>
            </w:pPr>
            <w:r>
              <w:rPr>
                <w:color w:val="FFFFFF"/>
                <w:sz w:val="16"/>
              </w:rPr>
              <w:t>Chapter</w:t>
              <w:br/>
            </w:r>
            <w:r>
              <w:rPr>
                <w:b/>
                <w:color w:val="FFFFFF"/>
                <w:sz w:val="56"/>
              </w:rPr>
              <w:t>II</w:t>
            </w:r>
          </w:p>
        </w:tc>
        <w:tc>
          <w:tcPr>
            <w:tcW w:type="dxa" w:w="4902"/>
          </w:tcPr>
          <w:p>
            <w:pPr>
              <w:ind w:left="283"/>
              <w:jc w:val="left"/>
            </w:pPr>
            <w:r>
              <w:rPr>
                <w:b/>
                <w:color w:val="104785"/>
                <w:sz w:val="48"/>
              </w:rPr>
              <w:t>Quy trình Dịch vụ Hỗ trợ Vận hành</w:t>
            </w:r>
          </w:p>
        </w:tc>
        <w:tc>
          <w:tcPr>
            <w:tcW w:type="dxa" w:w="4902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60000" cy="2895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289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ind w:left="850"/>
      </w:pPr>
      <w:r>
        <w:rPr>
          <w:b/>
        </w:rPr>
        <w:t xml:space="preserve">▪ </w:t>
      </w:r>
      <w:r>
        <w:t>Người phụ trách hệ thống phía khách hàng gửi E-mail sự cố đến cst@zionex.com (Lịch sử xử lý) và thực hiện các cuộc gọi bổ sung</w:t>
      </w:r>
    </w:p>
    <w:p>
      <w:pPr>
        <w:ind w:left="850"/>
      </w:pPr>
      <w:r>
        <w:rPr>
          <w:b/>
        </w:rPr>
        <w:t xml:space="preserve">▪ </w:t>
      </w:r>
      <w:r>
        <w:t>Nhân viên hỗ trợ vận hành Zionex xác nhận và xử lý sự cố</w:t>
      </w:r>
    </w:p>
    <w:p>
      <w:pPr>
        <w:ind w:left="850"/>
      </w:pPr>
      <w:r>
        <w:rPr>
          <w:b/>
        </w:rPr>
        <w:t xml:space="preserve">▪ </w:t>
      </w:r>
      <w:r>
        <w:t>Các vấn đề không thể giải quyết bởi nhân viên hỗ trợ vận hành sẽ được chuyển đến người phụ trách dự án trước đó (ODE) hoặc đội ngũ R&amp;D</w:t>
      </w:r>
    </w:p>
    <w:p>
      <w:pPr>
        <w:ind w:left="850"/>
      </w:pPr>
      <w:r>
        <w:rPr>
          <w:b/>
        </w:rPr>
        <w:t xml:space="preserve">▪ </w:t>
      </w:r>
      <w:r>
        <w:t>Kết quả xử lý được phản hồi cho người phụ trách hệ thống hoặc giải thích qua điện thoại</w:t>
      </w:r>
    </w:p>
    <w:p>
      <w:pPr>
        <w:ind w:left="850"/>
      </w:pPr>
      <w:r>
        <w:rPr>
          <w:b/>
        </w:rPr>
        <w:t xml:space="preserve">▪ </w:t>
      </w:r>
      <w:r>
        <w:t>Áp dụng vào hệ thống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14705"/>
            <w:gridSpan w:val="5"/>
            <w:shd w:fill="104785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Quy trình Hỗ trợ Dịch vụ Vận hành</w:t>
            </w:r>
          </w:p>
        </w:tc>
      </w:tr>
      <w:tr>
        <w:tc>
          <w:tcPr>
            <w:tcW w:type="dxa" w:w="2941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Khách hàng</w:t>
            </w:r>
          </w:p>
        </w:tc>
        <w:tc>
          <w:tcPr>
            <w:tcW w:type="dxa" w:w="2941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Gửi E-Mail sự cố</w:t>
              <w:br/>
              <w:t>Hoặc Gọi điện thoại</w:t>
            </w:r>
          </w:p>
        </w:tc>
        <w:tc>
          <w:tcPr>
            <w:tcW w:type="dxa" w:w="2941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Đội ngũ Hỗ trợ</w:t>
              <w:br/>
              <w:t>Khách hàng</w:t>
            </w:r>
          </w:p>
        </w:tc>
        <w:tc>
          <w:tcPr>
            <w:tcW w:type="dxa" w:w="2941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Đội ngũ Tư vấn</w:t>
            </w:r>
          </w:p>
        </w:tc>
        <w:tc>
          <w:tcPr>
            <w:tcW w:type="dxa" w:w="2941"/>
            <w:shd w:fill="D2E3F3"/>
          </w:tcPr>
          <w:p>
            <w:pPr>
              <w:jc w:val="center"/>
            </w:pPr>
            <w:r>
              <w:rPr>
                <w:b/>
                <w:sz w:val="20"/>
              </w:rPr>
              <w:t>R&amp;D</w:t>
            </w:r>
          </w:p>
        </w:tc>
      </w:tr>
      <w:tr>
        <w:tc>
          <w:tcPr>
            <w:tcW w:type="dxa" w:w="2941"/>
          </w:tcPr>
          <w:p/>
          <w:p>
            <w:pPr>
              <w:jc w:val="center"/>
            </w:pPr>
            <w:r>
              <w:rPr>
                <w:sz w:val="18"/>
              </w:rPr>
              <w:t>Người dùng</w:t>
            </w:r>
          </w:p>
          <w:p>
            <w:pPr>
              <w:jc w:val="center"/>
            </w:pPr>
            <w:r>
              <w:rPr>
                <w:sz w:val="18"/>
              </w:rPr>
              <w:t>↕</w:t>
            </w:r>
          </w:p>
          <w:p>
            <w:pPr>
              <w:jc w:val="center"/>
            </w:pPr>
            <w:r>
              <w:rPr>
                <w:sz w:val="18"/>
              </w:rPr>
              <w:t>Người phụ trách hệ thống</w:t>
            </w:r>
          </w:p>
          <w:p>
            <w:pPr>
              <w:jc w:val="center"/>
            </w:pPr>
            <w:r>
              <w:rPr>
                <w:sz w:val="18"/>
              </w:rPr>
              <w:t>➡</w:t>
            </w:r>
          </w:p>
        </w:tc>
        <w:tc>
          <w:tcPr>
            <w:tcW w:type="dxa" w:w="2941"/>
          </w:tcPr>
          <w:p/>
          <w:p>
            <w:pPr>
              <w:jc w:val="center"/>
            </w:pPr>
            <w:r>
              <w:rPr>
                <w:sz w:val="18"/>
              </w:rPr>
              <w:t>✉ Đăng ký email sự cố</w:t>
            </w:r>
          </w:p>
          <w:p>
            <w:pPr>
              <w:jc w:val="center"/>
            </w:pPr>
            <w:r>
              <w:rPr>
                <w:sz w:val="18"/>
              </w:rPr>
              <w:t>☎ Gọi điện thoại bổ sung</w:t>
            </w:r>
          </w:p>
          <w:p>
            <w:pPr>
              <w:jc w:val="center"/>
            </w:pPr>
            <w:r>
              <w:rPr>
                <w:sz w:val="18"/>
              </w:rPr>
              <w:t>➡</w:t>
            </w:r>
          </w:p>
        </w:tc>
        <w:tc>
          <w:tcPr>
            <w:tcW w:type="dxa" w:w="2941"/>
          </w:tcPr>
          <w:p/>
          <w:p>
            <w:pPr>
              <w:jc w:val="center"/>
            </w:pPr>
            <w:r>
              <w:rPr>
                <w:sz w:val="18"/>
              </w:rPr>
              <w:t>Nhân viên hỗ trợ vận hành</w:t>
            </w:r>
          </w:p>
          <w:p>
            <w:pPr>
              <w:jc w:val="center"/>
            </w:pPr>
            <w:r>
              <w:rPr>
                <w:sz w:val="18"/>
              </w:rPr>
              <w:t>↔</w:t>
            </w:r>
          </w:p>
        </w:tc>
        <w:tc>
          <w:tcPr>
            <w:tcW w:type="dxa" w:w="2941"/>
          </w:tcPr>
          <w:p/>
          <w:p>
            <w:pPr>
              <w:jc w:val="center"/>
            </w:pPr>
            <w:r>
              <w:rPr>
                <w:sz w:val="18"/>
              </w:rPr>
              <w:t>Người phụ trách ODE</w:t>
            </w:r>
          </w:p>
          <w:p>
            <w:pPr>
              <w:jc w:val="center"/>
            </w:pPr>
            <w:r>
              <w:rPr>
                <w:sz w:val="18"/>
              </w:rPr>
              <w:t>➡</w:t>
            </w:r>
          </w:p>
        </w:tc>
        <w:tc>
          <w:tcPr>
            <w:tcW w:type="dxa" w:w="2941"/>
          </w:tcPr>
          <w:p/>
          <w:p>
            <w:pPr>
              <w:jc w:val="center"/>
            </w:pPr>
            <w:r>
              <w:rPr>
                <w:sz w:val="18"/>
              </w:rPr>
              <w:t>Viện nghiên cứu (R&amp;D Lab)</w:t>
            </w:r>
          </w:p>
          <w:p>
            <w:pPr>
              <w:jc w:val="center"/>
            </w:pPr>
            <w:r>
              <w:rPr>
                <w:sz w:val="18"/>
              </w:rPr>
              <w:t>⬇</w:t>
            </w:r>
          </w:p>
          <w:p>
            <w:pPr>
              <w:jc w:val="center"/>
            </w:pPr>
            <w:r>
              <w:rPr>
                <w:sz w:val="18"/>
              </w:rPr>
              <w:t>◆ Phân tích loại lỗi</w:t>
            </w:r>
          </w:p>
        </w:tc>
      </w:tr>
    </w:tbl>
    <w:p/>
    <w:p>
      <w:pPr>
        <w:jc w:val="right"/>
      </w:pPr>
      <w:r>
        <w:rPr>
          <w:sz w:val="18"/>
        </w:rPr>
        <w:t>* ODE : Original Development Engineer (Kỹ sư phát triển ban đầu)</w:t>
      </w:r>
    </w:p>
    <w:p>
      <w:pPr>
        <w:jc w:val="center"/>
      </w:pPr>
      <w:r>
        <w:rPr>
          <w:b/>
        </w:rPr>
        <w:t>[ 4 ]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