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使用Parzen窗法估计概率密度</w:t>
      </w:r>
      <w:r>
        <w:rPr>
          <w:rFonts w:hint="eastAsia"/>
        </w:rPr>
        <w:t>实现手写数字识别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实验目的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使用Parzen窗法估计贝叶斯公式中的类条件概率密度，进而实现手写数字的识别。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实验方法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搭建平台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使用Windows系统自带的画图工具分别构建训练样本集和测试样本集，使用MATLAB GUI编程环境对它们进行处理、识别。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将手写部分从图像中分割，并转化为灰度图像，而后将其分割为6*6=36个小图片，用每个小图片中黑色像素占总像素的比重作为该样本的特征，也就是一个36维的向量。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子函数get_feature(image)代码如下：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function[feature] = get_feature(image)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%从图像中分割出手写部分</w:t>
      </w:r>
      <w:r>
        <w:rPr>
          <w:rFonts w:hint="eastAsia"/>
          <w:lang w:val="en-US" w:eastAsia="zh-CN"/>
        </w:rPr>
        <w:t>并转为灰度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image2 = pretreat(image);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mat2cell(image2,[10,10,10,10,10,10],[7,7,7,7,7,7]);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reshape(A,1,36);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i=1:length(B)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cell2mat(B(i));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%feature(i)表示黑像素点占一个小块的比例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feature(i) = sum(temp(:) ~= 255) / numel(temp);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%feature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关键算法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非参数估计的基本原理与直方图方法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直方图（histogram）方法是最简单直观的非参数估计方法，也是日常生活中人们最常用的对数据进行统计分析的方法。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进行直方图估计的做法是：</w:t>
      </w:r>
    </w:p>
    <w:p>
      <w:pPr>
        <w:numPr>
          <w:ilvl w:val="0"/>
          <w:numId w:val="4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把样本x的每个分量在其取值范围内分成k个等间隔的小窗。如果x是d维向量，则这种分割就会得到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6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个小体积或者称为小舱，每个小舱的体积记作V。</w:t>
      </w:r>
    </w:p>
    <w:p>
      <w:pPr>
        <w:numPr>
          <w:ilvl w:val="0"/>
          <w:numId w:val="4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统计落入每个小舱内的样本数目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把每个小舱内的概率密度看作常数，并用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作为其估计值，其中N为样本总数。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直方图估计中，我们采用的是把样本空间在样本取值范围内等分的做法。可以设想，小舱的选择是与估计的效果密切相连的：如果小舱选择过大，那么假设p(x)在小舱内为常数的做法就显得粗糙，导致最终估计出的密度函数也非常粗糙；而另一方面，如果小舱过小，则有些小舱就可能没有样本或者很少样本，导致估计出的概率密度函数很不连续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所以，小舱的选择应该与样本总数相适应。理论上讲，假定样本总数是n，小舱的体积是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，在x附近位置上落入小舱的样本数是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，那么当样本趋于无穷时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24pt;width:2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趋于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2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的条件是</w:t>
      </w:r>
    </w:p>
    <w:p>
      <w:pPr>
        <w:numPr>
          <w:ilvl w:val="0"/>
          <w:numId w:val="5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32" o:spt="75" type="#_x0000_t75" style="height:24.95pt;width:5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5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33" o:spt="75" type="#_x0000_t75" style="height:24.95pt;width:6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5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34" o:spt="75" type="#_x0000_t75" style="height:31.95pt;width:5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直观的解释是：随着样本数的增加，小舱的体积应该尽可能小，同时又必须保证小舱内有充分多的样本，但每个小舱内的样本数又必须是总样本数中很小的一部分。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Parzen窗法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假定x是d维特征向量，并假设每个小舱是一个超立方体，它在每一维的棱长都为h，则小舱的体积是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6pt;width:3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，要计算每个小舱内落入的样本数目，可以用如下的d维单位方窗函数：</w:t>
      </w:r>
    </w:p>
    <w:p>
      <w:p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36" o:spt="75" type="#_x0000_t75" style="height:52pt;width:2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该函数在以原点为中心的d维单位超正方体内取值为1，在其他地方取值都为0。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对于每一个x，要考察某个样本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是否在这个x为中心，h为棱长的立方体小舱内，就可以通过计算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来完成。于是，对于n个观测样本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6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，落入以x为中心的超立方体内的样本数就可以写成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34pt;width:8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，这样就可以得到对于任意一点x的密度估算的表达式</w:t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1" o:spt="75" type="#_x0000_t75" style="height:34pt;width:118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从另外一个角度理解该公式：定义窗函数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1pt;width:10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，它反映了一个观测样本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1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对在x处概率密度的贡献，而概率密度函数就是把每个样本的贡献进行平均，即</w:t>
      </w:r>
      <w:r>
        <w:rPr>
          <w:rFonts w:hint="default"/>
          <w:position w:val="-28"/>
          <w:lang w:val="en-US" w:eastAsia="zh-CN"/>
        </w:rPr>
        <w:object>
          <v:shape id="_x0000_i1044" o:spt="75" type="#_x0000_t75" style="height:34pt;width:103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这种用窗函数估计概率密度的方法称为Parzen窗方法。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上述的</w:t>
      </w:r>
      <w:r>
        <w:rPr>
          <w:rFonts w:hint="eastAsia"/>
          <w:position w:val="-12"/>
          <w:lang w:val="en-US" w:eastAsia="zh-CN"/>
        </w:rPr>
        <w:object>
          <v:shape id="_x0000_i1045" o:spt="75" type="#_x0000_t75" style="height:18pt;width:4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称为方窗函数，除此之外，还有很多其他窗函数，如高斯窗、超球窗等。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本次实验使用的是方窗函数，其MATLAB代码实现如下：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%方形窗口函数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function[res] = window_function(vec)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((vec&lt;0.75) &amp;(vec&gt;-0.75)) == ones(1,36)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res=1;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res=0;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使用该窗口函数估计概率密度的子函数如下：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%用Parzen窗法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function[pXwi] = get_pXwi(new_feature)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pXwi = [];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i=0:9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image_list = dir(strcat('./样本',num2str(i),'/*.png'));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p=0;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j=1:length(image_list)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feature = get_feature(imread(strcat('./样本',num2str(i),'/',image_list(j).name)));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p+window_function(new_feature-feature);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p/length(image_list);%除以样本总数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p/2^length(new_feature);%除以空间体积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pXwi = [pXwi,p];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实验结果</w:t>
      </w:r>
    </w:p>
    <w:p>
      <w:pPr>
        <w:pStyle w:val="4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训练样本集构建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使用Windows系统自带的画图软件创建训练样本集，使用10个文件夹分别保存10个类的训练集，如下图。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9230" cy="1915160"/>
            <wp:effectExtent l="0" t="0" r="11430" b="1270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训练样本集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每一个样本都有一个固定的模板图片，用画图工具在该图片的指定位置手写数字，模板图片如下图。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1135" cy="3714750"/>
            <wp:effectExtent l="0" t="0" r="9525" b="127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样本构建的模板图片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某一手写完成的样本如下图。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155565" cy="3699510"/>
            <wp:effectExtent l="0" t="0" r="13335" b="25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某一手写完成的样本</w:t>
      </w:r>
    </w:p>
    <w:p>
      <w:pPr>
        <w:pStyle w:val="4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测试集构建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测试集样本的制作与训练集基本相同，不同的是，将所有图片都保存至同一文件夹“测试样本集”中，以供程序读取识别。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本次实验测试样本集如下图。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7960" cy="3857625"/>
            <wp:effectExtent l="0" t="0" r="12700" b="1206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 测试样本集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该样本集中有手写数字0-9各10个，它们的命名以各自的数字开头，用于实验中计算正确率。</w:t>
      </w:r>
    </w:p>
    <w:p>
      <w:pPr>
        <w:pStyle w:val="4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实验结果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实验的运行环境是MATLAB GUI，本次实验各控件布局如下图。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72405" cy="4747260"/>
            <wp:effectExtent l="0" t="0" r="8255" b="254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 GUI控件的布局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图中已表明了各控件的作用，其中axes1用于运行时显示正在识别的样本。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程序运行时效果如下图：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4551045"/>
            <wp:effectExtent l="0" t="0" r="9525" b="3175"/>
            <wp:docPr id="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 程序正在运行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程序运行结束时如下图：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4551045"/>
            <wp:effectExtent l="0" t="0" r="9525" b="3175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三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 程序运行结束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性能量化评估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本次实验待识别样本共100个，运行结果显示，本次实验中识别的正确率为99%。</w:t>
      </w:r>
    </w:p>
    <w:p>
      <w:pPr>
        <w:pStyle w:val="3"/>
        <w:bidi w:val="0"/>
      </w:pPr>
      <w:r>
        <w:drawing>
          <wp:inline distT="0" distB="0" distL="114300" distR="114300">
            <wp:extent cx="13970" cy="6985"/>
            <wp:effectExtent l="0" t="0" r="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结果讨论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运行结果显示，对于数字9的样本“92.png”识别错误，该样本如下图。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74035" cy="2377440"/>
            <wp:effectExtent l="0" t="0" r="13335" b="1143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四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ab/>
        <w:t>识别错误的样本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在MATLAB命令窗口中对其进行测试如下：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73245" cy="2857500"/>
            <wp:effectExtent l="0" t="0" r="13335" b="635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四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对识别错误的样本进行测试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结果显示，程序认为该样本是7的</w:t>
      </w:r>
      <w:bookmarkStart w:id="0" w:name="_GoBack"/>
      <w:bookmarkEnd w:id="0"/>
      <w:r>
        <w:rPr>
          <w:rFonts w:hint="eastAsia"/>
          <w:lang w:val="en-US" w:eastAsia="zh-CN"/>
        </w:rPr>
        <w:t>概率为0.5833，是9的概率为0.4167。直观看来，这两个数字确实有相似之处。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从测试结果看，程序认为是其他数字的概率均为0，原因在于本次试验使用的是最简单的方窗函数，如果是用高斯窗或超球体窗结果会更“精确”。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结论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本次实验使用MATLAB编程环境，完成了Parzen窗函数估计概率密度的算法实现，进而通过贝叶斯公式实现了手写数字识别，通过对测试样本集（100个样本）的识别，结果显示正确率达99%，表示实验过程中各个样本集的建立以及所用算法较为可靠。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AF39F"/>
    <w:multiLevelType w:val="singleLevel"/>
    <w:tmpl w:val="AA0AF39F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20D73C"/>
    <w:multiLevelType w:val="singleLevel"/>
    <w:tmpl w:val="BD20D73C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D991FD7C"/>
    <w:multiLevelType w:val="singleLevel"/>
    <w:tmpl w:val="D991FD7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17B1DEFC"/>
    <w:multiLevelType w:val="singleLevel"/>
    <w:tmpl w:val="17B1DEFC"/>
    <w:lvl w:ilvl="0" w:tentative="0">
      <w:start w:val="1"/>
      <w:numFmt w:val="decimal"/>
      <w:pStyle w:val="5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4831F19"/>
    <w:multiLevelType w:val="singleLevel"/>
    <w:tmpl w:val="44831F1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38B3"/>
    <w:rsid w:val="05AB5D6F"/>
    <w:rsid w:val="07D07D12"/>
    <w:rsid w:val="0876098B"/>
    <w:rsid w:val="0A32126C"/>
    <w:rsid w:val="0C5803CA"/>
    <w:rsid w:val="0E4E7B93"/>
    <w:rsid w:val="0ECA1D96"/>
    <w:rsid w:val="0ED61BB1"/>
    <w:rsid w:val="11AB6AD5"/>
    <w:rsid w:val="11E422EB"/>
    <w:rsid w:val="12482B0D"/>
    <w:rsid w:val="14BB54F3"/>
    <w:rsid w:val="14C4053A"/>
    <w:rsid w:val="14FF6A42"/>
    <w:rsid w:val="1667546C"/>
    <w:rsid w:val="16F20852"/>
    <w:rsid w:val="1780661C"/>
    <w:rsid w:val="191871E0"/>
    <w:rsid w:val="19543241"/>
    <w:rsid w:val="1F953376"/>
    <w:rsid w:val="209E7A54"/>
    <w:rsid w:val="21650432"/>
    <w:rsid w:val="260733B4"/>
    <w:rsid w:val="27B720E3"/>
    <w:rsid w:val="288D6231"/>
    <w:rsid w:val="29090484"/>
    <w:rsid w:val="2D0E2524"/>
    <w:rsid w:val="2EBB119F"/>
    <w:rsid w:val="2EC12B93"/>
    <w:rsid w:val="2F3948F7"/>
    <w:rsid w:val="2FF42612"/>
    <w:rsid w:val="30D80A4C"/>
    <w:rsid w:val="31D82417"/>
    <w:rsid w:val="34510682"/>
    <w:rsid w:val="3465021E"/>
    <w:rsid w:val="35B505F6"/>
    <w:rsid w:val="383B207D"/>
    <w:rsid w:val="38AC79D5"/>
    <w:rsid w:val="38B4077E"/>
    <w:rsid w:val="39B76B97"/>
    <w:rsid w:val="39B950D8"/>
    <w:rsid w:val="39BC2A40"/>
    <w:rsid w:val="3BDD6292"/>
    <w:rsid w:val="3D8461B2"/>
    <w:rsid w:val="3FE2170D"/>
    <w:rsid w:val="40577085"/>
    <w:rsid w:val="408F0748"/>
    <w:rsid w:val="411770D9"/>
    <w:rsid w:val="45115B9D"/>
    <w:rsid w:val="456811A2"/>
    <w:rsid w:val="4931060F"/>
    <w:rsid w:val="4A2F27A2"/>
    <w:rsid w:val="4CB661CE"/>
    <w:rsid w:val="51E75B70"/>
    <w:rsid w:val="551B358F"/>
    <w:rsid w:val="572F0385"/>
    <w:rsid w:val="576D6762"/>
    <w:rsid w:val="59F410BA"/>
    <w:rsid w:val="5B8278D1"/>
    <w:rsid w:val="5C73086B"/>
    <w:rsid w:val="5EA9063A"/>
    <w:rsid w:val="5EFB19F9"/>
    <w:rsid w:val="612F39F5"/>
    <w:rsid w:val="637750ED"/>
    <w:rsid w:val="641049F5"/>
    <w:rsid w:val="64395383"/>
    <w:rsid w:val="655D60E4"/>
    <w:rsid w:val="670D2B2A"/>
    <w:rsid w:val="6D1A047D"/>
    <w:rsid w:val="6D9F290F"/>
    <w:rsid w:val="6EB475D7"/>
    <w:rsid w:val="6FF7557E"/>
    <w:rsid w:val="6FFC4A76"/>
    <w:rsid w:val="711E7BDF"/>
    <w:rsid w:val="71515840"/>
    <w:rsid w:val="72174D1C"/>
    <w:rsid w:val="7244511D"/>
    <w:rsid w:val="740D75ED"/>
    <w:rsid w:val="76707358"/>
    <w:rsid w:val="773A3178"/>
    <w:rsid w:val="775744BA"/>
    <w:rsid w:val="79A47B1F"/>
    <w:rsid w:val="7B5E13DF"/>
    <w:rsid w:val="7BD64944"/>
    <w:rsid w:val="7C58644E"/>
    <w:rsid w:val="7CF76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jc w:val="both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 w:val="0"/>
      <w:numPr>
        <w:ilvl w:val="0"/>
        <w:numId w:val="2"/>
      </w:numPr>
      <w:spacing w:before="260" w:beforeLines="0" w:beforeAutospacing="0" w:after="260" w:afterLines="0" w:afterAutospacing="0" w:line="413" w:lineRule="auto"/>
      <w:ind w:left="905" w:leftChars="200"/>
      <w:jc w:val="left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80" w:beforeLines="0" w:beforeAutospacing="0" w:after="290" w:afterLines="0" w:afterAutospacing="0" w:line="372" w:lineRule="auto"/>
      <w:ind w:left="905" w:leftChars="200"/>
      <w:jc w:val="left"/>
      <w:outlineLvl w:val="3"/>
    </w:pPr>
    <w:rPr>
      <w:rFonts w:eastAsia="宋体"/>
      <w:b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31.png"/><Relationship Id="rId54" Type="http://schemas.openxmlformats.org/officeDocument/2006/relationships/image" Target="media/image30.png"/><Relationship Id="rId53" Type="http://schemas.openxmlformats.org/officeDocument/2006/relationships/image" Target="media/image29.png"/><Relationship Id="rId52" Type="http://schemas.openxmlformats.org/officeDocument/2006/relationships/image" Target="media/image28.png"/><Relationship Id="rId51" Type="http://schemas.openxmlformats.org/officeDocument/2006/relationships/image" Target="media/image27.png"/><Relationship Id="rId50" Type="http://schemas.openxmlformats.org/officeDocument/2006/relationships/image" Target="media/image26.png"/><Relationship Id="rId5" Type="http://schemas.openxmlformats.org/officeDocument/2006/relationships/image" Target="media/image1.wmf"/><Relationship Id="rId49" Type="http://schemas.openxmlformats.org/officeDocument/2006/relationships/image" Target="media/image25.png"/><Relationship Id="rId48" Type="http://schemas.openxmlformats.org/officeDocument/2006/relationships/image" Target="media/image24.png"/><Relationship Id="rId47" Type="http://schemas.openxmlformats.org/officeDocument/2006/relationships/image" Target="media/image23.png"/><Relationship Id="rId46" Type="http://schemas.openxmlformats.org/officeDocument/2006/relationships/image" Target="media/image22.png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zhuran</dc:creator>
  <cp:lastModifiedBy>zhuran</cp:lastModifiedBy>
  <dcterms:modified xsi:type="dcterms:W3CDTF">2019-11-17T03:08:04Z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