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00"/>
      </w:pPr>
      <w:r>
        <w:rPr>
          <w:rFonts w:ascii="Calibri" w:hAnsi="Calibri" w:eastAsia="Microsoft YaHei"/>
          <w:b/>
          <w:color w:val="C85E32"/>
          <w:sz w:val="20"/>
        </w:rPr>
        <w:t>OPPEIN AI INSPIRATION · MVP v1.0</w:t>
      </w:r>
    </w:p>
    <w:p>
      <w:pPr>
        <w:spacing w:after="200"/>
      </w:pPr>
      <w:r>
        <w:rPr>
          <w:rFonts w:ascii="Calibri" w:hAnsi="Calibri" w:eastAsia="Microsoft YaHei"/>
          <w:b/>
          <w:color w:val="293328"/>
          <w:sz w:val="60"/>
        </w:rPr>
        <w:t>欧派AI灵感家</w:t>
      </w:r>
    </w:p>
    <w:p>
      <w:pPr>
        <w:spacing w:after="400"/>
      </w:pPr>
      <w:r>
        <w:rPr>
          <w:rFonts w:ascii="Calibri" w:hAnsi="Calibri" w:eastAsia="Microsoft YaHei"/>
          <w:b w:val="0"/>
          <w:color w:val="C85E32"/>
          <w:sz w:val="50"/>
        </w:rPr>
        <w:t>系统使用说明书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4D78"/>
          <w:sz w:val="28"/>
        </w:rPr>
        <w:t>基于成交案例库的客户需求洞察与全案推荐系统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676B65"/>
          <w:sz w:val="22"/>
        </w:rPr>
        <w:t>适用于比赛演示、答辩讲解与本地MVP验收</w:t>
      </w:r>
    </w:p>
    <w:p>
      <w:pPr>
        <w:spacing w:after="40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C85E32"/>
                <w:sz w:val="21"/>
              </w:rPr>
              <w:t>演示边界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本系统为比赛MVP。客户、预算、成交、满意度、SKU、价格、日期、进度与风险事件均为脱敏模拟或AI虚构数据；不连接欧派真实客户、订单、报价、生产或交付系统。</w:t>
            </w:r>
          </w:p>
        </w:tc>
      </w:tr>
    </w:tbl>
    <w:p>
      <w:pPr>
        <w:spacing w:after="20"/>
      </w:pPr>
    </w:p>
    <w:p>
      <w:pPr>
        <w:spacing w:after="5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文档项</w:t>
            </w:r>
          </w:p>
        </w:tc>
        <w:tc>
          <w:tcPr>
            <w:tcW w:type="dxa" w:w="72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版本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发布日期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2026年7月17日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系统地址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http://localhost:3001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API地址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http://localhost:4000/api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文档目的与系统范围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本说明书用于指导演示者在本地启动并完整操作“欧派AI灵感家”，同时说明推荐算法、风险预警、接口边界和验收方法。当前网站从视觉偏好选择开始，使用PRD规定的固定演示客户“林女士”，依次完成客户画像、案例推荐和模拟交付。</w:t>
      </w:r>
    </w:p>
    <w:p>
      <w:pPr>
        <w:pStyle w:val="Heading2"/>
        <w:keepNext/>
      </w:pPr>
      <w:r>
        <w:t>1.1 已实现功能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 w:val="true"/>
          <w:cantSplit/>
        </w:trPr>
        <w:tc>
          <w:tcPr>
            <w:tcW w:type="dxa" w:w="1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模块</w:t>
            </w:r>
          </w:p>
        </w:tc>
        <w:tc>
          <w:tcPr>
            <w:tcW w:type="dxa" w:w="4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主要能力</w:t>
            </w:r>
          </w:p>
        </w:tc>
        <w:tc>
          <w:tcPr>
            <w:tcW w:type="dxa" w:w="27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视觉偏好选择器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七轮图片选择；喜欢、不喜欢、都可以、跳过、撤销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结构化偏好事件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实时客户画像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按选择即时汇总偏好、来源与置信度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视觉需求画像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矛盾识别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识别开放格与易清洁、儿童安全、视觉整洁冲突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20%开放＋80%封闭建议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案例推荐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60条模拟案例过滤、评分与三策略重排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三套可解释方案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交付看板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八阶段进度、240条模拟SKU协同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模拟项目单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风险预警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报价漏项、跨品类交期不一致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证据、影响、建议与日志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完整用户流程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进入网站 → 查看图片并逐轮表达偏好 → 观察客户画像变化 → 处理需求冲突 → 完成视觉画像 → 比较三套推荐 → 调整预算或查看评分证据 → 选择方案 → 检查八阶段交付进度 → 处理两项风险 → 进入模拟下单。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0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93328"/>
                <w:sz w:val="21"/>
              </w:rPr>
              <w:t>建议演示时长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完整操作约3分钟。若时间紧张，可每轮只选择一张图，并在推荐页直接选择第一套方案。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环境准备与启动</w:t>
      </w:r>
    </w:p>
    <w:p>
      <w:pPr>
        <w:pStyle w:val="Heading2"/>
        <w:keepNext/>
      </w:pPr>
      <w:r>
        <w:t>2.1 运行要求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项目</w:t>
            </w:r>
          </w:p>
        </w:tc>
        <w:tc>
          <w:tcPr>
            <w:tcW w:type="dxa" w:w="71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操作系统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Windows 10/11，建议使用 PowerShell 7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Node.js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&gt;= 22.13.0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浏览器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Chrome 或 Edge 最新稳定版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数据库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页面演示不需要；Prisma校验或后续持久化需要PostgreSQL连接信息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启动网站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进入项目目录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在PowerShell 7中进入 site 目录。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安装依赖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首次运行执行 npm.cmd install。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3  </w:t>
      </w:r>
      <w:r>
        <w:rPr>
          <w:rFonts w:ascii="Calibri" w:hAnsi="Calibri" w:eastAsia="Microsoft YaHei"/>
          <w:b/>
          <w:color w:val="293328"/>
          <w:sz w:val="22"/>
        </w:rPr>
        <w:t>启动前端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执行 npm.cmd run dev，然后在浏览器打开终端显示的本地地址；本说明书验收地址为 http://localhost:3001。</w:t>
      </w:r>
    </w:p>
    <w:p>
      <w:pPr>
        <w:pStyle w:val="Heading2"/>
        <w:keepNext/>
      </w:pPr>
      <w:r>
        <w:t>2.3 启动本地API（可选）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准备环境文件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执行 Copy-Item .env.example .env。示例文件默认允许 http://localhost:3001 跨域访问。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启动API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执行 npm.cmd run api:dev，健康检查地址为 http://localhost:4000/api/health。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0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93328"/>
                <w:sz w:val="21"/>
              </w:rPr>
              <w:t>离线规则保障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当前前端直接使用本地可解释规则引擎。即使API、数据库或外部AI不可用，视觉选择、推荐和交付风险演示仍能完成。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视觉偏好选择器操作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1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图1  视觉偏好选择器首页与实时客户画像</w:t>
      </w:r>
    </w:p>
    <w:p>
      <w:pPr>
        <w:pStyle w:val="Heading2"/>
        <w:keepNext/>
      </w:pPr>
      <w:r>
        <w:t>3.1 七轮选择内容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5960"/>
      </w:tblGrid>
      <w:tr>
        <w:trPr>
          <w:tblHeader w:val="true"/>
          <w:cantSplit/>
        </w:trPr>
        <w:tc>
          <w:tcPr>
            <w:tcW w:type="dxa" w:w="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轮次</w:t>
            </w:r>
          </w:p>
        </w:tc>
        <w:tc>
          <w:tcPr>
            <w:tcW w:type="dxa" w:w="25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选择内容</w:t>
            </w:r>
          </w:p>
        </w:tc>
        <w:tc>
          <w:tcPr>
            <w:tcW w:type="dxa" w:w="59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整体氛围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确定第一眼的空间感觉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装修风格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确定现代、原木、奶油或新中式等语言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冷暖色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确定暖色、中性、冷色或平衡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材质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确定哑光、木纹、石材或玻璃金属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收纳方式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确定封闭、均衡、开放或门墙柜一体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灯光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确定主灯、无主灯、混合或自然光优先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个性元素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确定阅读、亲子、宠物或茶叙记忆点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按钮说明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100"/>
        <w:gridCol w:w="4860"/>
      </w:tblGrid>
      <w:tr>
        <w:trPr>
          <w:tblHeader w:val="true"/>
          <w:cantSplit/>
        </w:trPr>
        <w:tc>
          <w:tcPr>
            <w:tcW w:type="dxa" w:w="14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操作</w:t>
            </w:r>
          </w:p>
        </w:tc>
        <w:tc>
          <w:tcPr>
            <w:tcW w:type="dxa" w:w="31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含义</w:t>
            </w:r>
          </w:p>
        </w:tc>
        <w:tc>
          <w:tcPr>
            <w:tcW w:type="dxa" w:w="48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喜欢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明确偏好该选项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提高画像置信度并参与推荐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不喜欢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明确排除该选项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作为负向偏好参与计算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都可以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没有明显倾向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记录中性态度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跳过本轮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本轮暂不表达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进入下一轮；七轮全跳过也可推荐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撤销上一步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撤回最近一次操作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返回对应轮次并重算画像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点击图片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放大查看效果图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弹窗中仍显示AI生成示意图标签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矛盾识别与客户画像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2-confli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图2  开放格需求冲突与AI折中建议</w:t>
      </w:r>
    </w:p>
    <w:p>
      <w:pPr>
        <w:pStyle w:val="Heading2"/>
        <w:keepNext/>
      </w:pPr>
      <w:r>
        <w:t>4.1 固定矛盾规则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当客户喜欢“大量开放格”，同时演示客户的前置需求包含易清洁、儿童安全与视觉整洁时，系统立即展示冲突证据、影响和折中方案。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项目</w:t>
            </w:r>
          </w:p>
        </w:tc>
        <w:tc>
          <w:tcPr>
            <w:tcW w:type="dxa" w:w="74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规则内容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触发条件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高开放收纳＋易清洁＋儿童安全＋视觉整洁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主要影响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积灰维护、低位攀爬、物品外露导致视觉杂乱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系统建议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20%开放展示＋80%封闭收纳，避开低位玻璃和可攀爬结构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用户选择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采用折中建议，或保留原选择并记录风险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客户画像解释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画像随每次操作实时更新，显示偏好值、信息来源和置信度。画像是本次演示会话的规则推断，不是对真实客户的永久标签，也不代表模型训练结论。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C85E32"/>
                <w:sz w:val="21"/>
              </w:rPr>
              <w:t>演示提示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答辩时先选择“大量开放格”触发冲突，再采用20/80方案，可直观展示AI不是简单记录偏好，而是在帮助客户形成可落地需求。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案例推荐与理由解释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3-recommendatio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图3  三策略方案推荐与预算控制</w:t>
      </w:r>
    </w:p>
    <w:p>
      <w:pPr>
        <w:pStyle w:val="Heading2"/>
        <w:keepNext/>
      </w:pPr>
      <w:r>
        <w:t>5.1 推荐结果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系统先过滤展示权限、脱敏状态、主图和预算硬上限，再从候选中输出三套不重复方案：稳妥成交型、个性匹配型和预算优化型。每套方案均展示三条字段证据、一条取舍提醒、数据声明和七项分数。</w:t>
      </w:r>
    </w:p>
    <w:p>
      <w:pPr>
        <w:pStyle w:val="Heading2"/>
        <w:keepNext/>
      </w:pPr>
      <w:r>
        <w:t>5.2 基础评分公式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综合匹配分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S = 25%风格 + 20%预算 + 15%户型面积 + 15%家庭结构 + 10%功能需求 + 10%成交表现 + 5%满意度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00"/>
        <w:gridCol w:w="6260"/>
      </w:tblGrid>
      <w:tr>
        <w:trPr>
          <w:tblHeader w:val="true"/>
          <w:cantSplit/>
        </w:trPr>
        <w:tc>
          <w:tcPr>
            <w:tcW w:type="dxa" w:w="1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评分项</w:t>
            </w:r>
          </w:p>
        </w:tc>
        <w:tc>
          <w:tcPr>
            <w:tcW w:type="dxa" w:w="12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权重</w:t>
            </w:r>
          </w:p>
        </w:tc>
        <w:tc>
          <w:tcPr>
            <w:tcW w:type="dxa" w:w="62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风格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与客户视觉偏好的匹配程度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预算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案例模拟预算与预算上限的适配程度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户型面积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布局与98㎡三房两厅的相似程度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家庭结构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与夫妻及儿童家庭的适配程度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功能需求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收纳、安全、易清洁等需求覆盖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成交表现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10%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模拟案例成熟度指标，仅作演示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满意度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5%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模拟满意度指标，仅作演示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页面操作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切换预算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可选择20万、25万或30万。预算是硬上限，切换后系统立即重新过滤和排序。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查看评分证据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点击“查看分项得分与证据”，核对七项分数、权重和字段证据。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3  </w:t>
      </w:r>
      <w:r>
        <w:rPr>
          <w:rFonts w:ascii="Calibri" w:hAnsi="Calibri" w:eastAsia="Microsoft YaHei"/>
          <w:b/>
          <w:color w:val="293328"/>
          <w:sz w:val="22"/>
        </w:rPr>
        <w:t>进入交付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点击任一方案底部按钮建立模拟项目单；再次切换预算会清除已选择方案。</w:t>
      </w:r>
    </w:p>
    <w:p>
      <w:pPr>
        <w:pStyle w:val="Heading1"/>
        <w:keepNext/>
      </w:pPr>
      <w:r>
        <w:t>6. 交付看板与风险预警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4-delive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图4  模拟项目单、八阶段进度与交付摘要</w:t>
      </w:r>
    </w:p>
    <w:p>
      <w:pPr>
        <w:pStyle w:val="Heading2"/>
        <w:keepNext/>
      </w:pPr>
      <w:r>
        <w:t>6.1 八阶段项目进度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看板按量尺、设计、报价、下单、生产、物流、安装、验收顺序展示状态、计划日期和阶段说明。首次进入时停留在“报价”，整体模拟进度为25%。</w:t>
      </w:r>
    </w:p>
    <w:p>
      <w:pPr>
        <w:pStyle w:val="Heading2"/>
        <w:keepNext/>
      </w:pPr>
      <w:r>
        <w:t>6.2 风险检查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05-risk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color w:val="676B65"/>
          <w:sz w:val="18"/>
        </w:rPr>
        <w:t>图5  模拟SKU清单、金额核对与双风险预警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2800"/>
        <w:gridCol w:w="2060"/>
      </w:tblGrid>
      <w:tr>
        <w:trPr>
          <w:tblHeader w:val="true"/>
          <w:cantSplit/>
        </w:trPr>
        <w:tc>
          <w:tcPr>
            <w:tcW w:type="dxa" w:w="16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风险</w:t>
            </w:r>
          </w:p>
        </w:tc>
        <w:tc>
          <w:tcPr>
            <w:tcW w:type="dxa" w:w="2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检测证据</w:t>
            </w:r>
          </w:p>
        </w:tc>
        <w:tc>
          <w:tcPr>
            <w:tcW w:type="dxa" w:w="2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处置动作</w:t>
            </w:r>
          </w:p>
        </w:tc>
        <w:tc>
          <w:tcPr>
            <w:tcW w:type="dxa" w:w="20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完成结果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报价漏项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完整SKU清单与报价行不一致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模拟补齐漏项并复核总价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金额一致，解除下单阻断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跨品类交期不一致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最快与最慢模拟交期差超过14天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采用两批齐套安装方案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记录调度建议与验收顺序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两项风险均处理后，系统将当前阶段推进到“下单”，整体模拟进度更新为38%，风险中心显示“可以进入模拟下单”，项目动态中保留两条处置记录。</w:t>
      </w:r>
    </w:p>
    <w:p>
      <w:pPr>
        <w:pStyle w:val="Heading1"/>
        <w:keepNext/>
      </w:pPr>
      <w:r>
        <w:t>7. 数据、接口与安全边界</w:t>
      </w:r>
    </w:p>
    <w:p>
      <w:pPr>
        <w:pStyle w:val="Heading2"/>
        <w:keepNext/>
      </w:pPr>
      <w:r>
        <w:t>7.1 演示数据构成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6060"/>
      </w:tblGrid>
      <w:tr>
        <w:trPr>
          <w:tblHeader w:val="true"/>
          <w:cantSplit/>
        </w:trPr>
        <w:tc>
          <w:tcPr>
            <w:tcW w:type="dxa" w:w="18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数据</w:t>
            </w:r>
          </w:p>
        </w:tc>
        <w:tc>
          <w:tcPr>
            <w:tcW w:type="dxa" w:w="15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规模</w:t>
            </w:r>
          </w:p>
        </w:tc>
        <w:tc>
          <w:tcPr>
            <w:tcW w:type="dxa" w:w="60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边界声明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案例记录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60条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脱敏模拟字段；部分仅保留公开来源参考链接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可控演示图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30张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15张纯AI案例图＋15张代表性再创作图，统一标注AI生成示意图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模拟SKU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240条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每案例4条；均为AI虚构SKU，不能映射真实欧派产品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客户会话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固定演示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林女士、广州、98㎡、夫妻＋6岁儿童、预算约25万元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Express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760"/>
        <w:gridCol w:w="3600"/>
      </w:tblGrid>
      <w:tr>
        <w:trPr>
          <w:tblHeader w:val="true"/>
          <w:cantSplit/>
        </w:trPr>
        <w:tc>
          <w:tcPr>
            <w:tcW w:type="dxa" w:w="30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方法与路径</w:t>
            </w:r>
          </w:p>
        </w:tc>
        <w:tc>
          <w:tcPr>
            <w:tcW w:type="dxa" w:w="27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作用</w:t>
            </w:r>
          </w:p>
        </w:tc>
        <w:tc>
          <w:tcPr>
            <w:tcW w:type="dxa" w:w="36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关键输入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GET /api/health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服务健康检查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POST /api/preferences/evaluate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偏好矛盾识别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events、context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POST /api/recommendations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生成三套推荐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events、budgetMax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POST /api/delivery/projects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创建或更新模拟项目单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caseId、resolvedRiskIds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接口使用Zod校验请求体；无效caseId等输入返回HTTP 422。API默认允许 http://localhost:3001 跨域访问，可通过 CORS_ORIGIN 修改。</w:t>
      </w:r>
    </w:p>
    <w:p>
      <w:pPr>
        <w:pStyle w:val="Heading2"/>
        <w:keepNext/>
      </w:pPr>
      <w:r>
        <w:t>7.3 不得对外宣称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2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C85E32"/>
                <w:sz w:val="21"/>
              </w:rPr>
              <w:t>合规提醒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不得宣称已接入欧派真实CRM、报价、SKU、生产、物流或售后系统；不得将模拟成交、满意度和交期作为真实经营数据；不得把AI生成示意图描述为真实落地效果。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常见问题与处理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00"/>
        <w:gridCol w:w="4560"/>
      </w:tblGrid>
      <w:tr>
        <w:trPr>
          <w:tblHeader w:val="true"/>
          <w:cantSplit/>
        </w:trPr>
        <w:tc>
          <w:tcPr>
            <w:tcW w:type="dxa" w:w="1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现象</w:t>
            </w:r>
          </w:p>
        </w:tc>
        <w:tc>
          <w:tcPr>
            <w:tcW w:type="dxa" w:w="29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可能原因</w:t>
            </w:r>
          </w:p>
        </w:tc>
        <w:tc>
          <w:tcPr>
            <w:tcW w:type="dxa" w:w="45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处理方法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页面打不开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开发服务未启动或端口变化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确认 npm.cmd run dev 正常运行，并使用终端显示地址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图片为空白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资源目录缺失或缓存异常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确认 public/cases 资源完整，强制刷新浏览器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下一轮按钮不可用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本轮没有选择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选择喜欢、不喜欢或都可以；也可使用跳过本轮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推荐未出现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第七轮未完成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点击完成视觉画像，或连续跳过至最后一轮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API跨域失败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CORS_ORIGIN与前端地址不一致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在.env中填写实际前端Origin并重启API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Prisma校验失败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未配置DATABASE_URL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复制.env.example为.env并填写PostgreSQL连接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风险按钮消失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该风险已完成模拟处置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查看已模拟处理状态和项目动态日志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验收结果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本说明书制作前已对当前代码执行完整浏览器、接口和工程回归。测试日期为2026年7月17日。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300"/>
        <w:gridCol w:w="5960"/>
      </w:tblGrid>
      <w:tr>
        <w:trPr>
          <w:tblHeader w:val="true"/>
          <w:cantSplit/>
        </w:trPr>
        <w:tc>
          <w:tcPr>
            <w:tcW w:type="dxa" w:w="21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验收项</w:t>
            </w:r>
          </w:p>
        </w:tc>
        <w:tc>
          <w:tcPr>
            <w:tcW w:type="dxa" w:w="130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结果</w:t>
            </w:r>
          </w:p>
        </w:tc>
        <w:tc>
          <w:tcPr>
            <w:tcW w:type="dxa" w:w="5960"/>
            <w:shd w:fill="F3F5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293328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浏览器交互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30项检查：选择、撤销、跳过、弹窗、冲突、推荐、预算、交付和风险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桌面端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1440×960，无页面横向溢出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移动端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390×844，无页面横向溢出；全部跳过仍可推荐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图片资源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测试链路中的图片全部加载完成且naturalWidth大于0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控制台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0条浏览器错误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API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健康检查、三套推荐、八阶段、双风险及422校验正常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CORS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已修复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默认允许来源由3000修正为当前前端端口3001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构建与SSR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生产构建成功，1项服务端渲染测试通过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规则测试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12项偏好、推荐与交付规则测试全部通过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代码质量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ESLint与TypeScript类型检查通过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Prisma模型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条件通过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22222"/>
                <w:sz w:val="19"/>
              </w:rPr>
              <w:t>提供DATABASE_URL后校验通过；页面演示不依赖数据库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建议的现场演示顺序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1  </w:t>
      </w:r>
      <w:r>
        <w:rPr>
          <w:rFonts w:ascii="Calibri" w:hAnsi="Calibri" w:eastAsia="Microsoft YaHei"/>
          <w:b/>
          <w:color w:val="293328"/>
          <w:sz w:val="22"/>
        </w:rPr>
        <w:t>开场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说明客户不需要写提示词，只需通过看图表达偏好。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2  </w:t>
      </w:r>
      <w:r>
        <w:rPr>
          <w:rFonts w:ascii="Calibri" w:hAnsi="Calibri" w:eastAsia="Microsoft YaHei"/>
          <w:b/>
          <w:color w:val="293328"/>
          <w:sz w:val="22"/>
        </w:rPr>
        <w:t>冲突亮点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选择大量开放格，展示20/80折中建议并写入画像。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3  </w:t>
      </w:r>
      <w:r>
        <w:rPr>
          <w:rFonts w:ascii="Calibri" w:hAnsi="Calibri" w:eastAsia="Microsoft YaHei"/>
          <w:b/>
          <w:color w:val="293328"/>
          <w:sz w:val="22"/>
        </w:rPr>
        <w:t>推荐亮点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展开七项得分，切换20万元预算，证明推荐会重算。</w:t>
      </w:r>
    </w:p>
    <w:p>
      <w:pPr>
        <w:keepNext/>
        <w:spacing w:before="160" w:after="60"/>
      </w:pPr>
      <w:r>
        <w:rPr>
          <w:rFonts w:ascii="Calibri" w:hAnsi="Calibri" w:eastAsia="Microsoft YaHei"/>
          <w:b/>
          <w:color w:val="C85E32"/>
          <w:sz w:val="22"/>
        </w:rPr>
        <w:t xml:space="preserve">步骤 4  </w:t>
      </w:r>
      <w:r>
        <w:rPr>
          <w:rFonts w:ascii="Calibri" w:hAnsi="Calibri" w:eastAsia="Microsoft YaHei"/>
          <w:b/>
          <w:color w:val="293328"/>
          <w:sz w:val="22"/>
        </w:rPr>
        <w:t>交付亮点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22222"/>
          <w:sz w:val="21"/>
        </w:rPr>
        <w:t>选择方案，展示报价漏项和交期风险，依次处置并推进下单。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0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93328"/>
                <w:sz w:val="21"/>
              </w:rPr>
              <w:t>最终表达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343934"/>
                <w:sz w:val="20"/>
              </w:rPr>
              <w:t>客户只面对一套画像、三套有理由的方案和一张透明进度表；后台复杂性由规则、数据和风险看板承担。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76B6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67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76B65"/>
        <w:sz w:val="17"/>
      </w:rPr>
      <w:t>欧派AI灵感家  ·  MVP系统使用说明书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欧派AI灵感家_系统使用说明书_v1.0</dc:title>
  <dc:subject>欧派AI灵感家MVP本地运行、操作与验收说明</dc:subject>
  <dc:creator>欧派AI灵感家项目组</dc:creator>
  <cp:keywords>欧派AI灵感家,MVP,视觉偏好,案例推荐,交付看板,风险预警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