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200"/>
      </w:pPr>
      <w:r>
        <w:rPr>
          <w:rFonts w:ascii="Calibri" w:hAnsi="Calibri" w:eastAsia="Microsoft YaHei"/>
          <w:b/>
          <w:color w:val="C85E32"/>
          <w:sz w:val="20"/>
        </w:rPr>
        <w:t>OPPEIN AI INSPIRATION · MVP v1.0</w:t>
      </w:r>
    </w:p>
    <w:p>
      <w:pPr>
        <w:spacing w:after="200"/>
      </w:pPr>
      <w:r>
        <w:rPr>
          <w:rFonts w:ascii="Calibri" w:hAnsi="Calibri" w:eastAsia="Microsoft YaHei"/>
          <w:b/>
          <w:color w:val="293328"/>
          <w:sz w:val="60"/>
        </w:rPr>
        <w:t>欧派AI灵感家</w:t>
      </w:r>
    </w:p>
    <w:p>
      <w:pPr>
        <w:spacing w:after="400"/>
      </w:pPr>
      <w:r>
        <w:rPr>
          <w:rFonts w:ascii="Calibri" w:hAnsi="Calibri" w:eastAsia="Microsoft YaHei"/>
          <w:b w:val="0"/>
          <w:color w:val="C85E32"/>
          <w:sz w:val="50"/>
        </w:rPr>
        <w:t>系统使用说明书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4D78"/>
          <w:sz w:val="28"/>
        </w:rPr>
        <w:t>基于成交案例库的客户需求洞察与全案推荐系统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676B65"/>
          <w:sz w:val="22"/>
        </w:rPr>
        <w:t>适用于比赛演示、答辩讲解与本地MVP验收</w:t>
      </w:r>
    </w:p>
    <w:p>
      <w:pPr>
        <w:spacing w:after="40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2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C85E32"/>
                <w:sz w:val="21"/>
              </w:rPr>
              <w:t>演示边界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343934"/>
                <w:sz w:val="20"/>
              </w:rPr>
              <w:t>本系统为比赛MVP。客户、预算、成交、满意度、SKU、价格、日期、进度与风险事件均为脱敏模拟或AI虚构数据；不连接欧派真实客户、订单、报价、生产或交付系统。</w:t>
            </w:r>
          </w:p>
        </w:tc>
      </w:tr>
    </w:tbl>
    <w:p>
      <w:pPr>
        <w:spacing w:after="20"/>
      </w:pPr>
    </w:p>
    <w:p>
      <w:pPr>
        <w:spacing w:after="5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文档项</w:t>
            </w:r>
          </w:p>
        </w:tc>
        <w:tc>
          <w:tcPr>
            <w:tcW w:type="dxa" w:w="72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版本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发布日期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2026年7月17日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系统地址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http://localhost:3001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API地址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http://localhost:4000/api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文档目的与系统范围</w:t>
      </w:r>
    </w:p>
    <w:p>
      <w:pPr>
        <w:spacing w:before="0" w:after="120" w:line="300" w:lineRule="auto"/>
      </w:pPr>
      <w:r>
        <w:t>本说明书用于指导演示者在本地启动并完整操作“欧派AI灵感家”，同时说明推荐算法、风险预警、接口边界和验收方法。当前网站从PRD规定的需求输入开始，支持在同一浏览器创建、切换和恢复多名匿名客户，再依次完成视觉偏好、客户画像、案例推荐和模拟交付。</w:t>
      </w:r>
    </w:p>
    <w:p>
      <w:pPr>
        <w:pStyle w:val="Heading2"/>
        <w:keepNext/>
      </w:pPr>
      <w:r>
        <w:t>1.1 已实现功能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00"/>
        <w:gridCol w:w="2760"/>
      </w:tblGrid>
      <w:tr>
        <w:trPr>
          <w:tblHeader w:val="true"/>
          <w:cantSplit/>
        </w:trPr>
        <w:tc>
          <w:tcPr>
            <w:tcW w:type="dxa" w:w="18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模块</w:t>
            </w:r>
          </w:p>
        </w:tc>
        <w:tc>
          <w:tcPr>
            <w:tcW w:type="dxa" w:w="48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主要能力</w:t>
            </w:r>
          </w:p>
        </w:tc>
        <w:tc>
          <w:tcPr>
            <w:tcW w:type="dxa" w:w="27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视觉偏好选择器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七轮图片选择；喜欢、不喜欢、都可以、跳过、撤销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结构化偏好事件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实时客户画像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按选择即时汇总偏好、来源与置信度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视觉需求画像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矛盾识别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识别开放格与易清洁、儿童安全、视觉整洁冲突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20%开放＋80%封闭建议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案例推荐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60条模拟案例过滤、评分与三策略重排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三套可解释方案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交付看板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八阶段进度、240条模拟SKU协同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模拟项目单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风险预警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报价漏项、跨品类交期不一致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证据、影响、建议与日志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完整用户流程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进入网站 → 查看图片并逐轮表达偏好 → 观察客户画像变化 → 处理需求冲突 → 完成视觉画像 → 比较三套推荐 → 调整预算或查看评分证据 → 选择方案 → 检查八阶段交付进度 → 处理两项风险 → 进入模拟下单。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0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93328"/>
                <w:sz w:val="21"/>
              </w:rPr>
              <w:t>建议演示时长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343934"/>
                <w:sz w:val="20"/>
              </w:rPr>
              <w:t>完整操作约3分钟。若时间紧张，可每轮只选择一张图，并在推荐页直接选择第一套方案。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环境准备与启动</w:t>
      </w:r>
    </w:p>
    <w:p>
      <w:pPr>
        <w:pStyle w:val="Heading2"/>
        <w:keepNext/>
      </w:pPr>
      <w:r>
        <w:t>2.1 运行要求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项目</w:t>
            </w:r>
          </w:p>
        </w:tc>
        <w:tc>
          <w:tcPr>
            <w:tcW w:type="dxa" w:w="71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操作系统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Windows 10/11，建议使用 PowerShell 7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Node.js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&gt;= 22.13.0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浏览器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Chrome 或 Edge 最新稳定版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数据库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页面演示不需要；Prisma校验或后续持久化需要PostgreSQL连接信息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启动网站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1  </w:t>
      </w:r>
      <w:r>
        <w:rPr>
          <w:rFonts w:ascii="Calibri" w:hAnsi="Calibri" w:eastAsia="Microsoft YaHei"/>
          <w:b/>
          <w:color w:val="293328"/>
          <w:sz w:val="22"/>
        </w:rPr>
        <w:t>进入项目目录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在PowerShell 7中进入 site 目录。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2  </w:t>
      </w:r>
      <w:r>
        <w:rPr>
          <w:rFonts w:ascii="Calibri" w:hAnsi="Calibri" w:eastAsia="Microsoft YaHei"/>
          <w:b/>
          <w:color w:val="293328"/>
          <w:sz w:val="22"/>
        </w:rPr>
        <w:t>安装依赖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首次运行执行 npm.cmd install。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3  </w:t>
      </w:r>
      <w:r>
        <w:rPr>
          <w:rFonts w:ascii="Calibri" w:hAnsi="Calibri" w:eastAsia="Microsoft YaHei"/>
          <w:b/>
          <w:color w:val="293328"/>
          <w:sz w:val="22"/>
        </w:rPr>
        <w:t>启动前端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执行 npm.cmd run dev，然后在浏览器打开终端显示的本地地址；本说明书验收地址为 http://localhost:3001。</w:t>
      </w:r>
    </w:p>
    <w:p>
      <w:pPr>
        <w:pStyle w:val="Heading2"/>
        <w:keepNext/>
      </w:pPr>
      <w:r>
        <w:t>2.3 启动本地API（可选）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1  </w:t>
      </w:r>
      <w:r>
        <w:rPr>
          <w:rFonts w:ascii="Calibri" w:hAnsi="Calibri" w:eastAsia="Microsoft YaHei"/>
          <w:b/>
          <w:color w:val="293328"/>
          <w:sz w:val="22"/>
        </w:rPr>
        <w:t>准备环境文件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执行 Copy-Item .env.example .env。示例文件默认允许 http://localhost:3001 跨域访问。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2  </w:t>
      </w:r>
      <w:r>
        <w:rPr>
          <w:rFonts w:ascii="Calibri" w:hAnsi="Calibri" w:eastAsia="Microsoft YaHei"/>
          <w:b/>
          <w:color w:val="293328"/>
          <w:sz w:val="22"/>
        </w:rPr>
        <w:t>启动API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执行 npm.cmd run api:dev，健康检查地址为 http://localhost:4000/api/health。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0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93328"/>
                <w:sz w:val="21"/>
              </w:rPr>
              <w:t>离线规则保障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343934"/>
                <w:sz w:val="20"/>
              </w:rPr>
              <w:t>当前前端直接使用本地可解释规则引擎。即使API、数据库或外部AI不可用，视觉选择、推荐和交付风险演示仍能完成。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视觉偏好选择器操作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1-hom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76B65"/>
          <w:sz w:val="18"/>
        </w:rPr>
        <w:t>图1  视觉偏好选择器首页与实时客户画像</w:t>
      </w:r>
    </w:p>
    <w:p>
      <w:pPr>
        <w:pStyle w:val="Heading2"/>
        <w:keepNext/>
      </w:pPr>
      <w:r>
        <w:t>3.1 七轮选择内容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500"/>
        <w:gridCol w:w="5960"/>
      </w:tblGrid>
      <w:tr>
        <w:trPr>
          <w:tblHeader w:val="true"/>
          <w:cantSplit/>
        </w:trPr>
        <w:tc>
          <w:tcPr>
            <w:tcW w:type="dxa" w:w="9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轮次</w:t>
            </w:r>
          </w:p>
        </w:tc>
        <w:tc>
          <w:tcPr>
            <w:tcW w:type="dxa" w:w="25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选择内容</w:t>
            </w:r>
          </w:p>
        </w:tc>
        <w:tc>
          <w:tcPr>
            <w:tcW w:type="dxa" w:w="59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目标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整体氛围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确定第一眼的空间感觉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装修风格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确定现代、原木、奶油或新中式等语言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冷暖色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确定暖色、中性、冷色或平衡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材质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确定哑光、木纹、石材或玻璃金属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收纳方式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确定封闭、均衡、开放或门墙柜一体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灯光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确定主灯、无主灯、混合或自然光优先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个性元素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确定阅读、亲子、宠物或茶叙记忆点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按钮说明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100"/>
        <w:gridCol w:w="4860"/>
      </w:tblGrid>
      <w:tr>
        <w:trPr>
          <w:tblHeader w:val="true"/>
          <w:cantSplit/>
        </w:trPr>
        <w:tc>
          <w:tcPr>
            <w:tcW w:type="dxa" w:w="14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操作</w:t>
            </w:r>
          </w:p>
        </w:tc>
        <w:tc>
          <w:tcPr>
            <w:tcW w:type="dxa" w:w="31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含义</w:t>
            </w:r>
          </w:p>
        </w:tc>
        <w:tc>
          <w:tcPr>
            <w:tcW w:type="dxa" w:w="48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喜欢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明确偏好该选项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提高画像置信度并参与推荐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不喜欢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明确排除该选项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作为负向偏好参与计算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都可以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没有明显倾向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记录中性态度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跳过本轮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本轮暂不表达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进入下一轮；七轮全跳过也可推荐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撤销上一步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撤回最近一次操作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返回对应轮次并重算画像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点击图片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放大查看效果图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弹窗中仍显示AI生成示意图标签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矛盾识别与客户画像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2-conflic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76B65"/>
          <w:sz w:val="18"/>
        </w:rPr>
        <w:t>图2  开放格需求冲突与AI折中建议</w:t>
      </w:r>
    </w:p>
    <w:p>
      <w:pPr>
        <w:pStyle w:val="Heading2"/>
        <w:keepNext/>
      </w:pPr>
      <w:r>
        <w:t>4.1 固定矛盾规则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当客户喜欢“大量开放格”，同时演示客户的前置需求包含易清洁、儿童安全与视觉整洁时，系统立即展示冲突证据、影响和折中方案。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项目</w:t>
            </w:r>
          </w:p>
        </w:tc>
        <w:tc>
          <w:tcPr>
            <w:tcW w:type="dxa" w:w="74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规则内容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触发条件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高开放收纳＋易清洁＋儿童安全＋视觉整洁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主要影响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积灰维护、低位攀爬、物品外露导致视觉杂乱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系统建议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20%开放展示＋80%封闭收纳，避开低位玻璃和可攀爬结构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用户选择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采用折中建议，或保留原选择并记录风险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客户画像解释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画像随每次操作实时更新，显示偏好值、信息来源和置信度。画像是本次演示会话的规则推断，不是对真实客户的永久标签，也不代表模型训练结论。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2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C85E32"/>
                <w:sz w:val="21"/>
              </w:rPr>
              <w:t>演示提示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343934"/>
                <w:sz w:val="20"/>
              </w:rPr>
              <w:t>答辩时先选择“大量开放格”触发冲突，再采用20/80方案，可直观展示AI不是简单记录偏好，而是在帮助客户形成可落地需求。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案例推荐与理由解释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3-recommendation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76B65"/>
          <w:sz w:val="18"/>
        </w:rPr>
        <w:t>图3  三策略方案推荐与预算控制</w:t>
      </w:r>
    </w:p>
    <w:p>
      <w:pPr>
        <w:pStyle w:val="Heading2"/>
        <w:keepNext/>
      </w:pPr>
      <w:r>
        <w:t>5.1 推荐结果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系统先过滤展示权限、脱敏状态、主图和预算硬上限，再从候选中输出三套不重复方案：稳妥成交型、个性匹配型和预算优化型。每套方案均展示三条字段证据、一条取舍提醒、数据声明和七项分数。</w:t>
      </w:r>
    </w:p>
    <w:p>
      <w:pPr>
        <w:pStyle w:val="Heading2"/>
        <w:keepNext/>
      </w:pPr>
      <w:r>
        <w:t>5.2 基础评分公式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综合匹配分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343934"/>
                <w:sz w:val="20"/>
              </w:rPr>
              <w:t>S = 25%风格 + 20%预算 + 15%户型面积 + 15%家庭结构 + 10%功能需求 + 10%成交表现 + 5%满意度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200"/>
        <w:gridCol w:w="6260"/>
      </w:tblGrid>
      <w:tr>
        <w:trPr>
          <w:tblHeader w:val="true"/>
          <w:cantSplit/>
        </w:trPr>
        <w:tc>
          <w:tcPr>
            <w:tcW w:type="dxa" w:w="19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评分项</w:t>
            </w:r>
          </w:p>
        </w:tc>
        <w:tc>
          <w:tcPr>
            <w:tcW w:type="dxa" w:w="12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权重</w:t>
            </w:r>
          </w:p>
        </w:tc>
        <w:tc>
          <w:tcPr>
            <w:tcW w:type="dxa" w:w="62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风格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25%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与客户视觉偏好的匹配程度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预算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20%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案例模拟预算与预算上限的适配程度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户型面积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15%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布局与98㎡三房两厅的相似程度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家庭结构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15%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与夫妻及儿童家庭的适配程度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功能需求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10%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收纳、安全、易清洁等需求覆盖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成交表现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10%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模拟案例成熟度指标，仅作演示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满意度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5%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模拟满意度指标，仅作演示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页面操作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1  </w:t>
      </w:r>
      <w:r>
        <w:rPr>
          <w:rFonts w:ascii="Calibri" w:hAnsi="Calibri" w:eastAsia="Microsoft YaHei"/>
          <w:b/>
          <w:color w:val="293328"/>
          <w:sz w:val="22"/>
        </w:rPr>
        <w:t>切换预算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可选择20万、25万或30万。预算是硬上限，切换后系统立即重新过滤和排序。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2  </w:t>
      </w:r>
      <w:r>
        <w:rPr>
          <w:rFonts w:ascii="Calibri" w:hAnsi="Calibri" w:eastAsia="Microsoft YaHei"/>
          <w:b/>
          <w:color w:val="293328"/>
          <w:sz w:val="22"/>
        </w:rPr>
        <w:t>查看评分证据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点击“查看分项得分与证据”，核对七项分数、权重和字段证据。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3  </w:t>
      </w:r>
      <w:r>
        <w:rPr>
          <w:rFonts w:ascii="Calibri" w:hAnsi="Calibri" w:eastAsia="Microsoft YaHei"/>
          <w:b/>
          <w:color w:val="293328"/>
          <w:sz w:val="22"/>
        </w:rPr>
        <w:t>进入交付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点击任一方案底部按钮建立模拟项目单；再次切换预算会清除已选择方案。</w:t>
      </w:r>
    </w:p>
    <w:p>
      <w:pPr>
        <w:pStyle w:val="Heading1"/>
        <w:keepNext/>
      </w:pPr>
      <w:r>
        <w:t>6. 交付看板与风险预警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4-deliver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76B65"/>
          <w:sz w:val="18"/>
        </w:rPr>
        <w:t>图4  模拟项目单、八阶段进度与交付摘要</w:t>
      </w:r>
    </w:p>
    <w:p>
      <w:pPr>
        <w:pStyle w:val="Heading2"/>
        <w:keepNext/>
      </w:pPr>
      <w:r>
        <w:t>6.1 八阶段项目进度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看板按量尺、设计、报价、下单、生产、物流、安装、验收顺序展示状态、计划日期和阶段说明。首次进入时停留在“报价”，整体模拟进度为25%。</w:t>
      </w:r>
    </w:p>
    <w:p>
      <w:pPr>
        <w:pStyle w:val="Heading2"/>
        <w:keepNext/>
      </w:pPr>
      <w:r>
        <w:t>6.2 风险检查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5-risk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76B65"/>
          <w:sz w:val="18"/>
        </w:rPr>
        <w:t>图5  模拟SKU清单、金额核对与双风险预警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900"/>
        <w:gridCol w:w="2800"/>
        <w:gridCol w:w="2060"/>
      </w:tblGrid>
      <w:tr>
        <w:trPr>
          <w:tblHeader w:val="true"/>
          <w:cantSplit/>
        </w:trPr>
        <w:tc>
          <w:tcPr>
            <w:tcW w:type="dxa" w:w="16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风险</w:t>
            </w:r>
          </w:p>
        </w:tc>
        <w:tc>
          <w:tcPr>
            <w:tcW w:type="dxa" w:w="29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检测证据</w:t>
            </w:r>
          </w:p>
        </w:tc>
        <w:tc>
          <w:tcPr>
            <w:tcW w:type="dxa" w:w="28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处置动作</w:t>
            </w:r>
          </w:p>
        </w:tc>
        <w:tc>
          <w:tcPr>
            <w:tcW w:type="dxa" w:w="20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完成结果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报价漏项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完整SKU清单与报价行不一致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模拟补齐漏项并复核总价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金额一致，解除下单阻断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跨品类交期不一致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最快与最慢模拟交期差超过14天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采用两批齐套安装方案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记录调度建议与验收顺序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两项风险均处理后，系统将当前阶段推进到“下单”，整体模拟进度更新为38%，风险中心显示“可以进入模拟下单”，项目动态中保留两条处置记录。</w:t>
      </w:r>
    </w:p>
    <w:p>
      <w:pPr>
        <w:pStyle w:val="Heading1"/>
        <w:keepNext/>
      </w:pPr>
      <w:r>
        <w:t>7. 数据、接口与安全边界</w:t>
      </w:r>
    </w:p>
    <w:p>
      <w:pPr>
        <w:pStyle w:val="Heading2"/>
        <w:keepNext/>
      </w:pPr>
      <w:r>
        <w:t>7.1 演示数据构成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6060"/>
      </w:tblGrid>
      <w:tr>
        <w:trPr>
          <w:tblHeader w:val="true"/>
          <w:cantSplit/>
        </w:trPr>
        <w:tc>
          <w:tcPr>
            <w:tcW w:type="dxa" w:w="18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数据</w:t>
            </w:r>
          </w:p>
        </w:tc>
        <w:tc>
          <w:tcPr>
            <w:tcW w:type="dxa" w:w="15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规模</w:t>
            </w:r>
          </w:p>
        </w:tc>
        <w:tc>
          <w:tcPr>
            <w:tcW w:type="dxa" w:w="60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边界声明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案例记录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60条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脱敏模拟字段；部分仅保留公开来源参考链接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可控演示图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30张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15张纯AI案例图＋15张代表性再创作图，统一标注AI生成示意图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模拟SKU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240条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每案例4条；均为AI虚构SKU，不能映射真实欧派产品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客户会话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固定演示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林女士、广州、98㎡、夫妻＋6岁儿童、预算约25万元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Express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760"/>
        <w:gridCol w:w="3600"/>
      </w:tblGrid>
      <w:tr>
        <w:trPr>
          <w:tblHeader w:val="true"/>
          <w:cantSplit/>
        </w:trPr>
        <w:tc>
          <w:tcPr>
            <w:tcW w:type="dxa" w:w="30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方法与路径</w:t>
            </w:r>
          </w:p>
        </w:tc>
        <w:tc>
          <w:tcPr>
            <w:tcW w:type="dxa" w:w="27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作用</w:t>
            </w:r>
          </w:p>
        </w:tc>
        <w:tc>
          <w:tcPr>
            <w:tcW w:type="dxa" w:w="36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关键输入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GET /api/health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服务健康检查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POST /api/preferences/evaluate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偏好矛盾识别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events、context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POST /api/recommendations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生成三套推荐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events、budgetMax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POST /api/delivery/projects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创建或更新模拟项目单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caseId、resolvedRiskIds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接口使用Zod校验请求体；无效caseId等输入返回HTTP 422。API默认允许 http://localhost:3001 跨域访问，可通过 CORS_ORIGIN 修改。</w:t>
      </w:r>
    </w:p>
    <w:p>
      <w:pPr>
        <w:pStyle w:val="Heading2"/>
        <w:keepNext/>
      </w:pPr>
      <w:r>
        <w:t>7.3 不得对外宣称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2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C85E32"/>
                <w:sz w:val="21"/>
              </w:rPr>
              <w:t>合规提醒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343934"/>
                <w:sz w:val="20"/>
              </w:rPr>
              <w:t>不得宣称已接入欧派真实CRM、报价、SKU、生产、物流或售后系统；不得将模拟成交、满意度和交期作为真实经营数据；不得把AI生成示意图描述为真实落地效果。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常见问题与处理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900"/>
        <w:gridCol w:w="4560"/>
      </w:tblGrid>
      <w:tr>
        <w:trPr>
          <w:tblHeader w:val="true"/>
          <w:cantSplit/>
        </w:trPr>
        <w:tc>
          <w:tcPr>
            <w:tcW w:type="dxa" w:w="19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现象</w:t>
            </w:r>
          </w:p>
        </w:tc>
        <w:tc>
          <w:tcPr>
            <w:tcW w:type="dxa" w:w="29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可能原因</w:t>
            </w:r>
          </w:p>
        </w:tc>
        <w:tc>
          <w:tcPr>
            <w:tcW w:type="dxa" w:w="45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处理方法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页面打不开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开发服务未启动或端口变化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确认 npm.cmd run dev 正常运行，并使用终端显示地址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图片为空白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资源目录缺失或缓存异常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确认 public/cases 资源完整，强制刷新浏览器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下一轮按钮不可用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本轮没有选择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选择喜欢、不喜欢或都可以；也可使用跳过本轮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推荐未出现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第七轮未完成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点击完成视觉画像，或连续跳过至最后一轮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API跨域失败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CORS_ORIGIN与前端地址不一致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在.env中填写实际前端Origin并重启API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Prisma校验失败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未配置DATABASE_URL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复制.env.example为.env并填写PostgreSQL连接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风险按钮消失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该风险已完成模拟处置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查看已模拟处理状态和项目动态日志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验收结果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本说明书制作前已对当前代码执行完整浏览器、接口和工程回归。测试日期为2026年7月17日。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300"/>
        <w:gridCol w:w="5960"/>
      </w:tblGrid>
      <w:tr>
        <w:trPr>
          <w:tblHeader w:val="true"/>
          <w:cantSplit/>
        </w:trPr>
        <w:tc>
          <w:tcPr>
            <w:tcW w:type="dxa" w:w="21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验收项</w:t>
            </w:r>
          </w:p>
        </w:tc>
        <w:tc>
          <w:tcPr>
            <w:tcW w:type="dxa" w:w="13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结果</w:t>
            </w:r>
          </w:p>
        </w:tc>
        <w:tc>
          <w:tcPr>
            <w:tcW w:type="dxa" w:w="59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浏览器交互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30项检查：选择、撤销、跳过、弹窗、冲突、推荐、预算、交付和风险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桌面端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1440×960，无页面横向溢出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移动端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390×844，无页面横向溢出；全部跳过仍可推荐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图片资源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测试链路中的图片全部加载完成且naturalWidth大于0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控制台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0条浏览器错误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API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健康检查、三套推荐、八阶段、双风险及422校验正常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CORS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已修复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默认允许来源由3000修正为当前前端端口3001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构建与SSR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生产构建成功，1项服务端渲染测试通过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规则测试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12项偏好、推荐与交付规则测试全部通过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代码质量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ESLint与TypeScript类型检查通过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Prisma模型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条件通过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提供DATABASE_URL后校验通过；页面演示不依赖数据库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建议的现场演示顺序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1  </w:t>
      </w:r>
      <w:r>
        <w:rPr>
          <w:rFonts w:ascii="Calibri" w:hAnsi="Calibri" w:eastAsia="Microsoft YaHei"/>
          <w:b/>
          <w:color w:val="293328"/>
          <w:sz w:val="22"/>
        </w:rPr>
        <w:t>开场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说明客户不需要写提示词，只需通过看图表达偏好。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2  </w:t>
      </w:r>
      <w:r>
        <w:rPr>
          <w:rFonts w:ascii="Calibri" w:hAnsi="Calibri" w:eastAsia="Microsoft YaHei"/>
          <w:b/>
          <w:color w:val="293328"/>
          <w:sz w:val="22"/>
        </w:rPr>
        <w:t>冲突亮点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选择大量开放格，展示20/80折中建议并写入画像。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3  </w:t>
      </w:r>
      <w:r>
        <w:rPr>
          <w:rFonts w:ascii="Calibri" w:hAnsi="Calibri" w:eastAsia="Microsoft YaHei"/>
          <w:b/>
          <w:color w:val="293328"/>
          <w:sz w:val="22"/>
        </w:rPr>
        <w:t>推荐亮点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展开七项得分，切换20万元预算，证明推荐会重算。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4  </w:t>
      </w:r>
      <w:r>
        <w:rPr>
          <w:rFonts w:ascii="Calibri" w:hAnsi="Calibri" w:eastAsia="Microsoft YaHei"/>
          <w:b/>
          <w:color w:val="293328"/>
          <w:sz w:val="22"/>
        </w:rPr>
        <w:t>交付亮点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选择方案，展示报价漏项和交期风险，依次处置并推进下单。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0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93328"/>
                <w:sz w:val="21"/>
              </w:rPr>
              <w:t>最终表达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343934"/>
                <w:sz w:val="20"/>
              </w:rPr>
              <w:t>客户只面对一套画像、三套有理由的方案和一张透明进度表；后台复杂性由规则、数据和风险看板承担。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v1.1更新：完整需求输入与多客户模式</w:t>
      </w:r>
    </w:p>
    <w:p>
      <w:r>
        <w:rPr>
          <w:b/>
        </w:rPr>
        <w:t xml:space="preserve">更新结论  </w:t>
      </w:r>
      <w:r>
        <w:t>P02需求输入已接入P03—P07主链路。每位匿名客户独立保存需求、视觉事件、推荐预算、所选方案和风险处置；默认使用浏览器localStorage，不依赖PostgreSQL、Express API或外部AI。</w:t>
      </w:r>
    </w:p>
    <w:p>
      <w:pPr>
        <w:pStyle w:val="Heading2"/>
      </w:pPr>
      <w:r>
        <w:t>10.1 需求输入字段与校验</w:t>
      </w:r>
    </w:p>
    <w:p>
      <w:r>
        <w:t>字段严格依据PRD中的customer_request：城市、户型、面积、预算上下限、家庭结构和自由描述为核心输入，入住月份与特殊需求为可选输入。客户称呼只作为匿名会话标签。比赛版不设置手机号、身份证或详细地址字段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2736"/>
        <w:gridCol w:w="2304"/>
      </w:tblGrid>
      <w:tr>
        <w:tc>
          <w:tcPr>
            <w:tcW w:type="dxa" w:w="1440"/>
            <w:vAlign w:val="center"/>
          </w:tcPr>
          <w:p>
            <w:r>
              <w:rPr>
                <w:b/>
              </w:rPr>
              <w:t>字段组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包含内容</w:t>
            </w:r>
          </w:p>
        </w:tc>
        <w:tc>
          <w:tcPr>
            <w:tcW w:type="dxa" w:w="2736"/>
            <w:vAlign w:val="center"/>
          </w:tcPr>
          <w:p>
            <w:r>
              <w:rPr>
                <w:b/>
              </w:rPr>
              <w:t>校验规则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1440"/>
            <w:vAlign w:val="center"/>
          </w:tcPr>
          <w:p>
            <w:r>
              <w:t>基础资料</w:t>
            </w:r>
          </w:p>
        </w:tc>
        <w:tc>
          <w:tcPr>
            <w:tcW w:type="dxa" w:w="2880"/>
            <w:vAlign w:val="center"/>
          </w:tcPr>
          <w:p>
            <w:r>
              <w:t>匿名称呼、城市、户型、面积</w:t>
            </w:r>
          </w:p>
        </w:tc>
        <w:tc>
          <w:tcPr>
            <w:tcW w:type="dxa" w:w="2736"/>
            <w:vAlign w:val="center"/>
          </w:tcPr>
          <w:p>
            <w:r>
              <w:t>称呼/城市/户型必填；面积30—500㎡</w:t>
            </w:r>
          </w:p>
        </w:tc>
        <w:tc>
          <w:tcPr>
            <w:tcW w:type="dxa" w:w="2304"/>
            <w:vAlign w:val="center"/>
          </w:tcPr>
          <w:p>
            <w:r>
              <w:t>建立匿名客户会话</w:t>
            </w:r>
          </w:p>
        </w:tc>
      </w:tr>
      <w:tr>
        <w:tc>
          <w:tcPr>
            <w:tcW w:type="dxa" w:w="1440"/>
            <w:vAlign w:val="center"/>
          </w:tcPr>
          <w:p>
            <w:r>
              <w:t>预算</w:t>
            </w:r>
          </w:p>
        </w:tc>
        <w:tc>
          <w:tcPr>
            <w:tcW w:type="dxa" w:w="2880"/>
            <w:vAlign w:val="center"/>
          </w:tcPr>
          <w:p>
            <w:r>
              <w:t>预算下限、预算上限</w:t>
            </w:r>
          </w:p>
        </w:tc>
        <w:tc>
          <w:tcPr>
            <w:tcW w:type="dxa" w:w="2736"/>
            <w:vAlign w:val="center"/>
          </w:tcPr>
          <w:p>
            <w:r>
              <w:t>均大于0；下限不得高于上限</w:t>
            </w:r>
          </w:p>
        </w:tc>
        <w:tc>
          <w:tcPr>
            <w:tcW w:type="dxa" w:w="2304"/>
            <w:vAlign w:val="center"/>
          </w:tcPr>
          <w:p>
            <w:r>
              <w:t>推荐硬上限与预算评分</w:t>
            </w:r>
          </w:p>
        </w:tc>
      </w:tr>
      <w:tr>
        <w:tc>
          <w:tcPr>
            <w:tcW w:type="dxa" w:w="1440"/>
            <w:vAlign w:val="center"/>
          </w:tcPr>
          <w:p>
            <w:r>
              <w:t>家庭结构</w:t>
            </w:r>
          </w:p>
        </w:tc>
        <w:tc>
          <w:tcPr>
            <w:tcW w:type="dxa" w:w="2880"/>
            <w:vAlign w:val="center"/>
          </w:tcPr>
          <w:p>
            <w:r>
              <w:t>成人、儿童、老人、宠物</w:t>
            </w:r>
          </w:p>
        </w:tc>
        <w:tc>
          <w:tcPr>
            <w:tcW w:type="dxa" w:w="2736"/>
            <w:vAlign w:val="center"/>
          </w:tcPr>
          <w:p>
            <w:r>
              <w:t>至少一位居住成员</w:t>
            </w:r>
          </w:p>
        </w:tc>
        <w:tc>
          <w:tcPr>
            <w:tcW w:type="dxa" w:w="2304"/>
            <w:vAlign w:val="center"/>
          </w:tcPr>
          <w:p>
            <w:r>
              <w:t>家庭匹配与安全约束</w:t>
            </w:r>
          </w:p>
        </w:tc>
      </w:tr>
      <w:tr>
        <w:tc>
          <w:tcPr>
            <w:tcW w:type="dxa" w:w="1440"/>
            <w:vAlign w:val="center"/>
          </w:tcPr>
          <w:p>
            <w:r>
              <w:t>需求描述</w:t>
            </w:r>
          </w:p>
        </w:tc>
        <w:tc>
          <w:tcPr>
            <w:tcW w:type="dxa" w:w="2880"/>
            <w:vAlign w:val="center"/>
          </w:tcPr>
          <w:p>
            <w:r>
              <w:t>10—500字原始描述</w:t>
            </w:r>
          </w:p>
        </w:tc>
        <w:tc>
          <w:tcPr>
            <w:tcW w:type="dxa" w:w="2736"/>
            <w:vAlign w:val="center"/>
          </w:tcPr>
          <w:p>
            <w:r>
              <w:t>保留原文，允许后续复核</w:t>
            </w:r>
          </w:p>
        </w:tc>
        <w:tc>
          <w:tcPr>
            <w:tcW w:type="dxa" w:w="2304"/>
            <w:vAlign w:val="center"/>
          </w:tcPr>
          <w:p>
            <w:r>
              <w:t>补充生活方式和设计期待</w:t>
            </w:r>
          </w:p>
        </w:tc>
      </w:tr>
      <w:tr>
        <w:tc>
          <w:tcPr>
            <w:tcW w:type="dxa" w:w="1440"/>
            <w:vAlign w:val="center"/>
          </w:tcPr>
          <w:p>
            <w:r>
              <w:t>特殊需求</w:t>
            </w:r>
          </w:p>
        </w:tc>
        <w:tc>
          <w:tcPr>
            <w:tcW w:type="dxa" w:w="2880"/>
            <w:vAlign w:val="center"/>
          </w:tcPr>
          <w:p>
            <w:r>
              <w:t>安全、适老、宠物、收纳、清洁等</w:t>
            </w:r>
          </w:p>
        </w:tc>
        <w:tc>
          <w:tcPr>
            <w:tcW w:type="dxa" w:w="2736"/>
            <w:vAlign w:val="center"/>
          </w:tcPr>
          <w:p>
            <w:r>
              <w:t>可多选并由客户修改</w:t>
            </w:r>
          </w:p>
        </w:tc>
        <w:tc>
          <w:tcPr>
            <w:tcW w:type="dxa" w:w="2304"/>
            <w:vAlign w:val="center"/>
          </w:tcPr>
          <w:p>
            <w:r>
              <w:t>冲突检测与功能评分</w:t>
            </w:r>
          </w:p>
        </w:tc>
      </w:tr>
    </w:tbl>
    <w:p>
      <w:pPr>
        <w:pStyle w:val="Caption"/>
      </w:pPr>
      <w:r>
        <w:t>图6  匿名客户列表、继续体验与林女士一键演示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custom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10.2 多客户隔离与本地保存</w:t>
      </w:r>
    </w:p>
    <w:p>
      <w:pPr>
        <w:pStyle w:val="ListBullet"/>
      </w:pPr>
      <w:r>
        <w:t>创建：填写完整需求后生成独立匿名客户档案并进入视觉选择。</w:t>
      </w:r>
    </w:p>
    <w:p>
      <w:pPr>
        <w:pStyle w:val="ListBullet"/>
      </w:pPr>
      <w:r>
        <w:t>切换：客户列表显示基本需求、预算和视觉记录数量，可继续上次体验。</w:t>
      </w:r>
    </w:p>
    <w:p>
      <w:pPr>
        <w:pStyle w:val="ListBullet"/>
      </w:pPr>
      <w:r>
        <w:t>隔离：不同客户的需求、视觉事件、推荐预算、所选案例和风险处置互不复用。</w:t>
      </w:r>
    </w:p>
    <w:p>
      <w:pPr>
        <w:pStyle w:val="ListBullet"/>
      </w:pPr>
      <w:r>
        <w:t>恢复：刷新页面后从localStorage恢复；清除站点数据后自建客户会被删除，林女士固定案例自动恢复。</w:t>
      </w:r>
    </w:p>
    <w:p>
      <w:pPr>
        <w:pStyle w:val="ListBullet"/>
      </w:pPr>
      <w:r>
        <w:t>删除：仅删除当前浏览器中的自建匿名档案，操作前需要二次确认。</w:t>
      </w:r>
    </w:p>
    <w:p>
      <w:pPr>
        <w:pStyle w:val="Caption"/>
      </w:pPr>
      <w:r>
        <w:t>图7  390px移动端中的动态客户画像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4600" cy="54418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experi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41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10.3 GitHub下载者的使用方式</w:t>
      </w:r>
    </w:p>
    <w:p>
      <w:r>
        <w:t>评委从GitHub获得项目文件后，不会取得作者电脑上的数据库，也不需要配置数据库。在site目录安装依赖并启动开发服务器后，即可通过终端显示的localhost地址访问网站。</w:t>
      </w:r>
    </w:p>
    <w:p>
      <w:pPr>
        <w:pStyle w:val="ListNumber"/>
      </w:pPr>
      <w:r>
        <w:t>在VS Code或PowerShell 7中进入项目的site目录。</w:t>
      </w:r>
    </w:p>
    <w:p>
      <w:pPr>
        <w:pStyle w:val="ListNumber"/>
      </w:pPr>
      <w:r>
        <w:t>执行 npm.cmd install 安装项目依赖。</w:t>
      </w:r>
    </w:p>
    <w:p>
      <w:pPr>
        <w:pStyle w:val="ListNumber"/>
      </w:pPr>
      <w:r>
        <w:t>执行 npm.cmd run dev 启动本地网站。</w:t>
      </w:r>
    </w:p>
    <w:p>
      <w:pPr>
        <w:pStyle w:val="ListNumber"/>
      </w:pPr>
      <w:r>
        <w:t>打开终端显示的localhost地址，创建匿名客户或使用林女士演示案例。</w:t>
      </w:r>
    </w:p>
    <w:p>
      <w:pPr>
        <w:pStyle w:val="ListNumber"/>
      </w:pPr>
      <w:r>
        <w:t>体验数据保存在访问者自己的浏览器中，不会上传GitHub或访问作者电脑。</w:t>
      </w:r>
    </w:p>
    <w:p>
      <w:r>
        <w:rPr>
          <w:b/>
        </w:rPr>
        <w:t>数据边界：</w:t>
      </w:r>
      <w:r>
        <w:t>localStorage适合比赛演示和单机体验，不支持跨电脑共享、多用户并发或正式客户数据管理。Prisma/PostgreSQL模型仍作为后续扩展边界，本版本不启用数据库。</w:t>
      </w:r>
    </w:p>
    <w:p>
      <w:pPr>
        <w:pStyle w:val="Heading2"/>
      </w:pPr>
      <w:r>
        <w:t>10.4 本轮验收结果</w:t>
      </w:r>
    </w:p>
    <w:p>
      <w:pPr>
        <w:pStyle w:val="ListBullet"/>
      </w:pPr>
      <w:r>
        <w:t>桌面端1440×960：创建两名差异明显的匿名客户并完整切换。</w:t>
      </w:r>
    </w:p>
    <w:p>
      <w:pPr>
        <w:pStyle w:val="ListBullet"/>
      </w:pPr>
      <w:r>
        <w:t>客户002完成7轮选择、推荐和交付；客户003保持0条视觉记录，未发生串档。</w:t>
      </w:r>
    </w:p>
    <w:p>
      <w:pPr>
        <w:pStyle w:val="ListBullet"/>
      </w:pPr>
      <w:r>
        <w:t>刷新后两名客户及其独立状态均从localStorage恢复。</w:t>
      </w:r>
    </w:p>
    <w:p>
      <w:pPr>
        <w:pStyle w:val="ListBullet"/>
      </w:pPr>
      <w:r>
        <w:t>推荐输入动态读取城市、户型、面积、预算和家庭结构，不再固定为林女士。</w:t>
      </w:r>
    </w:p>
    <w:p>
      <w:pPr>
        <w:pStyle w:val="ListBullet"/>
      </w:pPr>
      <w:r>
        <w:t>交付看板显示当前客户称呼，并独立保存所选方案和风险处置。</w:t>
      </w:r>
    </w:p>
    <w:p>
      <w:pPr>
        <w:pStyle w:val="ListBullet"/>
      </w:pPr>
      <w:r>
        <w:t>390×844移动端无横向溢出；浏览器控制台0错误。</w:t>
      </w:r>
    </w:p>
    <w:p>
      <w:pPr>
        <w:pStyle w:val="ListBullet"/>
      </w:pPr>
      <w:r>
        <w:t>生产构建、TypeScript、ESLint、15项规则测试和服务端渲染测试通过。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76B6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676B6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76B65"/>
        <w:sz w:val="17"/>
      </w:rPr>
      <w:t>欧派AI灵感家  ·  MVP系统使用说明书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欧派AI灵感家系统使用说明书 v1.1</dc:title>
  <dc:subject>完整需求输入、多客户模式、视觉画像、推荐与模拟交付</dc:subject>
  <dc:creator>欧派AI灵感家项目组</dc:creator>
  <cp:keywords>欧派AI灵感家,MVP,视觉偏好,案例推荐,交付看板,风险预警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