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Provisional Patent Application – Packet 1A</w:t>
      </w:r>
    </w:p>
    <w:p>
      <w:pPr>
        <w:pStyle w:val="Heading2"/>
      </w:pPr>
      <w:r>
        <w:t>Title: Centauri System – Modular Automation Infrastructure OS</w:t>
      </w:r>
    </w:p>
    <w:p>
      <w:r>
        <w:br/>
        <w:t>This provisional patent defines the structural foundation of the Centauri System as a modular automation infrastructure.</w:t>
        <w:br/>
        <w:t>This system enables founder-controlled, logic-driven execution of digital services and operational systems across industries</w:t>
        <w:br/>
        <w:t>without the need for traditional IT departments, software stacks, or human staff.</w:t>
        <w:br/>
        <w:br/>
        <w:t>Core Functional Claims:</w:t>
        <w:br/>
        <w:t>1. Modular AI Logic Grid: AI modules deployable by command or event triggers.</w:t>
        <w:br/>
        <w:t>2. ABE Core (Autonomous Business Execution): Agents independently execute business logic across scheduling, invoicing, support, and logistics.</w:t>
        <w:br/>
        <w:t>3. Natural Language Command Layer: Full founder control of every function via voice or contextual intent.</w:t>
        <w:br/>
        <w:t>4. Universal Integration Bridge: Compatible with all RESTful and webhook-based APIs across commerce, communication, and service ecosystems.</w:t>
        <w:br/>
        <w:t>5. Event-Aware Memory Threading: Long-term memory allocation weighted by priority, success outcome, and user satisfaction.</w:t>
        <w:br/>
        <w:br/>
        <w:t>Architecture Notes:</w:t>
        <w:br/>
        <w:t>- Centauri’s logic model enables complete business execution without staff.</w:t>
        <w:br/>
        <w:t>- Designed to self-optimize around founder-defined outcomes.</w:t>
        <w:br/>
        <w:t>- Ideal for small business owners, freelancers, or enterprise micro-deployments.</w:t>
        <w:br/>
        <w:t>- Interlocks with emotional logic and behavioral intelligence modules described in Packet 2A.</w:t>
        <w:br/>
        <w:t>- May be deployed on mobile, web, wearable, embedded systems, or as an invisible logic layer inside pre-existing tools.</w:t>
        <w:br/>
        <w:br/>
        <w:t>Filing Entity: MiniMe Technology</w:t>
        <w:br/>
        <w:t>Inventor: [Insert Legal Name]</w:t>
        <w:br/>
        <w:t>Filing Classification: US / WIPO / Global AI Infrastructure</w:t>
        <w:br/>
        <w:t>Region Scope: Universal - applicable across finance, logistics, medical, education, legal, and manufacturing systems.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