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**Analysis Summary**</w:t>
      </w:r>
    </w:p>
    <w:p>
      <w:pPr>
        <w:pStyle w:val="ListBullet"/>
      </w:pPr>
      <w:r>
        <w:t>Source: nih_reporter</w:t>
      </w:r>
    </w:p>
    <w:p>
      <w:pPr>
        <w:pStyle w:val="ListBullet"/>
      </w:pPr>
      <w:r>
        <w:t>Years: [2025]</w:t>
      </w:r>
    </w:p>
    <w:p>
      <w:pPr>
        <w:pStyle w:val="ListBullet"/>
      </w:pPr>
      <w:r>
        <w:t>Unique source documents retrieved: 100</w:t>
      </w:r>
    </w:p>
    <w:p>
      <w:pPr>
        <w:pStyle w:val="ListBullet"/>
      </w:pPr>
      <w:r>
        <w:t>Sentence passages analyzed: 1579</w:t>
      </w:r>
    </w:p>
    <w:p>
      <w:pPr>
        <w:pStyle w:val="ListBullet"/>
      </w:pPr>
      <w:r>
        <w:t>Research clusters identified: 110</w:t>
      </w:r>
    </w:p>
    <w:p>
      <w:r>
        <w:t>────────────────────────────────────────────────────────────</w:t>
      </w:r>
    </w:p>
    <w:p/>
    <w:p/>
    <w:p>
      <w:pPr>
        <w:pStyle w:val="Heading1"/>
      </w:pPr>
      <w:r>
        <w:t>Parkinson Disease Research Trends: Mechanisms, Pathogenesis, and Neurodegeneration</w:t>
      </w:r>
    </w:p>
    <w:p>
      <w:pPr>
        <w:pStyle w:val="Heading2"/>
      </w:pPr>
      <w:r>
        <w:t>A Program Officer Report Based on NIH Reporter Data (2025)</w:t>
      </w:r>
    </w:p>
    <w:p/>
    <w:p>
      <w:r>
        <w:t>────────────────────────────────────────────────────────────</w:t>
      </w:r>
    </w:p>
    <w:p/>
    <w:p>
      <w:pPr>
        <w:pStyle w:val="Heading2"/>
      </w:pPr>
      <w:r>
        <w:t>1. Overview</w:t>
      </w:r>
    </w:p>
    <w:p/>
    <w:p>
      <w:r>
        <w:t xml:space="preserve">Parkinson disease (PD) affects over 1.5 million Americans and more than 10 million people globally </w:t>
      </w:r>
      <w:hyperlink r:id="rId9">
        <w:r>
          <w:rPr>
            <w:rStyle w:val="Hyperlink"/>
          </w:rPr>
          <w:t>[Sidransky, 2025]</w:t>
        </w:r>
      </w:hyperlink>
      <w:r>
        <w:t xml:space="preserve">, with Parkinsonism diagnoses having doubled from 1990 to 2015 </w:t>
      </w:r>
      <w:hyperlink r:id="rId10">
        <w:r>
          <w:rPr>
            <w:rStyle w:val="Hyperlink"/>
          </w:rPr>
          <w:t>[Barmpoutis, 2025]</w:t>
        </w:r>
      </w:hyperlink>
      <w:r>
        <w:t xml:space="preserve">. Synucleinopathies in aggregate—including PD, dementia with Lewy bodies (DLB), and multiple system atrophy (MSA)—afflict approximately 2 million Americans </w:t>
      </w:r>
      <w:hyperlink r:id="rId11">
        <w:r>
          <w:rPr>
            <w:rStyle w:val="Hyperlink"/>
          </w:rPr>
          <w:t>[Ju, 2025]</w:t>
        </w:r>
      </w:hyperlink>
      <w:r>
        <w:t xml:space="preserve">. Despite decades of research, no medications are yet proven to slow the progression of PD signs </w:t>
      </w:r>
      <w:hyperlink r:id="rId12">
        <w:r>
          <w:rPr>
            <w:rStyle w:val="Hyperlink"/>
          </w:rPr>
          <w:t>[Corcos et al., 2025]</w:t>
        </w:r>
      </w:hyperlink>
      <w:r>
        <w:t xml:space="preserve">, and L-DOPA remains the gold standard of therapy after more than 50 years </w:t>
      </w:r>
      <w:hyperlink r:id="rId13">
        <w:r>
          <w:rPr>
            <w:rStyle w:val="Hyperlink"/>
          </w:rPr>
          <w:t>[Jaunarajs, 2025]</w:t>
        </w:r>
      </w:hyperlink>
      <w:r>
        <w:t>. The current NIH-funded research portfolio reflects an expansive and mechanistically diverse effort to address this unmet need. Across 110 research clusters analyzed, dominant themes include alpha-synuclein biology and prion-like propagation, mitochondrial dysfunction, neuroinflammation and glial biology, genetic risk architecture, lysosomal pathway dysfunction, biomarker development, and translational therapeutic discovery. This report synthesizes verified findings across these domains, identifies key knowledge gaps, and flags emerging signals warranting programmatic attention.</w:t>
      </w:r>
    </w:p>
    <w:p/>
    <w:p>
      <w:r>
        <w:t>────────────────────────────────────────────────────────────</w:t>
      </w:r>
    </w:p>
    <w:p/>
    <w:p>
      <w:pPr>
        <w:pStyle w:val="Heading2"/>
      </w:pPr>
      <w:r>
        <w:t>2. Major Research Themes</w:t>
      </w:r>
    </w:p>
    <w:p/>
    <w:p>
      <w:pPr>
        <w:pStyle w:val="Heading3"/>
      </w:pPr>
      <w:r>
        <w:t>2.1 Alpha-Synuclein Pathobiology and Prion-Like Propagation</w:t>
      </w:r>
    </w:p>
    <w:p/>
    <w:p>
      <w:r>
        <w:t xml:space="preserve">Alpha-synuclein (α-syn) aggregation is a defining molecular hallmark of PD and related synucleinopathies. α-Synuclein aggregates to form insoluble fibrils in pathological conditions characterized by Lewy bodies, including PD, MSA, and DLB </w:t>
      </w:r>
      <w:hyperlink r:id="rId14">
        <w:r>
          <w:rPr>
            <w:rStyle w:val="Hyperlink"/>
          </w:rPr>
          <w:t>[Jaffee, 2025]</w:t>
        </w:r>
      </w:hyperlink>
      <w:r>
        <w:t xml:space="preserve">. Pathologic accumulation of misfolded α-synuclein in neurons leads to neurodegeneration, cognitive dysfunction, and dementia in α-synucleinopathies </w:t>
      </w:r>
      <w:hyperlink r:id="rId15">
        <w:r>
          <w:rPr>
            <w:rStyle w:val="Hyperlink"/>
          </w:rPr>
          <w:t>[Dawson, 2025]</w:t>
        </w:r>
      </w:hyperlink>
      <w:r>
        <w:t xml:space="preserve">. Disease-associated pathological aggregates of α-synuclein exhibit prion-like spreading in synucleinopathies such as PD and DLB </w:t>
      </w:r>
      <w:hyperlink r:id="rId16">
        <w:r>
          <w:rPr>
            <w:rStyle w:val="Hyperlink"/>
          </w:rPr>
          <w:t>[Caughey, 2025]</w:t>
        </w:r>
      </w:hyperlink>
      <w:r>
        <w:t>.</w:t>
      </w:r>
    </w:p>
    <w:p/>
    <w:p>
      <w:r>
        <w:t xml:space="preserve">The gut-brain axis has emerged as a critical propagation route: α-synuclein protein misfolding in PD implies propagation from the gut to brainstem via the vagus nerve, and α-syn oligomers in CSF serve as a marker of early synucleinopathies </w:t>
      </w:r>
      <w:hyperlink r:id="rId17">
        <w:r>
          <w:rPr>
            <w:rStyle w:val="Hyperlink"/>
          </w:rPr>
          <w:t>[Camilleri, 2025]</w:t>
        </w:r>
      </w:hyperlink>
      <w:r>
        <w:t xml:space="preserve">. Notably, α-synuclein aggregates are identified in enteric neurons in elderly people without PD </w:t>
      </w:r>
      <w:hyperlink r:id="rId17">
        <w:r>
          <w:rPr>
            <w:rStyle w:val="Hyperlink"/>
          </w:rPr>
          <w:t>[Michael L. Camilleri, 2025]</w:t>
        </w:r>
      </w:hyperlink>
      <w:r>
        <w:t xml:space="preserve">, suggesting early subclinical pathology. In Lewy body diseases, there is increased deposition of α-synuclein in cutaneous sympathetic noradrenergic nerves </w:t>
      </w:r>
      <w:hyperlink r:id="rId18">
        <w:r>
          <w:rPr>
            <w:rStyle w:val="Hyperlink"/>
          </w:rPr>
          <w:t>[Goldstein, 2025]</w:t>
        </w:r>
      </w:hyperlink>
      <w:r>
        <w:t xml:space="preserve">, and α-synuclein has pathophysiologic significance in sympathetic nerves more broadly </w:t>
      </w:r>
      <w:hyperlink r:id="rId18">
        <w:r>
          <w:rPr>
            <w:rStyle w:val="Hyperlink"/>
          </w:rPr>
          <w:t>[Isonaka &amp; Goldstein, 2025]</w:t>
        </w:r>
      </w:hyperlink>
      <w:r>
        <w:t>.</w:t>
      </w:r>
    </w:p>
    <w:p/>
    <w:p>
      <w:r>
        <w:t xml:space="preserve">At the molecular level, blocking phosphorylation of alpha synuclein via a Plk2 inhibitor changes neuronal electrical activity in cells without pathology </w:t>
      </w:r>
      <w:hyperlink r:id="rId19">
        <w:r>
          <w:rPr>
            <w:rStyle w:val="Hyperlink"/>
          </w:rPr>
          <w:t>[Cookson, 2025]</w:t>
        </w:r>
      </w:hyperlink>
      <w:r>
        <w:t xml:space="preserve">, and cells with the greatest amount of phosphorylated synuclein tend to have higher expression of the stress-responsive kinase Plk2 </w:t>
      </w:r>
      <w:hyperlink r:id="rId19">
        <w:r>
          <w:rPr>
            <w:rStyle w:val="Hyperlink"/>
          </w:rPr>
          <w:t>[Cookson, 2025]</w:t>
        </w:r>
      </w:hyperlink>
      <w:r>
        <w:t xml:space="preserve">. Disease-associated α-synuclein disrupts trafficking, whereas palmitoylation facilitates normal trafficking </w:t>
      </w:r>
      <w:hyperlink r:id="rId20">
        <w:r>
          <w:rPr>
            <w:rStyle w:val="Hyperlink"/>
          </w:rPr>
          <w:t>[Ho, 2025]</w:t>
        </w:r>
      </w:hyperlink>
      <w:r>
        <w:t xml:space="preserve">. In DLB and PD at autopsy, histone acetylation is markedly dysregulated </w:t>
      </w:r>
      <w:hyperlink r:id="rId21">
        <w:r>
          <w:rPr>
            <w:rStyle w:val="Hyperlink"/>
          </w:rPr>
          <w:t>[Stephen N. Gomperts, 2025]</w:t>
        </w:r>
      </w:hyperlink>
      <w:r>
        <w:t xml:space="preserve">. Molecular dynamic studies on α-synuclein proteins can provide theoretical understanding of conformational changes in PD research </w:t>
      </w:r>
      <w:hyperlink r:id="rId22">
        <w:r>
          <w:rPr>
            <w:rStyle w:val="Hyperlink"/>
          </w:rPr>
          <w:t>[Liu, 2025]</w:t>
        </w:r>
      </w:hyperlink>
      <w:r>
        <w:t xml:space="preserve">, and a label-free, non-invasive, and non-destructive approach has been developed to determine the structural organization of individual α-Syn aggregates </w:t>
      </w:r>
      <w:hyperlink r:id="rId23">
        <w:r>
          <w:rPr>
            <w:rStyle w:val="Hyperlink"/>
          </w:rPr>
          <w:t>[Kurouski, 2025]</w:t>
        </w:r>
      </w:hyperlink>
      <w:r>
        <w:t>.</w:t>
      </w:r>
    </w:p>
    <w:p/>
    <w:p>
      <w:r>
        <w:t>────────────────────────────────────────────────────────────</w:t>
      </w:r>
    </w:p>
    <w:p/>
    <w:p>
      <w:pPr>
        <w:pStyle w:val="Heading3"/>
      </w:pPr>
      <w:r>
        <w:t>2.2 Neuroinflammation and Glial Biology</w:t>
      </w:r>
    </w:p>
    <w:p/>
    <w:p>
      <w:r>
        <w:t xml:space="preserve">Neuroinflammation is a key element in the pathogenesis and progression of PD </w:t>
      </w:r>
      <w:hyperlink r:id="rId24">
        <w:r>
          <w:rPr>
            <w:rStyle w:val="Hyperlink"/>
          </w:rPr>
          <w:t>[Perlmutter, 2025]</w:t>
        </w:r>
      </w:hyperlink>
      <w:r>
        <w:t xml:space="preserve">. Immune activation either causes or contributes to the pathogenesis of PD as a neuroinflammatory disorder </w:t>
      </w:r>
      <w:hyperlink r:id="rId25">
        <w:r>
          <w:rPr>
            <w:rStyle w:val="Hyperlink"/>
          </w:rPr>
          <w:t>[Paulovich, 2025]</w:t>
        </w:r>
      </w:hyperlink>
      <w:r>
        <w:t xml:space="preserve">. Signs of inflammation have been detected in postmortem tissue of PD patients, and mutations in genes associated with familial PD can influence the function of astrocytes and microglia </w:t>
      </w:r>
      <w:hyperlink r:id="rId26">
        <w:r>
          <w:rPr>
            <w:rStyle w:val="Hyperlink"/>
          </w:rPr>
          <w:t>[Cowell, 2025]</w:t>
        </w:r>
      </w:hyperlink>
      <w:r>
        <w:t xml:space="preserve">. However, direct evidence is lacking for mechanistic links among inflammation, glial dysregulation, and the neuronal loss characteristic of PD </w:t>
      </w:r>
      <w:hyperlink r:id="rId26">
        <w:r>
          <w:rPr>
            <w:rStyle w:val="Hyperlink"/>
          </w:rPr>
          <w:t>[Cowell et al., 2025]</w:t>
        </w:r>
      </w:hyperlink>
      <w:r>
        <w:t>.</w:t>
      </w:r>
    </w:p>
    <w:p/>
    <w:p>
      <w:r>
        <w:t xml:space="preserve">At the molecular level, NF-κB and MAPK signaling result in upregulated inflammation in the brainstem vocal pathway in the Pink1-/- rat model of preclinical PD </w:t>
      </w:r>
      <w:hyperlink r:id="rId27">
        <w:r>
          <w:rPr>
            <w:rStyle w:val="Hyperlink"/>
          </w:rPr>
          <w:t>[Kelm-Nelson, 2025]</w:t>
        </w:r>
      </w:hyperlink>
      <w:r>
        <w:t xml:space="preserve">. NOX2 can be activated by mitochondrially-derived ROS in a RIRP manner, which serves to greatly amplify ROS production, creating a feedforward cycle where NOX2 plays an essential amplification role in PD pathogenesis </w:t>
      </w:r>
      <w:hyperlink r:id="rId28">
        <w:r>
          <w:rPr>
            <w:rStyle w:val="Hyperlink"/>
          </w:rPr>
          <w:t>[Di Maio et al., 2025]</w:t>
        </w:r>
      </w:hyperlink>
      <w:r>
        <w:t xml:space="preserve">. Other NOX isoforms, including isoforms 1 and 4, are highly expressed in brain and might contribute to the pathogenic process in PD </w:t>
      </w:r>
      <w:hyperlink r:id="rId28">
        <w:r>
          <w:rPr>
            <w:rStyle w:val="Hyperlink"/>
          </w:rPr>
          <w:t>[Di Maio et al., 2025]</w:t>
        </w:r>
      </w:hyperlink>
      <w:r>
        <w:t xml:space="preserve">. PD-linked single-nucleotide polymorphisms in CD38 are associated with approximately 45% reduction in CD38 transcript expression in the human brain </w:t>
      </w:r>
      <w:hyperlink r:id="rId26">
        <w:r>
          <w:rPr>
            <w:rStyle w:val="Hyperlink"/>
          </w:rPr>
          <w:t>[Cowell, 2025]</w:t>
        </w:r>
      </w:hyperlink>
      <w:r>
        <w:t xml:space="preserve">, and CD38 expression is enriched in astrocytes of the human and mouse brain </w:t>
      </w:r>
      <w:hyperlink r:id="rId26">
        <w:r>
          <w:rPr>
            <w:rStyle w:val="Hyperlink"/>
          </w:rPr>
          <w:t>[Cowell, 2025]</w:t>
        </w:r>
      </w:hyperlink>
      <w:r>
        <w:t>.</w:t>
      </w:r>
    </w:p>
    <w:p/>
    <w:p>
      <w:r>
        <w:t xml:space="preserve">S1PR1 is the most abundant receptor in the S1P receptor family and is expressed in neurons and glial cells including astrocytes, microglia, and oligodendrocytes in the CNS </w:t>
      </w:r>
      <w:hyperlink r:id="rId24">
        <w:r>
          <w:rPr>
            <w:rStyle w:val="Hyperlink"/>
          </w:rPr>
          <w:t>[Perlmutter et al., 2025]</w:t>
        </w:r>
      </w:hyperlink>
      <w:r>
        <w:t xml:space="preserve">. Neurotinib treatment significantly decreased midbrain phosphorylated c-Abl and α-synuclein levels and reduced microglia and astrocyte activation </w:t>
      </w:r>
      <w:hyperlink r:id="rId29">
        <w:r>
          <w:rPr>
            <w:rStyle w:val="Hyperlink"/>
          </w:rPr>
          <w:t>[Marugan, 2025]</w:t>
        </w:r>
      </w:hyperlink>
      <w:r>
        <w:t xml:space="preserve">. Unregulated inflammation contributes to the development of PD and Alzheimer disease </w:t>
      </w:r>
      <w:hyperlink r:id="rId30">
        <w:r>
          <w:rPr>
            <w:rStyle w:val="Hyperlink"/>
          </w:rPr>
          <w:t>[Altan-Bonnet, 2025]</w:t>
        </w:r>
      </w:hyperlink>
      <w:r>
        <w:t>.</w:t>
      </w:r>
    </w:p>
    <w:p/>
    <w:p>
      <w:r>
        <w:t>────────────────────────────────────────────────────────────</w:t>
      </w:r>
    </w:p>
    <w:p/>
    <w:p>
      <w:pPr>
        <w:pStyle w:val="Heading3"/>
      </w:pPr>
      <w:r>
        <w:t>2.3 Mitochondrial Dysfunction</w:t>
      </w:r>
    </w:p>
    <w:p/>
    <w:p>
      <w:r>
        <w:t xml:space="preserve">Mitochondrial dysfunction plays a role in the pathogenesis of age-related neurodegenerative disorders, including PD and Alzheimer disease </w:t>
      </w:r>
      <w:hyperlink r:id="rId31">
        <w:r>
          <w:rPr>
            <w:rStyle w:val="Hyperlink"/>
          </w:rPr>
          <w:t>[Manfredi, 2025]</w:t>
        </w:r>
      </w:hyperlink>
      <w:r>
        <w:t xml:space="preserve">. Idiopathic PD is associated with oxidative stress and mitochondrial dysfunction, particularly in relation to LRRK2 </w:t>
      </w:r>
      <w:hyperlink r:id="rId32">
        <w:r>
          <w:rPr>
            <w:rStyle w:val="Hyperlink"/>
          </w:rPr>
          <w:t>[Greenamyre, 2025]</w:t>
        </w:r>
      </w:hyperlink>
      <w:r>
        <w:t xml:space="preserve">. DJ-1 mutations affect how cells respond to mitochondrial damage, with a relationship between oxidative stress and DJ-1 mitochondrial localization </w:t>
      </w:r>
      <w:hyperlink r:id="rId19">
        <w:r>
          <w:rPr>
            <w:rStyle w:val="Hyperlink"/>
          </w:rPr>
          <w:t>[Cookson, 2025]</w:t>
        </w:r>
      </w:hyperlink>
      <w:r>
        <w:t xml:space="preserve">. Sustained mitochondrial integrated stress responses become maladaptive and cause imbalances of key metabolites, which may be more detrimental than the energy defect itself </w:t>
      </w:r>
      <w:hyperlink r:id="rId31">
        <w:r>
          <w:rPr>
            <w:rStyle w:val="Hyperlink"/>
          </w:rPr>
          <w:t>[Manfredi, 2025]</w:t>
        </w:r>
      </w:hyperlink>
      <w:r>
        <w:t xml:space="preserve">. Research groups have accumulated over two decades of expertise in studying mechanisms of mitochondrial encephalopathies and mitochondrial dysfunction in neurodegeneration </w:t>
      </w:r>
      <w:hyperlink r:id="rId31">
        <w:r>
          <w:rPr>
            <w:rStyle w:val="Hyperlink"/>
          </w:rPr>
          <w:t>[Manfredi, 2025]</w:t>
        </w:r>
      </w:hyperlink>
      <w:r>
        <w:t>.</w:t>
      </w:r>
    </w:p>
    <w:p/>
    <w:p>
      <w:r>
        <w:t>────────────────────────────────────────────────────────────</w:t>
      </w:r>
    </w:p>
    <w:p/>
    <w:p>
      <w:pPr>
        <w:pStyle w:val="Heading3"/>
      </w:pPr>
      <w:r>
        <w:t>2.4 Genetic Risk Architecture and Familial PD</w:t>
      </w:r>
    </w:p>
    <w:p/>
    <w:p>
      <w:r>
        <w:t xml:space="preserve">The genetic landscape of PD is increasingly complex. Regulatory variation in the chromatin and transcriptional landscapes of dopaminergic neurons confers risk for Parkinson disease </w:t>
      </w:r>
      <w:hyperlink r:id="rId33">
        <w:r>
          <w:rPr>
            <w:rStyle w:val="Hyperlink"/>
          </w:rPr>
          <w:t>[McCallion, 2025]</w:t>
        </w:r>
      </w:hyperlink>
      <w:r>
        <w:t xml:space="preserve">. PD-associated functional variation was identified falling within novel enhancers in dopamine neurons </w:t>
      </w:r>
      <w:hyperlink r:id="rId33">
        <w:r>
          <w:rPr>
            <w:rStyle w:val="Hyperlink"/>
          </w:rPr>
          <w:t>[McCAllion, 2025]</w:t>
        </w:r>
      </w:hyperlink>
      <w:r>
        <w:t xml:space="preserve">, and PD GWAS genes are enriched in glial cells of the mouse brain </w:t>
      </w:r>
      <w:hyperlink r:id="rId26">
        <w:r>
          <w:rPr>
            <w:rStyle w:val="Hyperlink"/>
          </w:rPr>
          <w:t>[Cowell, 2025]</w:t>
        </w:r>
      </w:hyperlink>
      <w:r>
        <w:t xml:space="preserve">. Splicing errors associated with alternative usage of splice sites are implicated in early-onset PD through cryptic splice site usage </w:t>
      </w:r>
      <w:hyperlink r:id="rId34">
        <w:r>
          <w:rPr>
            <w:rStyle w:val="Hyperlink"/>
          </w:rPr>
          <w:t>[Duran, 2025]</w:t>
        </w:r>
      </w:hyperlink>
      <w:r>
        <w:t>.</w:t>
      </w:r>
    </w:p>
    <w:p/>
    <w:p>
      <w:r>
        <w:t xml:space="preserve">LRRK2 mutations in the GTP-binding region result in higher kinase activity, lower binding to 14-3-3, and reduced susceptibility to inactivation by 14-3-3 </w:t>
      </w:r>
      <w:hyperlink r:id="rId19">
        <w:r>
          <w:rPr>
            <w:rStyle w:val="Hyperlink"/>
          </w:rPr>
          <w:t>[Cookson, 2025]</w:t>
        </w:r>
      </w:hyperlink>
      <w:r>
        <w:t xml:space="preserve">. LRRK2 kinase hyperactivity results from the same single nucleotide polymorphisms (G2019S, N2081D) that increase susceptibility to both PD and Crohn's disease </w:t>
      </w:r>
      <w:hyperlink r:id="rId22">
        <w:r>
          <w:rPr>
            <w:rStyle w:val="Hyperlink"/>
          </w:rPr>
          <w:t>[Liu, 2025]</w:t>
        </w:r>
      </w:hyperlink>
      <w:r>
        <w:t xml:space="preserve">, and macrophage LRRK2 kinase activity plays a key role in gut inflammation </w:t>
      </w:r>
      <w:hyperlink r:id="rId22">
        <w:r>
          <w:rPr>
            <w:rStyle w:val="Hyperlink"/>
          </w:rPr>
          <w:t>[Liu et al., 2025]</w:t>
        </w:r>
      </w:hyperlink>
      <w:r>
        <w:t xml:space="preserve">. Heterozygote variants in GBA1 are the most common genetic risk factor for PD </w:t>
      </w:r>
      <w:hyperlink r:id="rId35">
        <w:r>
          <w:rPr>
            <w:rStyle w:val="Hyperlink"/>
          </w:rPr>
          <w:t>[Wincovitch, 2025]</w:t>
        </w:r>
      </w:hyperlink>
      <w:r>
        <w:t xml:space="preserve">, and mutations in glucocerebrosidase are the most frequent inherited risk factor associated with parkinsonism more broadly </w:t>
      </w:r>
      <w:hyperlink r:id="rId9">
        <w:r>
          <w:rPr>
            <w:rStyle w:val="Hyperlink"/>
          </w:rPr>
          <w:t>[Sidransky, 2025]</w:t>
        </w:r>
      </w:hyperlink>
      <w:r>
        <w:t xml:space="preserve">. TMEM230-linked PD shows clinical and pathological features compatible with those in classical PD </w:t>
      </w:r>
      <w:hyperlink r:id="rId36">
        <w:r>
          <w:rPr>
            <w:rStyle w:val="Hyperlink"/>
          </w:rPr>
          <w:t>[Deng et al., 2025]</w:t>
        </w:r>
      </w:hyperlink>
      <w:r>
        <w:t xml:space="preserve">, and TMEM230 is the first transmembrane protein of synaptic vesicles identified in PD to date </w:t>
      </w:r>
      <w:hyperlink r:id="rId36">
        <w:r>
          <w:rPr>
            <w:rStyle w:val="Hyperlink"/>
          </w:rPr>
          <w:t>[Han-Xiang Deng, 2025]</w:t>
        </w:r>
      </w:hyperlink>
      <w:r>
        <w:t xml:space="preserve">. Pathogenic mutations in BORCS5 cause early-onset neurodegeneration with severe parkinsonism and dystonia </w:t>
      </w:r>
      <w:hyperlink r:id="rId37">
        <w:r>
          <w:rPr>
            <w:rStyle w:val="Hyperlink"/>
          </w:rPr>
          <w:t>[Mencacci, 2025]</w:t>
        </w:r>
      </w:hyperlink>
      <w:r>
        <w:t>.</w:t>
      </w:r>
    </w:p>
    <w:p/>
    <w:p>
      <w:r>
        <w:t>────────────────────────────────────────────────────────────</w:t>
      </w:r>
    </w:p>
    <w:p/>
    <w:p>
      <w:pPr>
        <w:pStyle w:val="Heading3"/>
      </w:pPr>
      <w:r>
        <w:t>2.5 Lysosomal and Endosomal Pathway Dysfunction</w:t>
      </w:r>
    </w:p>
    <w:p/>
    <w:p>
      <w:r>
        <w:t xml:space="preserve">Investigators in the field of neurodegeneration are now focusing on the role of lysosomal pathways in disease pathogenesis as a result of genetic and clinical studies of Gaucher disease and other lysosomal disorders </w:t>
      </w:r>
      <w:hyperlink r:id="rId9">
        <w:r>
          <w:rPr>
            <w:rStyle w:val="Hyperlink"/>
          </w:rPr>
          <w:t>[Sidransky, 2025]</w:t>
        </w:r>
      </w:hyperlink>
      <w:r>
        <w:t xml:space="preserve">. Lysosomal dysfunction mechanisms identified in Gaucher disease have implications for understanding and treating PD </w:t>
      </w:r>
      <w:hyperlink r:id="rId9">
        <w:r>
          <w:rPr>
            <w:rStyle w:val="Hyperlink"/>
          </w:rPr>
          <w:t>[Sidransky, 2025]</w:t>
        </w:r>
      </w:hyperlink>
      <w:r>
        <w:t xml:space="preserve">. Altered endolysosomal regulation contributes to aging-related diseases </w:t>
      </w:r>
      <w:hyperlink r:id="rId38">
        <w:r>
          <w:rPr>
            <w:rStyle w:val="Hyperlink"/>
          </w:rPr>
          <w:t>[Jenny, 2025]</w:t>
        </w:r>
      </w:hyperlink>
      <w:r>
        <w:t>.</w:t>
      </w:r>
    </w:p>
    <w:p/>
    <w:p>
      <w:r>
        <w:t xml:space="preserve">PD is characterized by accumulation of insoluble protein aggregates that lead to neuronal decay </w:t>
      </w:r>
      <w:hyperlink r:id="rId38">
        <w:r>
          <w:rPr>
            <w:rStyle w:val="Hyperlink"/>
          </w:rPr>
          <w:t>[Jenny, 2025]</w:t>
        </w:r>
      </w:hyperlink>
      <w:r>
        <w:t xml:space="preserve">. Lamp1 deficiency results in increased numbers of acidic organelles and elevated levels of sterols and diacylglycerols, indicating defects in endolysosomal pH regulation and lipid transport </w:t>
      </w:r>
      <w:hyperlink r:id="rId38">
        <w:r>
          <w:rPr>
            <w:rStyle w:val="Hyperlink"/>
          </w:rPr>
          <w:t>[Jenny, 2025]</w:t>
        </w:r>
      </w:hyperlink>
      <w:r>
        <w:t xml:space="preserve">. BORCS5 is involved in essential aspects of lysosomal biology, and dysfunction of BORCS5 functions is central to disease pathogenesis in patients with BORCS5 mutations </w:t>
      </w:r>
      <w:hyperlink r:id="rId37">
        <w:r>
          <w:rPr>
            <w:rStyle w:val="Hyperlink"/>
          </w:rPr>
          <w:t>[Mencacci, 2025]</w:t>
        </w:r>
      </w:hyperlink>
      <w:r>
        <w:t xml:space="preserve">. BORCS5-patients' cells carrying the disease-causing mutation R95Q show impaired lysosomal maturation and defects in autophagic flux </w:t>
      </w:r>
      <w:hyperlink r:id="rId37">
        <w:r>
          <w:rPr>
            <w:rStyle w:val="Hyperlink"/>
          </w:rPr>
          <w:t>[Niccolo E Mencacci, 2025]</w:t>
        </w:r>
      </w:hyperlink>
      <w:r>
        <w:t xml:space="preserve">. MTMR5 functions as a potent neuronal autophagy suppressor in neurons </w:t>
      </w:r>
      <w:hyperlink r:id="rId39">
        <w:r>
          <w:rPr>
            <w:rStyle w:val="Hyperlink"/>
          </w:rPr>
          <w:t>[Chua, 2025]</w:t>
        </w:r>
      </w:hyperlink>
      <w:r>
        <w:t xml:space="preserve">, and MTMR5 knockdown enhances neuronal sensitivity to autophagy induction and accelerates degradation of autophagy substrates including disease-associated and aggregate-prone proteins </w:t>
      </w:r>
      <w:hyperlink r:id="rId39">
        <w:r>
          <w:rPr>
            <w:rStyle w:val="Hyperlink"/>
          </w:rPr>
          <w:t>[Jason Paul Chua, 2025]</w:t>
        </w:r>
      </w:hyperlink>
      <w:r>
        <w:t>.</w:t>
      </w:r>
    </w:p>
    <w:p/>
    <w:p>
      <w:r>
        <w:t xml:space="preserve">Techniques, insights, and experience gained from studies of Gaucher disease are being applied to understanding PD </w:t>
      </w:r>
      <w:hyperlink r:id="rId9">
        <w:r>
          <w:rPr>
            <w:rStyle w:val="Hyperlink"/>
          </w:rPr>
          <w:t>[Sidransky, 2025]</w:t>
        </w:r>
      </w:hyperlink>
      <w:r>
        <w:t xml:space="preserve">. Most patients with Gaucher disease never develop PD, indicating that other genetic or environmental modifiers influence disease prevalence </w:t>
      </w:r>
      <w:hyperlink r:id="rId9">
        <w:r>
          <w:rPr>
            <w:rStyle w:val="Hyperlink"/>
          </w:rPr>
          <w:t>[Sidransky, 2025]</w:t>
        </w:r>
      </w:hyperlink>
      <w:r>
        <w:t xml:space="preserve">. Increased risk of cognitive decline and dementia occurs in Gaucher's disease patients, related to PD-associated disorders </w:t>
      </w:r>
      <w:hyperlink r:id="rId33">
        <w:r>
          <w:rPr>
            <w:rStyle w:val="Hyperlink"/>
          </w:rPr>
          <w:t>[McCallion et al., 2025]</w:t>
        </w:r>
      </w:hyperlink>
      <w:r>
        <w:t xml:space="preserve">. Small molecule drugs are being explored to enhance the delivery of mutant glucocerebrosidase to the lysosome in lysosomal disorders </w:t>
      </w:r>
      <w:hyperlink r:id="rId9">
        <w:r>
          <w:rPr>
            <w:rStyle w:val="Hyperlink"/>
          </w:rPr>
          <w:t>[Sidransky, 2025]</w:t>
        </w:r>
      </w:hyperlink>
      <w:r>
        <w:t>.</w:t>
      </w:r>
    </w:p>
    <w:p/>
    <w:p>
      <w:r>
        <w:t>────────────────────────────────────────────────────────────</w:t>
      </w:r>
    </w:p>
    <w:p/>
    <w:p>
      <w:pPr>
        <w:pStyle w:val="Heading3"/>
      </w:pPr>
      <w:r>
        <w:t>2.6 Dopaminergic Neuron Biology and Basal Ganglia Circuitry</w:t>
      </w:r>
    </w:p>
    <w:p/>
    <w:p>
      <w:r>
        <w:t xml:space="preserve">Regulatory variation in dopaminergic neurons is a central focus. Calb1+ dSPNs enhance dopamine release by disinhibiting nigrostriatal dopaminergic neurons through parvalbumin neuron inhibition in the substantia nigra pars reticulata, while Kremen1+ dSPNs suppress dopamine release through GABBR1-mediated inhibition of Aldh1a1+ dopaminergic neurons </w:t>
      </w:r>
      <w:hyperlink r:id="rId40">
        <w:r>
          <w:rPr>
            <w:rStyle w:val="Hyperlink"/>
          </w:rPr>
          <w:t>[Cai, 2025]</w:t>
        </w:r>
      </w:hyperlink>
      <w:r>
        <w:t xml:space="preserve">. Proportionally higher output of the basal ganglia direct pathway compared to the indirect pathway results in hyperkinetic abnormal involuntary movements, a circuit-level hallmark of levodopa-induced dyskinesia (LID) </w:t>
      </w:r>
      <w:hyperlink r:id="rId13">
        <w:r>
          <w:rPr>
            <w:rStyle w:val="Hyperlink"/>
          </w:rPr>
          <w:t>[Jaunarajs, 2025]</w:t>
        </w:r>
      </w:hyperlink>
      <w:r>
        <w:t xml:space="preserve">. A subpopulation of D1 receptor-expressing medium spiny output neurons (D1-MSNs) are transcriptionally altered by the development and stable expression of LID in animal models </w:t>
      </w:r>
      <w:hyperlink r:id="rId13">
        <w:r>
          <w:rPr>
            <w:rStyle w:val="Hyperlink"/>
          </w:rPr>
          <w:t>[Jaunarajs, 2025]</w:t>
        </w:r>
      </w:hyperlink>
      <w:r>
        <w:t>.</w:t>
      </w:r>
    </w:p>
    <w:p/>
    <w:p>
      <w:r>
        <w:t xml:space="preserve">MIF nuclease activity is required for neurodegeneration of dopamine neurons in three orthogonal models of PD </w:t>
      </w:r>
      <w:hyperlink r:id="rId15">
        <w:r>
          <w:rPr>
            <w:rStyle w:val="Hyperlink"/>
          </w:rPr>
          <w:t>[Dawson, 2025]</w:t>
        </w:r>
      </w:hyperlink>
      <w:r>
        <w:t xml:space="preserve">. Activation of poly(ADP-ribose) polymerase-1 (PARP-1) contributes to neurodegeneration induced by pathologic α-synuclein through the Parthanatos-associated apoptosis-inducing factor (AIF) </w:t>
      </w:r>
      <w:hyperlink r:id="rId15">
        <w:r>
          <w:rPr>
            <w:rStyle w:val="Hyperlink"/>
          </w:rPr>
          <w:t>[Dawson, 2025]</w:t>
        </w:r>
      </w:hyperlink>
      <w:r>
        <w:t xml:space="preserve">. hiPSC-derived dopamine neurons can harbor established PD mutations for functional analysis </w:t>
      </w:r>
      <w:hyperlink r:id="rId33">
        <w:r>
          <w:rPr>
            <w:rStyle w:val="Hyperlink"/>
          </w:rPr>
          <w:t>[McCallion, 2025]</w:t>
        </w:r>
      </w:hyperlink>
      <w:r>
        <w:t xml:space="preserve">, and human embryonic stem cell-derived dopamine neurons have been used in clinical trials for PD </w:t>
      </w:r>
      <w:hyperlink r:id="rId41">
        <w:r>
          <w:rPr>
            <w:rStyle w:val="Hyperlink"/>
          </w:rPr>
          <w:t>[Tabar, 2025]</w:t>
        </w:r>
      </w:hyperlink>
      <w:r>
        <w:t xml:space="preserve">. Ancient proteins that carry out critical cellular processes are disproportionately drivers of human disease, linked to PD, Huntington disease, and ALS </w:t>
      </w:r>
      <w:hyperlink r:id="rId42">
        <w:r>
          <w:rPr>
            <w:rStyle w:val="Hyperlink"/>
          </w:rPr>
          <w:t>[Marcotte, 2025]</w:t>
        </w:r>
      </w:hyperlink>
      <w:r>
        <w:t>.</w:t>
      </w:r>
    </w:p>
    <w:p/>
    <w:p>
      <w:r>
        <w:t>────────────────────────────────────────────────────────────</w:t>
      </w:r>
    </w:p>
    <w:p/>
    <w:p>
      <w:pPr>
        <w:pStyle w:val="Heading3"/>
      </w:pPr>
      <w:r>
        <w:t>2.7 Biomarker Development: Alpha-Synuclein Seed Amplification Assays</w:t>
      </w:r>
    </w:p>
    <w:p/>
    <w:p>
      <w:r>
        <w:t xml:space="preserve">Seed amplification assays have emerged as a transformative diagnostic technology. RT-QuIC or seed amplification assays demonstrate unprecedented diagnostic sensitivities and specificities for synucleinopathies in prodromal phases years in advance of parkinsonian signs or dementia onset </w:t>
      </w:r>
      <w:hyperlink r:id="rId16">
        <w:r>
          <w:rPr>
            <w:rStyle w:val="Hyperlink"/>
          </w:rPr>
          <w:t>[Caughey, 2025]</w:t>
        </w:r>
      </w:hyperlink>
      <w:r>
        <w:t xml:space="preserve">. Cerebrospinal fluid α-synuclein seeding activity via seed amplification assay predicts central Lewy body diseases in at-risk individuals, with elevated initial SSA AUCs in individuals who develop central LBD </w:t>
      </w:r>
      <w:hyperlink r:id="rId18">
        <w:r>
          <w:rPr>
            <w:rStyle w:val="Hyperlink"/>
          </w:rPr>
          <w:t>[Goldstein, 2025]</w:t>
        </w:r>
      </w:hyperlink>
      <w:r>
        <w:t xml:space="preserve">. Among at-risk individuals, those with a-syn RT-QUIC AUCs above 500,000 units had significantly higher rates of developing Lewy body disease (67%, 6 of 9) compared to those with AUCs below the cutoff (0%, 0 of 18; p=0.0003) </w:t>
      </w:r>
      <w:hyperlink r:id="rId16">
        <w:r>
          <w:rPr>
            <w:rStyle w:val="Hyperlink"/>
          </w:rPr>
          <w:t>[Caughey, 2025]</w:t>
        </w:r>
      </w:hyperlink>
      <w:r>
        <w:t>.</w:t>
      </w:r>
    </w:p>
    <w:p/>
    <w:p>
      <w:r>
        <w:t xml:space="preserve">Alpha-synuclein RT-QUIC positivity at baseline predicted cognitive decline (MoCA ≤21) in PD participants across two independent cohorts (PPMI: HR 2.36, 95% CI 1.60–3.46, p=0.001; Tuebingen: HR 2.17, 95% CI 1.07–4.41, p=0.03) </w:t>
      </w:r>
      <w:hyperlink r:id="rId16">
        <w:r>
          <w:rPr>
            <w:rStyle w:val="Hyperlink"/>
          </w:rPr>
          <w:t>[Caughey, 2025]</w:t>
        </w:r>
      </w:hyperlink>
      <w:r>
        <w:t xml:space="preserve">. An improved α-synuclein RT-QuIC assay can be completed in ≤12 hours for brain, skin, and intestinal mucosa, with positive signals often arising in &lt;5 hours </w:t>
      </w:r>
      <w:hyperlink r:id="rId16">
        <w:r>
          <w:rPr>
            <w:rStyle w:val="Hyperlink"/>
          </w:rPr>
          <w:t>[Caughey, 2025]</w:t>
        </w:r>
      </w:hyperlink>
      <w:r>
        <w:t xml:space="preserve">. The enhanced ED-RT-QuIC assay format reduced assay error by as much as 70% </w:t>
      </w:r>
      <w:hyperlink r:id="rId16">
        <w:r>
          <w:rPr>
            <w:rStyle w:val="Hyperlink"/>
          </w:rPr>
          <w:t>[Caughey, 2025]</w:t>
        </w:r>
      </w:hyperlink>
      <w:r>
        <w:t xml:space="preserve">. However, current α-synuclein seed amplification assays require ≥48 hours to perform when applied to patient diagnostic biospecimens under standard conditions </w:t>
      </w:r>
      <w:hyperlink r:id="rId16">
        <w:r>
          <w:rPr>
            <w:rStyle w:val="Hyperlink"/>
          </w:rPr>
          <w:t>[Caughey, 2025]</w:t>
        </w:r>
      </w:hyperlink>
      <w:r>
        <w:t>.</w:t>
      </w:r>
    </w:p>
    <w:p/>
    <w:p>
      <w:r>
        <w:t xml:space="preserve">Patients with body-first PD presentation show elevated CSF alpha-synuclein seeding activity and intra-neuronal alpha-synuclein deposition in the sympathetic ganglionic chain with profound myocardial catecholamine deficiency </w:t>
      </w:r>
      <w:hyperlink r:id="rId16">
        <w:r>
          <w:rPr>
            <w:rStyle w:val="Hyperlink"/>
          </w:rPr>
          <w:t>[Caughey, 2025]</w:t>
        </w:r>
      </w:hyperlink>
      <w:r>
        <w:t>.</w:t>
      </w:r>
    </w:p>
    <w:p/>
    <w:p>
      <w:r>
        <w:t>────────────────────────────────────────────────────────────</w:t>
      </w:r>
    </w:p>
    <w:p/>
    <w:p>
      <w:pPr>
        <w:pStyle w:val="Heading3"/>
      </w:pPr>
      <w:r>
        <w:t>2.8 Autonomic and Cardiac Biomarkers in Lewy Body Diseases</w:t>
      </w:r>
    </w:p>
    <w:p/>
    <w:p>
      <w:r>
        <w:t xml:space="preserve">Lewy body diseases feature profound myocardial depletion of the sympathetic neurotransmitter norepinephrine </w:t>
      </w:r>
      <w:hyperlink r:id="rId18">
        <w:r>
          <w:rPr>
            <w:rStyle w:val="Hyperlink"/>
          </w:rPr>
          <w:t>[Goldstein, 2025]</w:t>
        </w:r>
      </w:hyperlink>
      <w:r>
        <w:t xml:space="preserve">. All patients with Lewy body disease showed interventricular septal 18F-dopamine-derived radioactivity below the range of control values (mean decrease 75%; p&lt;0.0001), indicating catecholaminergic neurodegeneration </w:t>
      </w:r>
      <w:hyperlink r:id="rId18">
        <w:r>
          <w:rPr>
            <w:rStyle w:val="Hyperlink"/>
          </w:rPr>
          <w:t>[Goldstein, 2025]</w:t>
        </w:r>
      </w:hyperlink>
      <w:r>
        <w:t xml:space="preserve">. Multi-tracer positron emission tomography can assess cardiac sympathetic innervation and vesicular storage in Lewy body diseases </w:t>
      </w:r>
      <w:hyperlink r:id="rId18">
        <w:r>
          <w:rPr>
            <w:rStyle w:val="Hyperlink"/>
          </w:rPr>
          <w:t>[Goldstein et al., 2025]</w:t>
        </w:r>
      </w:hyperlink>
      <w:r>
        <w:t xml:space="preserve">. 18F-Dopamine PET imaging distinguishes PD with orthostatic hypotension from MSA based on cardiac noradrenergic deficiency present in PD+OH but absent in MSA </w:t>
      </w:r>
      <w:hyperlink r:id="rId18">
        <w:r>
          <w:rPr>
            <w:rStyle w:val="Hyperlink"/>
          </w:rPr>
          <w:t>[Goldstein, 2025]</w:t>
        </w:r>
      </w:hyperlink>
      <w:r>
        <w:t>.</w:t>
      </w:r>
    </w:p>
    <w:p/>
    <w:p>
      <w:r>
        <w:t xml:space="preserve">3,4-Dihydroxyphenylglycol levels separate MSA from PD with orthostatic hypotension </w:t>
      </w:r>
      <w:hyperlink r:id="rId18">
        <w:r>
          <w:rPr>
            <w:rStyle w:val="Hyperlink"/>
          </w:rPr>
          <w:t>[Goldstein et al., 2025]</w:t>
        </w:r>
      </w:hyperlink>
      <w:r>
        <w:t xml:space="preserve">. Cardiac arteriovenous increments in plasma DHPG and cardiac norepinephrine spillovers were strikingly decreased in PD+OH compared to MSA </w:t>
      </w:r>
      <w:hyperlink r:id="rId18">
        <w:r>
          <w:rPr>
            <w:rStyle w:val="Hyperlink"/>
          </w:rPr>
          <w:t>[Goldstein, 2025]</w:t>
        </w:r>
      </w:hyperlink>
      <w:r>
        <w:t xml:space="preserve">. The LBD group had higher α-syn-TH colocalization indexes than controls with increased α-syn signal intensities in all 3 skin constituents (arrector pili, blood vessels, and sweat glands) </w:t>
      </w:r>
      <w:hyperlink r:id="rId18">
        <w:r>
          <w:rPr>
            <w:rStyle w:val="Hyperlink"/>
          </w:rPr>
          <w:t>[Goldstein, 2025]</w:t>
        </w:r>
      </w:hyperlink>
      <w:r>
        <w:t>.</w:t>
      </w:r>
    </w:p>
    <w:p/>
    <w:p>
      <w:r>
        <w:t>────────────────────────────────────────────────────────────</w:t>
      </w:r>
    </w:p>
    <w:p/>
    <w:p>
      <w:pPr>
        <w:pStyle w:val="Heading3"/>
      </w:pPr>
      <w:r>
        <w:t>2.9 Neuroimaging as a Research and Diagnostic Tool</w:t>
      </w:r>
    </w:p>
    <w:p/>
    <w:p>
      <w:r>
        <w:t xml:space="preserve">Diffusion imaging has been developed as an innovative biomarker for differentiating PD, MSAp, and PSP </w:t>
      </w:r>
      <w:hyperlink r:id="rId10">
        <w:r>
          <w:rPr>
            <w:rStyle w:val="Hyperlink"/>
          </w:rPr>
          <w:t>[Barmpoutis et al., 2025]</w:t>
        </w:r>
      </w:hyperlink>
      <w:r>
        <w:t xml:space="preserve">. Diffusion Basis Spectrum Imaging (DBSI) MRI has been shown to quantify neuroinflammation in multiple sclerosis and Alzheimer's disease, and is sensitive to intermingled changes in brain microstructure with capacity to measure inflammatory cells within tissue volume </w:t>
      </w:r>
      <w:hyperlink r:id="rId43">
        <w:r>
          <w:rPr>
            <w:rStyle w:val="Hyperlink"/>
          </w:rPr>
          <w:t>[White et al., 2025]</w:t>
        </w:r>
      </w:hyperlink>
      <w:r>
        <w:t xml:space="preserve">. Most neuroimaging studies have focused on striatal dopaminergic deficits and fail to adequately explain gait and cognitive impairments in PD </w:t>
      </w:r>
      <w:hyperlink r:id="rId44">
        <w:r>
          <w:rPr>
            <w:rStyle w:val="Hyperlink"/>
          </w:rPr>
          <w:t>[Maiti et al., 2025]</w:t>
        </w:r>
      </w:hyperlink>
      <w:r>
        <w:t>.</w:t>
      </w:r>
    </w:p>
    <w:p/>
    <w:p>
      <w:r>
        <w:t xml:space="preserve">Cerebellar resting-state functional connectivity analysis demonstrates altered vermal connectivity with sensorimotor and association cortices in PD, with correlates to gait and cognitive impairment </w:t>
      </w:r>
      <w:hyperlink r:id="rId44">
        <w:r>
          <w:rPr>
            <w:rStyle w:val="Hyperlink"/>
          </w:rPr>
          <w:t>[Maiti, 2025]</w:t>
        </w:r>
      </w:hyperlink>
      <w:r>
        <w:t xml:space="preserve">. Radioligands for PET imaging of dopamine transporters and allosteric modulators as PET imaging ligands for mGluR4 and mGluR5 have been developed and characterized in experimental animal models </w:t>
      </w:r>
      <w:hyperlink r:id="rId45">
        <w:r>
          <w:rPr>
            <w:rStyle w:val="Hyperlink"/>
          </w:rPr>
          <w:t>[Brownell et al., 2025]</w:t>
        </w:r>
      </w:hyperlink>
      <w:r>
        <w:t xml:space="preserve">. High level imaging instrumentation and techniques as well as unique ligands have been developed to conduct quantitative in vivo imaging studies of dopaminergic and glutamatergic neurofunction </w:t>
      </w:r>
      <w:hyperlink r:id="rId45">
        <w:r>
          <w:rPr>
            <w:rStyle w:val="Hyperlink"/>
          </w:rPr>
          <w:t>[Brownell, 2025]</w:t>
        </w:r>
      </w:hyperlink>
      <w:r>
        <w:t xml:space="preserve">. PD, MSAp, and PSP require unique treatment plans and different medications, necessitating clinic-ready and clinical-trial-ready differential diagnostic markers </w:t>
      </w:r>
      <w:hyperlink r:id="rId10">
        <w:r>
          <w:rPr>
            <w:rStyle w:val="Hyperlink"/>
          </w:rPr>
          <w:t>[Barmpoutis, 2025]</w:t>
        </w:r>
      </w:hyperlink>
      <w:r>
        <w:t>.</w:t>
      </w:r>
    </w:p>
    <w:p/>
    <w:p>
      <w:r>
        <w:t>────────────────────────────────────────────────────────────</w:t>
      </w:r>
    </w:p>
    <w:p/>
    <w:p>
      <w:pPr>
        <w:pStyle w:val="Heading3"/>
      </w:pPr>
      <w:r>
        <w:t>2.10 Prodromal PD and REM Sleep Behavior Disorder</w:t>
      </w:r>
    </w:p>
    <w:p/>
    <w:p>
      <w:r>
        <w:t xml:space="preserve">REM behavior disorder (RBD) is a recognized preclinical model of Parkinsonism that occurs prior to other diagnoses </w:t>
      </w:r>
      <w:hyperlink r:id="rId14">
        <w:r>
          <w:rPr>
            <w:rStyle w:val="Hyperlink"/>
          </w:rPr>
          <w:t>[Jaffee, 2025]</w:t>
        </w:r>
      </w:hyperlink>
      <w:r>
        <w:t xml:space="preserve">. 50–60% of patients with RBD go on to develop PD, while the remainder develop either DLB or MSA </w:t>
      </w:r>
      <w:hyperlink r:id="rId14">
        <w:r>
          <w:rPr>
            <w:rStyle w:val="Hyperlink"/>
          </w:rPr>
          <w:t>[Jaffee, 2025]</w:t>
        </w:r>
      </w:hyperlink>
      <w:r>
        <w:t xml:space="preserve">. NAPS2 expands upon NAPS1 and establishes 8 Cores that support a central research Project focused on RBD </w:t>
      </w:r>
      <w:hyperlink r:id="rId11">
        <w:r>
          <w:rPr>
            <w:rStyle w:val="Hyperlink"/>
          </w:rPr>
          <w:t>[Ju, 2025]</w:t>
        </w:r>
      </w:hyperlink>
      <w:r>
        <w:t xml:space="preserve">. NAPS1 has enrolled over 200 participants across 10 sites who have completed standardized, comprehensive assessments </w:t>
      </w:r>
      <w:hyperlink r:id="rId11">
        <w:r>
          <w:rPr>
            <w:rStyle w:val="Hyperlink"/>
          </w:rPr>
          <w:t>[Ju, 2025]</w:t>
        </w:r>
      </w:hyperlink>
      <w:r>
        <w:t xml:space="preserve">. A sub-cohort enriched for probable REM sleep behavior disorder and constipation (ProPD cohort) included 20,455 individuals who completed olfactory tests and comprehensive surveys of non-motor and early motor features of prodromal PD </w:t>
      </w:r>
      <w:hyperlink r:id="rId46">
        <w:r>
          <w:rPr>
            <w:rStyle w:val="Hyperlink"/>
          </w:rPr>
          <w:t>[Ascherio et al., 2025]</w:t>
        </w:r>
      </w:hyperlink>
      <w:r>
        <w:t>.</w:t>
      </w:r>
    </w:p>
    <w:p/>
    <w:p>
      <w:r>
        <w:t>────────────────────────────────────────────────────────────</w:t>
      </w:r>
    </w:p>
    <w:p/>
    <w:p>
      <w:pPr>
        <w:pStyle w:val="Heading3"/>
      </w:pPr>
      <w:r>
        <w:t>2.11 Cognitive Impairment and Dementia in PD</w:t>
      </w:r>
    </w:p>
    <w:p/>
    <w:p>
      <w:r>
        <w:t xml:space="preserve">Cognitive deficits in PD affect up to 80% of PD patients and lead to mild cognitive impairment and dementia </w:t>
      </w:r>
      <w:hyperlink r:id="rId47">
        <w:r>
          <w:rPr>
            <w:rStyle w:val="Hyperlink"/>
          </w:rPr>
          <w:t>[Cavanagh, 2025]</w:t>
        </w:r>
      </w:hyperlink>
      <w:r>
        <w:t xml:space="preserve">. Dementia affects up to 80% of PD patients and causes significant morbidity and mortality </w:t>
      </w:r>
      <w:hyperlink r:id="rId44">
        <w:r>
          <w:rPr>
            <w:rStyle w:val="Hyperlink"/>
          </w:rPr>
          <w:t>[Maiti, 2025]</w:t>
        </w:r>
      </w:hyperlink>
      <w:r>
        <w:t xml:space="preserve">. The pathophysiology of PD-related cognitive deficits involves interacting and variable impairments of several brain systems, particularly in early to moderate disease, with heterogeneous incidence and natural history </w:t>
      </w:r>
      <w:hyperlink r:id="rId48">
        <w:r>
          <w:rPr>
            <w:rStyle w:val="Hyperlink"/>
          </w:rPr>
          <w:t>[Albin, 2025]</w:t>
        </w:r>
      </w:hyperlink>
      <w:r>
        <w:t xml:space="preserve">. Early cholinergic deficits in the cingulo-opercular task control network (AC-I node) predict more rapid cognitive decline in PD </w:t>
      </w:r>
      <w:hyperlink r:id="rId48">
        <w:r>
          <w:rPr>
            <w:rStyle w:val="Hyperlink"/>
          </w:rPr>
          <w:t>[Albin, 2025]</w:t>
        </w:r>
      </w:hyperlink>
      <w:r>
        <w:t xml:space="preserve">. Cholinergic terminal deficits in the Cingulo-Opercular Task Control network nodes correlate with both domain-specific and global cognitive deficits in PD </w:t>
      </w:r>
      <w:hyperlink r:id="rId48">
        <w:r>
          <w:rPr>
            <w:rStyle w:val="Hyperlink"/>
          </w:rPr>
          <w:t>[Albin, 2025]</w:t>
        </w:r>
      </w:hyperlink>
      <w:r>
        <w:t>.</w:t>
      </w:r>
    </w:p>
    <w:p/>
    <w:p>
      <w:r>
        <w:t xml:space="preserve">PD-related cognitive impairment is linked to dysfunction in frontal midline delta (1–4 Hz) and theta (5–7 Hz) rhythms, with the anterior midcingulate cortex implicated as a potential source </w:t>
      </w:r>
      <w:hyperlink r:id="rId47">
        <w:r>
          <w:rPr>
            <w:rStyle w:val="Hyperlink"/>
          </w:rPr>
          <w:t>[Cavanagh, 2025]</w:t>
        </w:r>
      </w:hyperlink>
      <w:r>
        <w:t xml:space="preserve">. Dementia and gait impairment in PD are refractory to dopaminergics, suggesting involvement of other neurotransmitter systems or brain regions beyond nigrostriatal pathways </w:t>
      </w:r>
      <w:hyperlink r:id="rId44">
        <w:r>
          <w:rPr>
            <w:rStyle w:val="Hyperlink"/>
          </w:rPr>
          <w:t>[Maiti et al., 2025]</w:t>
        </w:r>
      </w:hyperlink>
      <w:r>
        <w:t xml:space="preserve">. Patients with Lewy body dementia suffer from cognitive impairment and neuropsychiatric symptoms, with a fraction also presenting Parkinsonian motor symptoms </w:t>
      </w:r>
      <w:hyperlink r:id="rId49">
        <w:r>
          <w:rPr>
            <w:rStyle w:val="Hyperlink"/>
          </w:rPr>
          <w:t>[Chin, 2025]</w:t>
        </w:r>
      </w:hyperlink>
      <w:r>
        <w:t>.</w:t>
      </w:r>
    </w:p>
    <w:p/>
    <w:p>
      <w:r>
        <w:t>────────────────────────────────────────────────────────────</w:t>
      </w:r>
    </w:p>
    <w:p/>
    <w:p>
      <w:pPr>
        <w:pStyle w:val="Heading3"/>
      </w:pPr>
      <w:r>
        <w:t>2.12 Gait, Motor Dysfunction, and Non-Motor Symptoms</w:t>
      </w:r>
    </w:p>
    <w:p/>
    <w:p>
      <w:r>
        <w:t xml:space="preserve">Postural instability and gait difficulty (PIGD) motor features are common in PD and represent a significant cause of treatment-refractory disability </w:t>
      </w:r>
      <w:hyperlink r:id="rId50">
        <w:r>
          <w:rPr>
            <w:rStyle w:val="Hyperlink"/>
          </w:rPr>
          <w:t>[Bohnen, 2025]</w:t>
        </w:r>
      </w:hyperlink>
      <w:r>
        <w:t xml:space="preserve">. Episodic mobility disturbances including falls and freezing of gait are typically preceded by insidiously developing non-episodic PIGD features </w:t>
      </w:r>
      <w:hyperlink r:id="rId50">
        <w:r>
          <w:rPr>
            <w:rStyle w:val="Hyperlink"/>
          </w:rPr>
          <w:t>[Bohnen, 2025]</w:t>
        </w:r>
      </w:hyperlink>
      <w:r>
        <w:t xml:space="preserve">. Striatal cholinergic interneuron deficits are a common denominator in the etiology of falls and freezing of gait in PD patients </w:t>
      </w:r>
      <w:hyperlink r:id="rId50">
        <w:r>
          <w:rPr>
            <w:rStyle w:val="Hyperlink"/>
          </w:rPr>
          <w:t>[Bohnen et al., 2025]</w:t>
        </w:r>
      </w:hyperlink>
      <w:r>
        <w:t xml:space="preserve">. Cholinergic deficits of the medial geniculate nucleus and entorhinal cortex are robustly associated with non-episodic postural instability and gait difficulty motor features in PD patients </w:t>
      </w:r>
      <w:hyperlink r:id="rId50">
        <w:r>
          <w:rPr>
            <w:rStyle w:val="Hyperlink"/>
          </w:rPr>
          <w:t>[Bohnen et al., 2025]</w:t>
        </w:r>
      </w:hyperlink>
      <w:r>
        <w:t>.</w:t>
      </w:r>
    </w:p>
    <w:p/>
    <w:p>
      <w:r>
        <w:t xml:space="preserve">Nonmotor symptoms such as pain, depression, and dementia are leading causes of mortality, diminished quality of life, nursing home placement, and caregiver distress in PD </w:t>
      </w:r>
      <w:hyperlink r:id="rId51">
        <w:r>
          <w:rPr>
            <w:rStyle w:val="Hyperlink"/>
          </w:rPr>
          <w:t>[Alio, 2025]</w:t>
        </w:r>
      </w:hyperlink>
      <w:r>
        <w:t xml:space="preserve">. Walking and turning dysfunction appear early in PD </w:t>
      </w:r>
      <w:hyperlink r:id="rId52">
        <w:r>
          <w:rPr>
            <w:rStyle w:val="Hyperlink"/>
          </w:rPr>
          <w:t>[Mancini, 2025]</w:t>
        </w:r>
      </w:hyperlink>
      <w:r>
        <w:t xml:space="preserve">. In PD, the reward system is known to be affected, which may contribute to disorders of impaired effort production and excessive fatigue </w:t>
      </w:r>
      <w:hyperlink r:id="rId53">
        <w:r>
          <w:rPr>
            <w:rStyle w:val="Hyperlink"/>
          </w:rPr>
          <w:t>[Wassermann, 2025]</w:t>
        </w:r>
      </w:hyperlink>
      <w:r>
        <w:t>.</w:t>
      </w:r>
    </w:p>
    <w:p/>
    <w:p>
      <w:r>
        <w:t>────────────────────────────────────────────────────────────</w:t>
      </w:r>
    </w:p>
    <w:p/>
    <w:p>
      <w:pPr>
        <w:pStyle w:val="Heading3"/>
      </w:pPr>
      <w:r>
        <w:t>2.13 Therapeutic Development and Clinical Interventions</w:t>
      </w:r>
    </w:p>
    <w:p/>
    <w:p>
      <w:r>
        <w:t xml:space="preserve">No medications are yet proven to slow the progression of PD signs, and dopaminergic medications do not benefit all signs of PD </w:t>
      </w:r>
      <w:hyperlink r:id="rId12">
        <w:r>
          <w:rPr>
            <w:rStyle w:val="Hyperlink"/>
          </w:rPr>
          <w:t>[Corcos et al., 2025]</w:t>
        </w:r>
      </w:hyperlink>
      <w:r>
        <w:t xml:space="preserve">. There are no available therapies to halt levodopa-induced dyskinesia (LID) development </w:t>
      </w:r>
      <w:hyperlink r:id="rId13">
        <w:r>
          <w:rPr>
            <w:rStyle w:val="Hyperlink"/>
          </w:rPr>
          <w:t>[Jaunarajs et al., 2025]</w:t>
        </w:r>
      </w:hyperlink>
      <w:r>
        <w:t xml:space="preserve">, and LID eventually occurs in greater than 90% of PD individuals, with only one FDA-approved drug available for treatment </w:t>
      </w:r>
      <w:hyperlink r:id="rId54">
        <w:r>
          <w:rPr>
            <w:rStyle w:val="Hyperlink"/>
          </w:rPr>
          <w:t>[Kordower, 2025]</w:t>
        </w:r>
      </w:hyperlink>
      <w:r>
        <w:t xml:space="preserve">. Striatal voltage-gated CaV1.3 calcium channels have been validated as a therapeutic target for LID amelioration in PD </w:t>
      </w:r>
      <w:hyperlink r:id="rId54">
        <w:r>
          <w:rPr>
            <w:rStyle w:val="Hyperlink"/>
          </w:rPr>
          <w:t>[Kordower, 2025]</w:t>
        </w:r>
      </w:hyperlink>
      <w:r>
        <w:t xml:space="preserve">, and genetic silencing of striatal CaV1.3 calcium channels did not interfere with motor activation of levodopa and appeared to enhance it </w:t>
      </w:r>
      <w:hyperlink r:id="rId54">
        <w:r>
          <w:rPr>
            <w:rStyle w:val="Hyperlink"/>
          </w:rPr>
          <w:t>[Kordower et al., 2025]</w:t>
        </w:r>
      </w:hyperlink>
      <w:r>
        <w:t>.</w:t>
      </w:r>
    </w:p>
    <w:p/>
    <w:p>
      <w:r>
        <w:t xml:space="preserve">Neurotinib, a highly potent selective cAbl allosteric inhibitor, demonstrated good efficacy in mouse models of PD </w:t>
      </w:r>
      <w:hyperlink r:id="rId55">
        <w:r>
          <w:rPr>
            <w:rStyle w:val="Hyperlink"/>
          </w:rPr>
          <w:t>[Marugan et al., 2025]</w:t>
        </w:r>
      </w:hyperlink>
      <w:r>
        <w:t xml:space="preserve">. Treatment with the APT1 inhibitor ML348 improves motor and dementia-like symptoms in genetically modified PD/DLB model mice </w:t>
      </w:r>
      <w:hyperlink r:id="rId20">
        <w:r>
          <w:rPr>
            <w:rStyle w:val="Hyperlink"/>
          </w:rPr>
          <w:t>[Ho, 2025]</w:t>
        </w:r>
      </w:hyperlink>
      <w:r>
        <w:t xml:space="preserve">. Dopamine-centered treatments do not improve vocal communication, cognition, or affect in PD despite addressing the hallmark pathology of dopamine loss </w:t>
      </w:r>
      <w:hyperlink r:id="rId56">
        <w:r>
          <w:rPr>
            <w:rStyle w:val="Hyperlink"/>
          </w:rPr>
          <w:t>[Ciucci, 2025]</w:t>
        </w:r>
      </w:hyperlink>
      <w:r>
        <w:t xml:space="preserve">. Deep brain stimulation significantly improves motor symptoms and laryngeal motion in PD, but only a subset of patients experiences long-term improvement in speech function </w:t>
      </w:r>
      <w:hyperlink r:id="rId57">
        <w:r>
          <w:rPr>
            <w:rStyle w:val="Hyperlink"/>
          </w:rPr>
          <w:t>[Mandelberg, 2025]</w:t>
        </w:r>
      </w:hyperlink>
      <w:r>
        <w:t xml:space="preserve">. Treadmill training provides documented benefits on general parameters of fitness, gait, and functional mobility in PD </w:t>
      </w:r>
      <w:hyperlink r:id="rId12">
        <w:r>
          <w:rPr>
            <w:rStyle w:val="Hyperlink"/>
          </w:rPr>
          <w:t>[Corcos et al., 2025]</w:t>
        </w:r>
      </w:hyperlink>
      <w:r>
        <w:t>.</w:t>
      </w:r>
    </w:p>
    <w:p/>
    <w:p>
      <w:r>
        <w:t>────────────────────────────────────────────────────────────</w:t>
      </w:r>
    </w:p>
    <w:p/>
    <w:p>
      <w:pPr>
        <w:pStyle w:val="Heading3"/>
      </w:pPr>
      <w:r>
        <w:t>2.14 High-Throughput Screening and Model Systems</w:t>
      </w:r>
    </w:p>
    <w:p/>
    <w:p>
      <w:r>
        <w:t xml:space="preserve">A 384-well qHTS laser cytometry-based screening assay for PD was developed to evaluate neurodegeneration of dopaminergic neurons in C. elegans strains containing human PD-linked genes, specifically using a model based on LRRK2 mutations </w:t>
      </w:r>
      <w:hyperlink r:id="rId58">
        <w:r>
          <w:rPr>
            <w:rStyle w:val="Hyperlink"/>
          </w:rPr>
          <w:t>[Inglese, 2025]</w:t>
        </w:r>
      </w:hyperlink>
      <w:r>
        <w:t xml:space="preserve">. Patient-derived macrophages from Gaucher disease patients in culture mimic the storage phenotype seen in patients </w:t>
      </w:r>
      <w:hyperlink r:id="rId9">
        <w:r>
          <w:rPr>
            <w:rStyle w:val="Hyperlink"/>
          </w:rPr>
          <w:t>[Sidransky, 2025]</w:t>
        </w:r>
      </w:hyperlink>
      <w:r>
        <w:t xml:space="preserve">. Isogenic iPSC lines have been generated from Gaucher disease patients carrying different GBA1 variants, including wildtype and knockout genotypes </w:t>
      </w:r>
      <w:hyperlink r:id="rId35">
        <w:r>
          <w:rPr>
            <w:rStyle w:val="Hyperlink"/>
          </w:rPr>
          <w:t>[Wincovitch, 2025]</w:t>
        </w:r>
      </w:hyperlink>
      <w:r>
        <w:t xml:space="preserve">. A mouse model of GBA1-associated PD was developed by crossing murine Gaucher models with mutant alpha-synuclein over-expressing mice </w:t>
      </w:r>
      <w:hyperlink r:id="rId9">
        <w:r>
          <w:rPr>
            <w:rStyle w:val="Hyperlink"/>
          </w:rPr>
          <w:t>[Sidransky, 2025]</w:t>
        </w:r>
      </w:hyperlink>
      <w:r>
        <w:t xml:space="preserve">. Computational approaches utilizing high-throughput screening data can uncover mechanisms and targets associated with phenotypic assays </w:t>
      </w:r>
      <w:hyperlink r:id="rId59">
        <w:r>
          <w:rPr>
            <w:rStyle w:val="Hyperlink"/>
          </w:rPr>
          <w:t>[Henderson et al., 2025]</w:t>
        </w:r>
      </w:hyperlink>
      <w:r>
        <w:t>.</w:t>
      </w:r>
    </w:p>
    <w:p/>
    <w:p>
      <w:r>
        <w:t>────────────────────────────────────────────────────────────</w:t>
      </w:r>
    </w:p>
    <w:p/>
    <w:p>
      <w:pPr>
        <w:pStyle w:val="Heading3"/>
      </w:pPr>
      <w:r>
        <w:t>2.15 Environmental Risk Factors and Disparities</w:t>
      </w:r>
    </w:p>
    <w:p/>
    <w:p>
      <w:r>
        <w:t xml:space="preserve">Manganese is a well-established neurotoxicant that induces neurodegeneration through inflammatory pathways </w:t>
      </w:r>
      <w:hyperlink r:id="rId60">
        <w:r>
          <w:rPr>
            <w:rStyle w:val="Hyperlink"/>
          </w:rPr>
          <w:t>[Racette, 2025]</w:t>
        </w:r>
      </w:hyperlink>
      <w:r>
        <w:t xml:space="preserve">. The SMELTER study assembled a cohort of over 800 African residents, including over 700 exposed to manganese emissions from a major smelter, and evaluated participants using the UPDRS motor subsection </w:t>
      </w:r>
      <w:hyperlink r:id="rId61">
        <w:r>
          <w:rPr>
            <w:rStyle w:val="Hyperlink"/>
          </w:rPr>
          <w:t>[Racette et al., 2025]</w:t>
        </w:r>
      </w:hyperlink>
      <w:r>
        <w:t xml:space="preserve">. Studies investigating PD features in Black populations are uncommon, with some suggesting that Black patients with PD are more disabled, with greater disease severity, and with different clinical features compared to White PD patients </w:t>
      </w:r>
      <w:hyperlink r:id="rId62">
        <w:r>
          <w:rPr>
            <w:rStyle w:val="Hyperlink"/>
          </w:rPr>
          <w:t>[Hall, 2025]</w:t>
        </w:r>
      </w:hyperlink>
      <w:r>
        <w:t xml:space="preserve">. Many patient and family needs most important to people with PD are poorly addressed under traditional care models </w:t>
      </w:r>
      <w:hyperlink r:id="rId51">
        <w:r>
          <w:rPr>
            <w:rStyle w:val="Hyperlink"/>
          </w:rPr>
          <w:t>[Alio, 2025]</w:t>
        </w:r>
      </w:hyperlink>
      <w:r>
        <w:t>.</w:t>
      </w:r>
    </w:p>
    <w:p/>
    <w:p>
      <w:r>
        <w:t>────────────────────────────────────────────────────────────</w:t>
      </w:r>
    </w:p>
    <w:p/>
    <w:p>
      <w:pPr>
        <w:pStyle w:val="Heading2"/>
      </w:pPr>
      <w:r>
        <w:t>3. White Space / Gaps</w:t>
      </w:r>
    </w:p>
    <w:p/>
    <w:p>
      <w:r>
        <w:t>Several critical gaps emerge clearly from the synthesized findings:</w:t>
      </w:r>
    </w:p>
    <w:p/>
    <w:p>
      <w:r>
        <w:t>**3.1 Mechanistic Links in Neuroinflammation**</w:t>
      </w:r>
    </w:p>
    <w:p>
      <w:r>
        <w:t xml:space="preserve">Direct evidence is lacking for mechanistic links among inflammation, glial dysregulation, and the neuronal loss characteristic of PD </w:t>
      </w:r>
      <w:hyperlink r:id="rId26">
        <w:r>
          <w:rPr>
            <w:rStyle w:val="Hyperlink"/>
          </w:rPr>
          <w:t>[Cowell et al., 2025]</w:t>
        </w:r>
      </w:hyperlink>
      <w:r>
        <w:t>. While the role of microglia and astrocytes is recognized, the causal chain from immune activation to dopaminergic neuron death remains poorly delineated.</w:t>
      </w:r>
    </w:p>
    <w:p/>
    <w:p>
      <w:r>
        <w:t>**3.2 Cortical Circuit Dysfunction in PD and DLB**</w:t>
      </w:r>
    </w:p>
    <w:p>
      <w:r>
        <w:t xml:space="preserve">Major gaps remain in understanding how cortical circuits become dysfunctional in PD and DLB and how specific features of cortical circuits impact the spread and accumulation of α-synuclein </w:t>
      </w:r>
      <w:hyperlink r:id="rId63">
        <w:r>
          <w:rPr>
            <w:rStyle w:val="Hyperlink"/>
          </w:rPr>
          <w:t>[Zeiger, 2025]</w:t>
        </w:r>
      </w:hyperlink>
      <w:r>
        <w:t xml:space="preserve">. Most neuroimaging studies have focused on striatal dopaminergic deficits and fail to adequately explain gait and cognitive impairments </w:t>
      </w:r>
      <w:hyperlink r:id="rId44">
        <w:r>
          <w:rPr>
            <w:rStyle w:val="Hyperlink"/>
          </w:rPr>
          <w:t>[Maiti et al., 2025]</w:t>
        </w:r>
      </w:hyperlink>
      <w:r>
        <w:t>.</w:t>
      </w:r>
    </w:p>
    <w:p/>
    <w:p>
      <w:r>
        <w:t>**3.3 Absence of Disease-Modifying Therapies**</w:t>
      </w:r>
    </w:p>
    <w:p>
      <w:r>
        <w:t xml:space="preserve">No medications are yet proven to slow the progression of PD signs </w:t>
      </w:r>
      <w:hyperlink r:id="rId12">
        <w:r>
          <w:rPr>
            <w:rStyle w:val="Hyperlink"/>
          </w:rPr>
          <w:t>[Corcos et al., 2025]</w:t>
        </w:r>
      </w:hyperlink>
      <w:r>
        <w:t xml:space="preserve">, and there are no available therapies to halt LID development </w:t>
      </w:r>
      <w:hyperlink r:id="rId13">
        <w:r>
          <w:rPr>
            <w:rStyle w:val="Hyperlink"/>
          </w:rPr>
          <w:t>[Jaunarajs et al., 2025]</w:t>
        </w:r>
      </w:hyperlink>
      <w:r>
        <w:t>. This represents one of the most consequential unmet needs in the entire portfolio.</w:t>
      </w:r>
    </w:p>
    <w:p/>
    <w:p>
      <w:r>
        <w:t>**3.4 Biomarker Throughput and Speed Limitations**</w:t>
      </w:r>
    </w:p>
    <w:p>
      <w:r>
        <w:t xml:space="preserve">Current α-synuclein seed amplification assays require ≥48 hours to perform when applied to patient diagnostic biospecimens </w:t>
      </w:r>
      <w:hyperlink r:id="rId16">
        <w:r>
          <w:rPr>
            <w:rStyle w:val="Hyperlink"/>
          </w:rPr>
          <w:t>[Caughey, 2025]</w:t>
        </w:r>
      </w:hyperlink>
      <w:r>
        <w:t xml:space="preserve">, limiting clinical implementation. Current approaches to quantify the proteome also suffer from low sensitivity and throughput, limiting their effectiveness in biomarker discovery applications </w:t>
      </w:r>
      <w:hyperlink r:id="rId42">
        <w:r>
          <w:rPr>
            <w:rStyle w:val="Hyperlink"/>
          </w:rPr>
          <w:t>[Marcotte, 2025]</w:t>
        </w:r>
      </w:hyperlink>
      <w:r>
        <w:t>.</w:t>
      </w:r>
    </w:p>
    <w:p/>
    <w:p>
      <w:r>
        <w:t>**3.5 Diagnostic Delays and PD Heterogeneity**</w:t>
      </w:r>
    </w:p>
    <w:p>
      <w:r>
        <w:t xml:space="preserve">Diagnostic delay in PD limits the opportunity for early intervention strategies and hampers the ability to study early PD pathophysiology </w:t>
      </w:r>
      <w:hyperlink r:id="rId64">
        <w:r>
          <w:rPr>
            <w:rStyle w:val="Hyperlink"/>
          </w:rPr>
          <w:t>[Barnett, 2025]</w:t>
        </w:r>
      </w:hyperlink>
      <w:r>
        <w:t xml:space="preserve">. PD heterogeneity is a major obstacle to effective clinical research </w:t>
      </w:r>
      <w:hyperlink r:id="rId48">
        <w:r>
          <w:rPr>
            <w:rStyle w:val="Hyperlink"/>
          </w:rPr>
          <w:t>[Albin, 2025]</w:t>
        </w:r>
      </w:hyperlink>
      <w:r>
        <w:t xml:space="preserve">, and no neurobiomarkers have been identified to describe clinical phenotypes such as tremor dominant and PIGD subtypes despite their recognition since the mid-1990s </w:t>
      </w:r>
      <w:hyperlink r:id="rId65">
        <w:r>
          <w:rPr>
            <w:rStyle w:val="Hyperlink"/>
          </w:rPr>
          <w:t>[Ince et al., 2025]</w:t>
        </w:r>
      </w:hyperlink>
      <w:r>
        <w:t>.</w:t>
      </w:r>
    </w:p>
    <w:p/>
    <w:p>
      <w:r>
        <w:t>**3.6 Lewy Body Dementia Diagnosis**</w:t>
      </w:r>
    </w:p>
    <w:p>
      <w:r>
        <w:t xml:space="preserve">Lewy body dementia is underdiagnosed due to low sensitivity of clinical diagnosis criteria and challenges in clinical differentiation from Alzheimer's disease, with no reliable biomarker currently available for LBD diagnosis </w:t>
      </w:r>
      <w:hyperlink r:id="rId49">
        <w:r>
          <w:rPr>
            <w:rStyle w:val="Hyperlink"/>
          </w:rPr>
          <w:t>[Chin, 2025]</w:t>
        </w:r>
      </w:hyperlink>
      <w:r>
        <w:t>.</w:t>
      </w:r>
    </w:p>
    <w:p/>
    <w:p>
      <w:r>
        <w:t>**3.7 Non-Dopaminergic Symptom Management**</w:t>
      </w:r>
    </w:p>
    <w:p>
      <w:r>
        <w:t xml:space="preserve">Dopamine-centered treatments do not improve vocal communication, cognition, or affect in PD </w:t>
      </w:r>
      <w:hyperlink r:id="rId56">
        <w:r>
          <w:rPr>
            <w:rStyle w:val="Hyperlink"/>
          </w:rPr>
          <w:t>[Ciucci, 2025]</w:t>
        </w:r>
      </w:hyperlink>
      <w:r>
        <w:t xml:space="preserve">, and dementia and gait impairment are refractory to dopaminergics </w:t>
      </w:r>
      <w:hyperlink r:id="rId44">
        <w:r>
          <w:rPr>
            <w:rStyle w:val="Hyperlink"/>
          </w:rPr>
          <w:t>[Maiti et al., 2025]</w:t>
        </w:r>
      </w:hyperlink>
      <w:r>
        <w:t>. The neurobiology underlying these dopamine-resistant features remains underexplored relative to the motor phenotype.</w:t>
      </w:r>
    </w:p>
    <w:p/>
    <w:p>
      <w:r>
        <w:t>**3.8 Computational Methods for Protein Aggregation**</w:t>
      </w:r>
    </w:p>
    <w:p>
      <w:r>
        <w:t xml:space="preserve">Methods for calculating linear and multidimensional vibrational spectra from coarse-grained protein and implicit solvent models do not currently exist </w:t>
      </w:r>
      <w:hyperlink r:id="rId66">
        <w:r>
          <w:rPr>
            <w:rStyle w:val="Hyperlink"/>
          </w:rPr>
          <w:t>[Kananenka, 2025]</w:t>
        </w:r>
      </w:hyperlink>
      <w:r>
        <w:t xml:space="preserve">, and the study of protein aggregation in the membrane environment involves large length- and timescales beyond current capabilities of traditional all-atom molecular dynamics simulations </w:t>
      </w:r>
      <w:hyperlink r:id="rId66">
        <w:r>
          <w:rPr>
            <w:rStyle w:val="Hyperlink"/>
          </w:rPr>
          <w:t>[Kananenka, 2025]</w:t>
        </w:r>
      </w:hyperlink>
      <w:r>
        <w:t>.</w:t>
      </w:r>
    </w:p>
    <w:p/>
    <w:p>
      <w:r>
        <w:t>**3.9 Racial and Ethnic Disparities**</w:t>
      </w:r>
    </w:p>
    <w:p>
      <w:r>
        <w:t xml:space="preserve">Studies investigating PD features in Black populations are uncommon </w:t>
      </w:r>
      <w:hyperlink r:id="rId62">
        <w:r>
          <w:rPr>
            <w:rStyle w:val="Hyperlink"/>
          </w:rPr>
          <w:t>[Hall, 2025]</w:t>
        </w:r>
      </w:hyperlink>
      <w:r>
        <w:t>, representing a significant equity gap in the portfolio. Environmental contributions—such as manganese exposure in occupational and geographic contexts—are also understudied relative to the scale of the problem.</w:t>
      </w:r>
    </w:p>
    <w:p/>
    <w:p>
      <w:r>
        <w:t>────────────────────────────────────────────────────────────</w:t>
      </w:r>
    </w:p>
    <w:p/>
    <w:p>
      <w:pPr>
        <w:pStyle w:val="Heading2"/>
      </w:pPr>
      <w:r>
        <w:t>4. Rising Signals</w:t>
      </w:r>
    </w:p>
    <w:p/>
    <w:p>
      <w:r>
        <w:t>**4.1 Seed Amplification Assays as Prodromal Diagnostic Platforms**</w:t>
      </w:r>
    </w:p>
    <w:p>
      <w:r>
        <w:t xml:space="preserve">The rapid improvement in α-syn RT-QuIC technology—including reduced assay time to ≤12 hours and up to 70% error reduction </w:t>
      </w:r>
      <w:hyperlink r:id="rId16">
        <w:r>
          <w:rPr>
            <w:rStyle w:val="Hyperlink"/>
          </w:rPr>
          <w:t>[Caughey, 2025]</w:t>
        </w:r>
      </w:hyperlink>
      <w:r>
        <w:t xml:space="preserve">—signals a near-term transition from research tool to clinical diagnostic. The strong predictive validity for LBD development in at-risk individuals </w:t>
      </w:r>
      <w:hyperlink r:id="rId16">
        <w:r>
          <w:rPr>
            <w:rStyle w:val="Hyperlink"/>
          </w:rPr>
          <w:t>[Caughey, 2025]</w:t>
        </w:r>
      </w:hyperlink>
      <w:r>
        <w:t xml:space="preserve"> suggests these assays could anchor future prevention trial enrollment strategies.</w:t>
      </w:r>
    </w:p>
    <w:p/>
    <w:p>
      <w:r>
        <w:t>**4.2 Body-First vs. Brain-First PD Subtypes**</w:t>
      </w:r>
    </w:p>
    <w:p>
      <w:r>
        <w:t xml:space="preserve">The characterization of body-first PD presentation with elevated CSF α-syn seeding activity, sympathetic ganglionic α-syn deposition, and profound myocardial catecholamine deficiency </w:t>
      </w:r>
      <w:hyperlink r:id="rId16">
        <w:r>
          <w:rPr>
            <w:rStyle w:val="Hyperlink"/>
          </w:rPr>
          <w:t>[Caughey, 2025]</w:t>
        </w:r>
      </w:hyperlink>
      <w:r>
        <w:t xml:space="preserve"> represents an emerging disease subtype framework with significant implications for biomarker selection, trial design, and mechanistic research.</w:t>
      </w:r>
    </w:p>
    <w:p/>
    <w:p>
      <w:r>
        <w:t>**4.3 LRRK2-Gut-Inflammation Axis**</w:t>
      </w:r>
    </w:p>
    <w:p>
      <w:r>
        <w:t xml:space="preserve">The finding that LRRK2 kinase hyperactivity results from the same SNPs (G2019S, N2081D) that increase susceptibility to both PD and Crohn's disease </w:t>
      </w:r>
      <w:hyperlink r:id="rId22">
        <w:r>
          <w:rPr>
            <w:rStyle w:val="Hyperlink"/>
          </w:rPr>
          <w:t>[Liu, 2025]</w:t>
        </w:r>
      </w:hyperlink>
      <w:r>
        <w:t xml:space="preserve">, combined with evidence that macrophage LRRK2 kinase activity plays a key role in gut inflammation </w:t>
      </w:r>
      <w:hyperlink r:id="rId22">
        <w:r>
          <w:rPr>
            <w:rStyle w:val="Hyperlink"/>
          </w:rPr>
          <w:t>[Liu et al., 2025]</w:t>
        </w:r>
      </w:hyperlink>
      <w:r>
        <w:t>, is an emerging signal linking peripheral immune dysfunction to central neurodegeneration with potential therapeutic implications.</w:t>
      </w:r>
    </w:p>
    <w:p/>
    <w:p>
      <w:r>
        <w:t>**4.4 NOX2-Mediated ROS Amplification**</w:t>
      </w:r>
    </w:p>
    <w:p>
      <w:r>
        <w:t xml:space="preserve">The discovery that NOX2 serves as an amplifier of mitochondrially-derived ROS via a feedforward RIRP cycle in PD pathogenesis </w:t>
      </w:r>
      <w:hyperlink r:id="rId28">
        <w:r>
          <w:rPr>
            <w:rStyle w:val="Hyperlink"/>
          </w:rPr>
          <w:t>[Di Maio et al., 2025]</w:t>
        </w:r>
      </w:hyperlink>
      <w:r>
        <w:t xml:space="preserve">, with potential contributions from NOX1 and NOX4 isoforms </w:t>
      </w:r>
      <w:hyperlink r:id="rId28">
        <w:r>
          <w:rPr>
            <w:rStyle w:val="Hyperlink"/>
          </w:rPr>
          <w:t>[Di Maio et al., 2025]</w:t>
        </w:r>
      </w:hyperlink>
      <w:r>
        <w:t>, represents a mechanistically novel convergence point between oxidative stress and neuroinflammation.</w:t>
      </w:r>
    </w:p>
    <w:p/>
    <w:p>
      <w:r>
        <w:t>**4.5 Palmitoylation and Vesicle Trafficking**</w:t>
      </w:r>
    </w:p>
    <w:p>
      <w:r>
        <w:t xml:space="preserve">Palmitoylation's role in normal protein and vesicle trafficking </w:t>
      </w:r>
      <w:hyperlink r:id="rId20">
        <w:r>
          <w:rPr>
            <w:rStyle w:val="Hyperlink"/>
          </w:rPr>
          <w:t>[Ho et al., 2025]</w:t>
        </w:r>
      </w:hyperlink>
      <w:r>
        <w:t xml:space="preserve">, and the finding that disease-associated α-synuclein disrupts trafficking while palmitoylation facilitates it </w:t>
      </w:r>
      <w:hyperlink r:id="rId20">
        <w:r>
          <w:rPr>
            <w:rStyle w:val="Hyperlink"/>
          </w:rPr>
          <w:t>[Ho, 2025]</w:t>
        </w:r>
      </w:hyperlink>
      <w:r>
        <w:t xml:space="preserve">, positions the palmitoylation pathway as an underexplored therapeutic target. Treatment with the APT1 inhibitor ML348 shows functional improvement in PD/DLB model mice </w:t>
      </w:r>
      <w:hyperlink r:id="rId20">
        <w:r>
          <w:rPr>
            <w:rStyle w:val="Hyperlink"/>
          </w:rPr>
          <w:t>[Ho, 2025]</w:t>
        </w:r>
      </w:hyperlink>
      <w:r>
        <w:t>.</w:t>
      </w:r>
    </w:p>
    <w:p/>
    <w:p>
      <w:r>
        <w:t>**4.6 CaV1.3 Calcium Channels as a Validated LID Target**</w:t>
      </w:r>
    </w:p>
    <w:p>
      <w:r>
        <w:t xml:space="preserve">Striatal CaV1.3 calcium channels have been validated as a therapeutic target for LID amelioration </w:t>
      </w:r>
      <w:hyperlink r:id="rId54">
        <w:r>
          <w:rPr>
            <w:rStyle w:val="Hyperlink"/>
          </w:rPr>
          <w:t>[Kordower, 2025]</w:t>
        </w:r>
      </w:hyperlink>
      <w:r>
        <w:t xml:space="preserve">, and their genetic silencing appears to enhance rather than impair levodopa's motor benefits </w:t>
      </w:r>
      <w:hyperlink r:id="rId54">
        <w:r>
          <w:rPr>
            <w:rStyle w:val="Hyperlink"/>
          </w:rPr>
          <w:t>[Kordower et al., 2025]</w:t>
        </w:r>
      </w:hyperlink>
      <w:r>
        <w:t>. Given the near-universal incidence of LID with prolonged levodopa therapy, this pathway warrants accelerated translational investment.</w:t>
      </w:r>
    </w:p>
    <w:p/>
    <w:p>
      <w:r>
        <w:t>**4.7 Cholinergic System as a Multi-Symptom Target**</w:t>
      </w:r>
    </w:p>
    <w:p>
      <w:r>
        <w:t xml:space="preserve">Convergent findings—including cholinergic deficits predicting cognitive decline </w:t>
      </w:r>
      <w:hyperlink r:id="rId48">
        <w:r>
          <w:rPr>
            <w:rStyle w:val="Hyperlink"/>
          </w:rPr>
          <w:t>[Albin, 2025]</w:t>
        </w:r>
      </w:hyperlink>
      <w:r>
        <w:t xml:space="preserve">, striatal cholinergic interneuron deficits underlying gait and falls </w:t>
      </w:r>
      <w:hyperlink r:id="rId50">
        <w:r>
          <w:rPr>
            <w:rStyle w:val="Hyperlink"/>
          </w:rPr>
          <w:t>[Bohnen et al., 2025]</w:t>
        </w:r>
      </w:hyperlink>
      <w:r>
        <w:t xml:space="preserve">, and degeneration of the pedunculopontine nucleus causing cholinergic denervation of the vermis </w:t>
      </w:r>
      <w:hyperlink r:id="rId44">
        <w:r>
          <w:rPr>
            <w:rStyle w:val="Hyperlink"/>
          </w:rPr>
          <w:t>[Maiti, 2025]</w:t>
        </w:r>
      </w:hyperlink>
      <w:r>
        <w:t>—collectively position the cholinergic system as a high-priority multi-symptom target for PD that extends well beyond classic dopaminergic frameworks.</w:t>
      </w:r>
    </w:p>
    <w:p/>
    <w:p>
      <w:r>
        <w:t>**4.8 Epigenetic Dysregulation in Lewy Body Disease**</w:t>
      </w:r>
    </w:p>
    <w:p>
      <w:r>
        <w:t xml:space="preserve">The finding that histone acetylation is markedly dysregulated in DLB and PD at autopsy </w:t>
      </w:r>
      <w:hyperlink r:id="rId21">
        <w:r>
          <w:rPr>
            <w:rStyle w:val="Hyperlink"/>
          </w:rPr>
          <w:t>[Stephen N. Gomperts, 2025]</w:t>
        </w:r>
      </w:hyperlink>
      <w:r>
        <w:t xml:space="preserve"> is an early signal of potential epigenetic mechanisms in synucleinopathy that may offer new therapeutic access points.</w:t>
      </w:r>
    </w:p>
    <w:p/>
    <w:p>
      <w:r>
        <w:t>**4.9 TMEM230 and Synaptic Vesicle Recycling**</w:t>
      </w:r>
    </w:p>
    <w:p>
      <w:r>
        <w:t xml:space="preserve">TMEM230 is the first transmembrane protein of synaptic vesicles identified in PD </w:t>
      </w:r>
      <w:hyperlink r:id="rId36">
        <w:r>
          <w:rPr>
            <w:rStyle w:val="Hyperlink"/>
          </w:rPr>
          <w:t>[Han-Xiang Deng, 2025]</w:t>
        </w:r>
      </w:hyperlink>
      <w:r>
        <w:t xml:space="preserve">, and PD-linked mutations in TMEM230 impair synaptic vesicle recycling by affecting budding from the presynaptic membrane </w:t>
      </w:r>
      <w:hyperlink r:id="rId36">
        <w:r>
          <w:rPr>
            <w:rStyle w:val="Hyperlink"/>
          </w:rPr>
          <w:t>[Deng, 2025]</w:t>
        </w:r>
      </w:hyperlink>
      <w:r>
        <w:t>. This opens a novel mechanistic window into the synaptic vesicle biology of PD.</w:t>
      </w:r>
    </w:p>
    <w:p/>
    <w:p>
      <w:r>
        <w:t>**4.10 Wearable Technology for Objective Gait Monitoring**</w:t>
      </w:r>
    </w:p>
    <w:p>
      <w:r>
        <w:t xml:space="preserve">New wearable technology can provide reliable, objective measures of walking and turning that are feasible for clinical trials </w:t>
      </w:r>
      <w:hyperlink r:id="rId52">
        <w:r>
          <w:rPr>
            <w:rStyle w:val="Hyperlink"/>
          </w:rPr>
          <w:t>[Mancini, 2025]</w:t>
        </w:r>
      </w:hyperlink>
      <w:r>
        <w:t xml:space="preserve">. Given that walking and turning dysfunction appear early in PD </w:t>
      </w:r>
      <w:hyperlink r:id="rId52">
        <w:r>
          <w:rPr>
            <w:rStyle w:val="Hyperlink"/>
          </w:rPr>
          <w:t>[Mancini, 2025]</w:t>
        </w:r>
      </w:hyperlink>
      <w:r>
        <w:t>, wearables represent an emerging platform for both disease monitoring and endpoint measurement in future intervention trials.</w:t>
      </w:r>
    </w:p>
    <w:p/>
    <w:p>
      <w:r>
        <w:t>────────────────────────────────────────────────────────────</w:t>
      </w:r>
    </w:p>
    <w:p/>
    <w:p>
      <w:r>
        <w:t>*Report prepared based on verified findings from 110 NIH Reporter research clusters (2025). All claims are directly supported by cited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porter.nih.gov/project-details/11400705" TargetMode="External"/><Relationship Id="rId10" Type="http://schemas.openxmlformats.org/officeDocument/2006/relationships/hyperlink" Target="https://reporter.nih.gov/project-details/11066431" TargetMode="External"/><Relationship Id="rId11" Type="http://schemas.openxmlformats.org/officeDocument/2006/relationships/hyperlink" Target="https://reporter.nih.gov/project-details/10866363" TargetMode="External"/><Relationship Id="rId12" Type="http://schemas.openxmlformats.org/officeDocument/2006/relationships/hyperlink" Target="https://reporter.nih.gov/project-details/11375718" TargetMode="External"/><Relationship Id="rId13" Type="http://schemas.openxmlformats.org/officeDocument/2006/relationships/hyperlink" Target="https://reporter.nih.gov/project-details/11103763" TargetMode="External"/><Relationship Id="rId14" Type="http://schemas.openxmlformats.org/officeDocument/2006/relationships/hyperlink" Target="https://reporter.nih.gov/project-details/11137749" TargetMode="External"/><Relationship Id="rId15" Type="http://schemas.openxmlformats.org/officeDocument/2006/relationships/hyperlink" Target="https://reporter.nih.gov/project-details/10993197" TargetMode="External"/><Relationship Id="rId16" Type="http://schemas.openxmlformats.org/officeDocument/2006/relationships/hyperlink" Target="https://reporter.nih.gov/project-details/11403310" TargetMode="External"/><Relationship Id="rId17" Type="http://schemas.openxmlformats.org/officeDocument/2006/relationships/hyperlink" Target="https://reporter.nih.gov/project-details/11090509" TargetMode="External"/><Relationship Id="rId18" Type="http://schemas.openxmlformats.org/officeDocument/2006/relationships/hyperlink" Target="https://reporter.nih.gov/project-details/11418630" TargetMode="External"/><Relationship Id="rId19" Type="http://schemas.openxmlformats.org/officeDocument/2006/relationships/hyperlink" Target="https://reporter.nih.gov/project-details/11398475" TargetMode="External"/><Relationship Id="rId20" Type="http://schemas.openxmlformats.org/officeDocument/2006/relationships/hyperlink" Target="https://reporter.nih.gov/project-details/11117045" TargetMode="External"/><Relationship Id="rId21" Type="http://schemas.openxmlformats.org/officeDocument/2006/relationships/hyperlink" Target="https://reporter.nih.gov/project-details/11076748" TargetMode="External"/><Relationship Id="rId22" Type="http://schemas.openxmlformats.org/officeDocument/2006/relationships/hyperlink" Target="https://reporter.nih.gov/project-details/11180313" TargetMode="External"/><Relationship Id="rId23" Type="http://schemas.openxmlformats.org/officeDocument/2006/relationships/hyperlink" Target="https://reporter.nih.gov/project-details/11171340" TargetMode="External"/><Relationship Id="rId24" Type="http://schemas.openxmlformats.org/officeDocument/2006/relationships/hyperlink" Target="https://reporter.nih.gov/project-details/11039951" TargetMode="External"/><Relationship Id="rId25" Type="http://schemas.openxmlformats.org/officeDocument/2006/relationships/hyperlink" Target="https://reporter.nih.gov/project-details/11010279" TargetMode="External"/><Relationship Id="rId26" Type="http://schemas.openxmlformats.org/officeDocument/2006/relationships/hyperlink" Target="https://reporter.nih.gov/project-details/11084559" TargetMode="External"/><Relationship Id="rId27" Type="http://schemas.openxmlformats.org/officeDocument/2006/relationships/hyperlink" Target="https://reporter.nih.gov/project-details/11129322" TargetMode="External"/><Relationship Id="rId28" Type="http://schemas.openxmlformats.org/officeDocument/2006/relationships/hyperlink" Target="https://reporter.nih.gov/project-details/10993683" TargetMode="External"/><Relationship Id="rId29" Type="http://schemas.openxmlformats.org/officeDocument/2006/relationships/hyperlink" Target="https://reporter.nih.gov/project-details/11412045" TargetMode="External"/><Relationship Id="rId30" Type="http://schemas.openxmlformats.org/officeDocument/2006/relationships/hyperlink" Target="https://reporter.nih.gov/project-details/11401556" TargetMode="External"/><Relationship Id="rId31" Type="http://schemas.openxmlformats.org/officeDocument/2006/relationships/hyperlink" Target="https://reporter.nih.gov/project-details/11080318" TargetMode="External"/><Relationship Id="rId32" Type="http://schemas.openxmlformats.org/officeDocument/2006/relationships/hyperlink" Target="https://reporter.nih.gov/project-details/11175266" TargetMode="External"/><Relationship Id="rId33" Type="http://schemas.openxmlformats.org/officeDocument/2006/relationships/hyperlink" Target="https://reporter.nih.gov/project-details/11142505" TargetMode="External"/><Relationship Id="rId34" Type="http://schemas.openxmlformats.org/officeDocument/2006/relationships/hyperlink" Target="https://reporter.nih.gov/project-details/11144487" TargetMode="External"/><Relationship Id="rId35" Type="http://schemas.openxmlformats.org/officeDocument/2006/relationships/hyperlink" Target="https://reporter.nih.gov/project-details/11413056" TargetMode="External"/><Relationship Id="rId36" Type="http://schemas.openxmlformats.org/officeDocument/2006/relationships/hyperlink" Target="https://reporter.nih.gov/project-details/10989882" TargetMode="External"/><Relationship Id="rId37" Type="http://schemas.openxmlformats.org/officeDocument/2006/relationships/hyperlink" Target="https://reporter.nih.gov/project-details/10991802" TargetMode="External"/><Relationship Id="rId38" Type="http://schemas.openxmlformats.org/officeDocument/2006/relationships/hyperlink" Target="https://reporter.nih.gov/project-details/11018597" TargetMode="External"/><Relationship Id="rId39" Type="http://schemas.openxmlformats.org/officeDocument/2006/relationships/hyperlink" Target="https://reporter.nih.gov/project-details/11113925" TargetMode="External"/><Relationship Id="rId40" Type="http://schemas.openxmlformats.org/officeDocument/2006/relationships/hyperlink" Target="https://reporter.nih.gov/project-details/11398477" TargetMode="External"/><Relationship Id="rId41" Type="http://schemas.openxmlformats.org/officeDocument/2006/relationships/hyperlink" Target="https://reporter.nih.gov/project-details/11127717" TargetMode="External"/><Relationship Id="rId42" Type="http://schemas.openxmlformats.org/officeDocument/2006/relationships/hyperlink" Target="https://reporter.nih.gov/project-details/11009010" TargetMode="External"/><Relationship Id="rId43" Type="http://schemas.openxmlformats.org/officeDocument/2006/relationships/hyperlink" Target="https://reporter.nih.gov/project-details/10980522" TargetMode="External"/><Relationship Id="rId44" Type="http://schemas.openxmlformats.org/officeDocument/2006/relationships/hyperlink" Target="https://reporter.nih.gov/project-details/11031964" TargetMode="External"/><Relationship Id="rId45" Type="http://schemas.openxmlformats.org/officeDocument/2006/relationships/hyperlink" Target="https://reporter.nih.gov/project-details/11118922" TargetMode="External"/><Relationship Id="rId46" Type="http://schemas.openxmlformats.org/officeDocument/2006/relationships/hyperlink" Target="https://reporter.nih.gov/project-details/11059852" TargetMode="External"/><Relationship Id="rId47" Type="http://schemas.openxmlformats.org/officeDocument/2006/relationships/hyperlink" Target="https://reporter.nih.gov/project-details/11057848" TargetMode="External"/><Relationship Id="rId48" Type="http://schemas.openxmlformats.org/officeDocument/2006/relationships/hyperlink" Target="https://reporter.nih.gov/project-details/11160610" TargetMode="External"/><Relationship Id="rId49" Type="http://schemas.openxmlformats.org/officeDocument/2006/relationships/hyperlink" Target="https://reporter.nih.gov/project-details/11144483" TargetMode="External"/><Relationship Id="rId50" Type="http://schemas.openxmlformats.org/officeDocument/2006/relationships/hyperlink" Target="https://reporter.nih.gov/project-details/11160606" TargetMode="External"/><Relationship Id="rId51" Type="http://schemas.openxmlformats.org/officeDocument/2006/relationships/hyperlink" Target="https://reporter.nih.gov/project-details/11021329" TargetMode="External"/><Relationship Id="rId52" Type="http://schemas.openxmlformats.org/officeDocument/2006/relationships/hyperlink" Target="https://reporter.nih.gov/project-details/11097380" TargetMode="External"/><Relationship Id="rId53" Type="http://schemas.openxmlformats.org/officeDocument/2006/relationships/hyperlink" Target="https://reporter.nih.gov/project-details/11418624" TargetMode="External"/><Relationship Id="rId54" Type="http://schemas.openxmlformats.org/officeDocument/2006/relationships/hyperlink" Target="https://reporter.nih.gov/project-details/11094926" TargetMode="External"/><Relationship Id="rId55" Type="http://schemas.openxmlformats.org/officeDocument/2006/relationships/hyperlink" Target="https://reporter.nih.gov/project-details/11412007" TargetMode="External"/><Relationship Id="rId56" Type="http://schemas.openxmlformats.org/officeDocument/2006/relationships/hyperlink" Target="https://reporter.nih.gov/project-details/10989872" TargetMode="External"/><Relationship Id="rId57" Type="http://schemas.openxmlformats.org/officeDocument/2006/relationships/hyperlink" Target="https://reporter.nih.gov/project-details/11032221" TargetMode="External"/><Relationship Id="rId58" Type="http://schemas.openxmlformats.org/officeDocument/2006/relationships/hyperlink" Target="https://reporter.nih.gov/project-details/11412044" TargetMode="External"/><Relationship Id="rId59" Type="http://schemas.openxmlformats.org/officeDocument/2006/relationships/hyperlink" Target="https://reporter.nih.gov/project-details/11411997" TargetMode="External"/><Relationship Id="rId60" Type="http://schemas.openxmlformats.org/officeDocument/2006/relationships/hyperlink" Target="https://reporter.nih.gov/project-details/11180294" TargetMode="External"/><Relationship Id="rId61" Type="http://schemas.openxmlformats.org/officeDocument/2006/relationships/hyperlink" Target="https://reporter.nih.gov/project-details/11376082" TargetMode="External"/><Relationship Id="rId62" Type="http://schemas.openxmlformats.org/officeDocument/2006/relationships/hyperlink" Target="https://reporter.nih.gov/project-details/11070358" TargetMode="External"/><Relationship Id="rId63" Type="http://schemas.openxmlformats.org/officeDocument/2006/relationships/hyperlink" Target="https://reporter.nih.gov/project-details/11010357" TargetMode="External"/><Relationship Id="rId64" Type="http://schemas.openxmlformats.org/officeDocument/2006/relationships/hyperlink" Target="https://reporter.nih.gov/project-details/11071806" TargetMode="External"/><Relationship Id="rId65" Type="http://schemas.openxmlformats.org/officeDocument/2006/relationships/hyperlink" Target="https://reporter.nih.gov/project-details/10929311" TargetMode="External"/><Relationship Id="rId66" Type="http://schemas.openxmlformats.org/officeDocument/2006/relationships/hyperlink" Target="https://reporter.nih.gov/project-details/11083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