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w:t>
      </w:r>
    </w:p>
    <w:p>
      <w:r>
        <w:t xml:space="preserve">**Analysis Metadata** — Source: nih_reporter | Years: </w:t>
      </w:r>
      <w:r>
        <w:t>[2025, 2026]</w:t>
      </w:r>
      <w:r>
        <w:t xml:space="preserve"> | Unique docs: 605 | Passages: 2100 | Clusters: 154</w:t>
      </w:r>
    </w:p>
    <w:p/>
    <w:p>
      <w:r>
        <w:t>────────────────────────────────────────────────────────────</w:t>
      </w:r>
    </w:p>
    <w:p/>
    <w:p>
      <w:pPr>
        <w:pStyle w:val="Heading1"/>
      </w:pPr>
      <w:r>
        <w:t>BioInsight Report: Emerging Grant Themes in Parkinson's Disease for 2025</w:t>
      </w:r>
    </w:p>
    <w:p/>
    <w:p>
      <w:r>
        <w:t>────────────────────────────────────────────────────────────</w:t>
      </w:r>
    </w:p>
    <w:p/>
    <w:p>
      <w:pPr>
        <w:pStyle w:val="Heading2"/>
      </w:pPr>
      <w:r>
        <w:t>Executive Summary</w:t>
      </w:r>
    </w:p>
    <w:p/>
    <w:p>
      <w:r>
        <w:t>Direct answers to **"What are the emerging grant themes in Parkinson's disease for 2025?"**:</w:t>
      </w:r>
    </w:p>
    <w:p/>
    <w:p>
      <w:pPr>
        <w:pStyle w:val="ListBullet"/>
      </w:pPr>
      <w:r>
        <w:t xml:space="preserve">**Prodromal PD and prevention trials are the top NIH/NINDS clinical priority.** NINDS has explicitly designated prodromal Parkinson's disease (PPD) characterization—including natural history, phenoconversion, and biomarker identification—as the highest-priority area to enable proof-of-concept prevention trials. </w:t>
      </w:r>
      <w:hyperlink r:id="rId9">
        <w:r>
          <w:rPr>
            <w:rStyle w:val="Hyperlink"/>
          </w:rPr>
          <w:t>[Ascherio et al., 2025-2026]</w:t>
        </w:r>
      </w:hyperlink>
    </w:p>
    <w:p>
      <w:pPr>
        <w:pStyle w:val="ListBullet"/>
      </w:pPr>
      <w:r>
        <w:t xml:space="preserve">**Novel small-molecule therapeutics are advancing across multiple genetic and molecular targets.** Active grant funding is supporting drug development against alpha-synuclein, GBA1 (glucocerebrosidase), and c-Abl, with the allosteric c-Abl inhibitor Neurotinib showing encouraging efficacy and CNS distribution in preclinical models. </w:t>
      </w:r>
      <w:hyperlink r:id="rId10">
        <w:r>
          <w:rPr>
            <w:rStyle w:val="Hyperlink"/>
          </w:rPr>
          <w:t>[Marugan et al., 2025]</w:t>
        </w:r>
      </w:hyperlink>
    </w:p>
    <w:p>
      <w:pPr>
        <w:pStyle w:val="ListBullet"/>
      </w:pPr>
      <w:r>
        <w:t xml:space="preserve">**Blood-based and imaging biomarkers are a major growth area.** Extracellular vesicle immunoaffinity platforms for synucleinopathy detection </w:t>
      </w:r>
      <w:hyperlink r:id="rId11">
        <w:r>
          <w:rPr>
            <w:rStyle w:val="Hyperlink"/>
          </w:rPr>
          <w:t>[Eitan et al., 2025]</w:t>
        </w:r>
      </w:hyperlink>
      <w:r>
        <w:t xml:space="preserve">, 7T MRI connectivity modeling </w:t>
      </w:r>
      <w:hyperlink r:id="rId12">
        <w:r>
          <w:rPr>
            <w:rStyle w:val="Hyperlink"/>
          </w:rPr>
          <w:t>[Harel et al., 2025]</w:t>
        </w:r>
      </w:hyperlink>
      <w:r>
        <w:t xml:space="preserve">, and biomarker-derived molecular correlates of cognitive decline </w:t>
      </w:r>
      <w:hyperlink r:id="rId13">
        <w:r>
          <w:rPr>
            <w:rStyle w:val="Hyperlink"/>
          </w:rPr>
          <w:t>[Chen-Plotkin et al., 2025]</w:t>
        </w:r>
      </w:hyperlink>
      <w:r>
        <w:t xml:space="preserve"> represent converging investment in non-invasive, scalable diagnostics.</w:t>
      </w:r>
    </w:p>
    <w:p>
      <w:pPr>
        <w:pStyle w:val="ListBullet"/>
      </w:pPr>
      <w:r>
        <w:t xml:space="preserve">**Cell/neuronal replacement and neurostimulation therapies are entering or completing early clinical stages.** A Phase 1 trial of bilateral intrastriatal grafting of ESC-derived human dopamine neurons has been completed </w:t>
      </w:r>
      <w:hyperlink r:id="rId14">
        <w:r>
          <w:rPr>
            <w:rStyle w:val="Hyperlink"/>
          </w:rPr>
          <w:t>[Tabar et al., 2025]</w:t>
        </w:r>
      </w:hyperlink>
      <w:r>
        <w:t xml:space="preserve">, and early deep brain stimulation has shown Class II evidence of slowing tremor progression. </w:t>
      </w:r>
      <w:hyperlink r:id="rId15">
        <w:r>
          <w:rPr>
            <w:rStyle w:val="Hyperlink"/>
          </w:rPr>
          <w:t>[Hacker et al., 2025]</w:t>
        </w:r>
      </w:hyperlink>
    </w:p>
    <w:p>
      <w:pPr>
        <w:pStyle w:val="ListBullet"/>
      </w:pPr>
      <w:r>
        <w:t xml:space="preserve">**The gut-brain axis and neuroinflammation are emerging mechanistic themes.** Microbiome dysbiosis is now linked to alpha-synuclein pathology and clinical outcomes in prodromal Lewy body disease, with microbiome-targeting interventions positioned for clinical trials. </w:t>
      </w:r>
      <w:hyperlink r:id="rId16">
        <w:r>
          <w:rPr>
            <w:rStyle w:val="Hyperlink"/>
          </w:rPr>
          <w:t>[Ryman et al., 2025]</w:t>
        </w:r>
      </w:hyperlink>
    </w:p>
    <w:p/>
    <w:p>
      <w:r>
        <w:t>────────────────────────────────────────────────────────────</w:t>
      </w:r>
    </w:p>
    <w:p/>
    <w:p>
      <w:pPr>
        <w:pStyle w:val="Heading2"/>
      </w:pPr>
      <w:r>
        <w:t>Key Entities at a Glance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Entity</w:t>
            </w:r>
          </w:p>
        </w:tc>
        <w:tc>
          <w:tcPr>
            <w:tcW w:type="dxa" w:w="1728"/>
          </w:tcPr>
          <w:p>
            <w:r>
              <w:rPr>
                <w:b/>
              </w:rPr>
            </w:r>
            <w:r>
              <w:rPr>
                <w:b/>
              </w:rPr>
              <w:t>Type</w:t>
            </w:r>
          </w:p>
        </w:tc>
        <w:tc>
          <w:tcPr>
            <w:tcW w:type="dxa" w:w="1728"/>
          </w:tcPr>
          <w:p>
            <w:r>
              <w:rPr>
                <w:b/>
              </w:rPr>
            </w:r>
            <w:r>
              <w:rPr>
                <w:b/>
              </w:rPr>
              <w:t>Role in Parkinson</w:t>
            </w:r>
          </w:p>
        </w:tc>
        <w:tc>
          <w:tcPr>
            <w:tcW w:type="dxa" w:w="1728"/>
          </w:tcPr>
          <w:p>
            <w:r>
              <w:rPr>
                <w:b/>
              </w:rPr>
            </w:r>
            <w:r>
              <w:rPr>
                <w:b/>
              </w:rPr>
              <w:t>Key Finding</w:t>
            </w:r>
          </w:p>
        </w:tc>
        <w:tc>
          <w:tcPr>
            <w:tcW w:type="dxa" w:w="1728"/>
          </w:tcPr>
          <w:p>
            <w:r>
              <w:rPr>
                <w:b/>
              </w:rPr>
            </w:r>
            <w:r>
              <w:rPr>
                <w:b/>
              </w:rPr>
              <w:t>Citation</w:t>
            </w:r>
          </w:p>
        </w:tc>
      </w:tr>
      <w:tr>
        <w:tc>
          <w:tcPr>
            <w:tcW w:type="dxa" w:w="1728"/>
          </w:tcPr>
          <w:p>
            <w:r/>
            <w:r>
              <w:t>α-Synuclein</w:t>
            </w:r>
          </w:p>
        </w:tc>
        <w:tc>
          <w:tcPr>
            <w:tcW w:type="dxa" w:w="1728"/>
          </w:tcPr>
          <w:p>
            <w:r/>
            <w:r>
              <w:t>Protein/Biomarker</w:t>
            </w:r>
          </w:p>
        </w:tc>
        <w:tc>
          <w:tcPr>
            <w:tcW w:type="dxa" w:w="1728"/>
          </w:tcPr>
          <w:p>
            <w:r/>
            <w:r>
              <w:t>Core pathogenic aggregating protein; diagnostic and therapeutic target</w:t>
            </w:r>
          </w:p>
        </w:tc>
        <w:tc>
          <w:tcPr>
            <w:tcW w:type="dxa" w:w="1728"/>
          </w:tcPr>
          <w:p>
            <w:r/>
            <w:r>
              <w:t>Strain properties linked to PD-with-dementia progression; lead compound synthesis underway at Penn/WUSTL</w:t>
            </w:r>
          </w:p>
        </w:tc>
        <w:tc>
          <w:tcPr>
            <w:tcW w:type="dxa" w:w="1728"/>
          </w:tcPr>
          <w:p>
            <w:r/>
            <w:hyperlink r:id="rId17">
              <w:r>
                <w:rPr>
                  <w:rStyle w:val="Hyperlink"/>
                </w:rPr>
                <w:t>[Mao et al., 2025]</w:t>
              </w:r>
            </w:hyperlink>
            <w:r>
              <w:t xml:space="preserve">; </w:t>
            </w:r>
            <w:hyperlink r:id="rId18">
              <w:r>
                <w:rPr>
                  <w:rStyle w:val="Hyperlink"/>
                </w:rPr>
                <w:t>[Mach et al., 2025]</w:t>
              </w:r>
            </w:hyperlink>
          </w:p>
        </w:tc>
      </w:tr>
      <w:tr>
        <w:tc>
          <w:tcPr>
            <w:tcW w:type="dxa" w:w="1728"/>
          </w:tcPr>
          <w:p>
            <w:r/>
            <w:r>
              <w:t>GBA1 (glucocerebrosidase)</w:t>
            </w:r>
          </w:p>
        </w:tc>
        <w:tc>
          <w:tcPr>
            <w:tcW w:type="dxa" w:w="1728"/>
          </w:tcPr>
          <w:p>
            <w:r/>
            <w:r>
              <w:t>Gene/Enzyme</w:t>
            </w:r>
          </w:p>
        </w:tc>
        <w:tc>
          <w:tcPr>
            <w:tcW w:type="dxa" w:w="1728"/>
          </w:tcPr>
          <w:p>
            <w:r/>
            <w:r>
              <w:t>Major genetic risk factor; lysosomal pathway target</w:t>
            </w:r>
          </w:p>
        </w:tc>
        <w:tc>
          <w:tcPr>
            <w:tcW w:type="dxa" w:w="1728"/>
          </w:tcPr>
          <w:p>
            <w:r/>
            <w:r>
              <w:t>Non-inhibitory pharmacological chaperones targeting the L444P variant in active development</w:t>
            </w:r>
          </w:p>
        </w:tc>
        <w:tc>
          <w:tcPr>
            <w:tcW w:type="dxa" w:w="1728"/>
          </w:tcPr>
          <w:p>
            <w:r/>
            <w:hyperlink r:id="rId10">
              <w:r>
                <w:rPr>
                  <w:rStyle w:val="Hyperlink"/>
                </w:rPr>
                <w:t>[Marugan et al., 2025]</w:t>
              </w:r>
            </w:hyperlink>
          </w:p>
        </w:tc>
      </w:tr>
      <w:tr>
        <w:tc>
          <w:tcPr>
            <w:tcW w:type="dxa" w:w="1728"/>
          </w:tcPr>
          <w:p>
            <w:r/>
            <w:r>
              <w:t>c-Abl (ABL1)</w:t>
            </w:r>
          </w:p>
        </w:tc>
        <w:tc>
          <w:tcPr>
            <w:tcW w:type="dxa" w:w="1728"/>
          </w:tcPr>
          <w:p>
            <w:r/>
            <w:r>
              <w:t>Kinase</w:t>
            </w:r>
          </w:p>
        </w:tc>
        <w:tc>
          <w:tcPr>
            <w:tcW w:type="dxa" w:w="1728"/>
          </w:tcPr>
          <w:p>
            <w:r/>
            <w:r>
              <w:t>Mediates neurodegeneration signaling</w:t>
            </w:r>
          </w:p>
        </w:tc>
        <w:tc>
          <w:tcPr>
            <w:tcW w:type="dxa" w:w="1728"/>
          </w:tcPr>
          <w:p>
            <w:r/>
            <w:r>
              <w:t>Allosteric inhibitor Neurotinib shows preclinical efficacy and preferential CNS distribution</w:t>
            </w:r>
          </w:p>
        </w:tc>
        <w:tc>
          <w:tcPr>
            <w:tcW w:type="dxa" w:w="1728"/>
          </w:tcPr>
          <w:p>
            <w:r/>
            <w:hyperlink r:id="rId10">
              <w:r>
                <w:rPr>
                  <w:rStyle w:val="Hyperlink"/>
                </w:rPr>
                <w:t>[Marugan et al., 2025]</w:t>
              </w:r>
            </w:hyperlink>
          </w:p>
        </w:tc>
      </w:tr>
      <w:tr>
        <w:tc>
          <w:tcPr>
            <w:tcW w:type="dxa" w:w="1728"/>
          </w:tcPr>
          <w:p>
            <w:r/>
            <w:r>
              <w:t>LRRK2</w:t>
            </w:r>
          </w:p>
        </w:tc>
        <w:tc>
          <w:tcPr>
            <w:tcW w:type="dxa" w:w="1728"/>
          </w:tcPr>
          <w:p>
            <w:r/>
            <w:r>
              <w:t>Kinase/Gene</w:t>
            </w:r>
          </w:p>
        </w:tc>
        <w:tc>
          <w:tcPr>
            <w:tcW w:type="dxa" w:w="1728"/>
          </w:tcPr>
          <w:p>
            <w:r/>
            <w:r>
              <w:t>Familial PD risk gene; protein interaction target</w:t>
            </w:r>
          </w:p>
        </w:tc>
        <w:tc>
          <w:tcPr>
            <w:tcW w:type="dxa" w:w="1728"/>
          </w:tcPr>
          <w:p>
            <w:r/>
            <w:r>
              <w:t>Interaction with 14-3-3 proteins identified as relevant to pathogenesis</w:t>
            </w:r>
          </w:p>
        </w:tc>
        <w:tc>
          <w:tcPr>
            <w:tcW w:type="dxa" w:w="1728"/>
          </w:tcPr>
          <w:p>
            <w:r/>
            <w:hyperlink r:id="rId19">
              <w:r>
                <w:rPr>
                  <w:rStyle w:val="Hyperlink"/>
                </w:rPr>
                <w:t>[Cookson et al., 2025]</w:t>
              </w:r>
            </w:hyperlink>
          </w:p>
        </w:tc>
      </w:tr>
      <w:tr>
        <w:tc>
          <w:tcPr>
            <w:tcW w:type="dxa" w:w="1728"/>
          </w:tcPr>
          <w:p>
            <w:r/>
            <w:r>
              <w:t>PINK1/Parkin</w:t>
            </w:r>
          </w:p>
        </w:tc>
        <w:tc>
          <w:tcPr>
            <w:tcW w:type="dxa" w:w="1728"/>
          </w:tcPr>
          <w:p>
            <w:r/>
            <w:r>
              <w:t>Proteins/Pathway</w:t>
            </w:r>
          </w:p>
        </w:tc>
        <w:tc>
          <w:tcPr>
            <w:tcW w:type="dxa" w:w="1728"/>
          </w:tcPr>
          <w:p>
            <w:r/>
            <w:r>
              <w:t>Mitophagy regulation; mitochondrial quality control</w:t>
            </w:r>
          </w:p>
        </w:tc>
        <w:tc>
          <w:tcPr>
            <w:tcW w:type="dxa" w:w="1728"/>
          </w:tcPr>
          <w:p>
            <w:r/>
            <w:r>
              <w:t>TBK1 functions in PINK1/Parkin-mediated mitophagy and STING innate immunity activation</w:t>
            </w:r>
          </w:p>
        </w:tc>
        <w:tc>
          <w:tcPr>
            <w:tcW w:type="dxa" w:w="1728"/>
          </w:tcPr>
          <w:p>
            <w:r/>
            <w:hyperlink r:id="rId20">
              <w:r>
                <w:rPr>
                  <w:rStyle w:val="Hyperlink"/>
                </w:rPr>
                <w:t>[Youle, 2025]</w:t>
              </w:r>
            </w:hyperlink>
          </w:p>
        </w:tc>
      </w:tr>
      <w:tr>
        <w:tc>
          <w:tcPr>
            <w:tcW w:type="dxa" w:w="1728"/>
          </w:tcPr>
          <w:p>
            <w:r/>
            <w:r>
              <w:t>TBK1</w:t>
            </w:r>
          </w:p>
        </w:tc>
        <w:tc>
          <w:tcPr>
            <w:tcW w:type="dxa" w:w="1728"/>
          </w:tcPr>
          <w:p>
            <w:r/>
            <w:r>
              <w:t>Kinase</w:t>
            </w:r>
          </w:p>
        </w:tc>
        <w:tc>
          <w:tcPr>
            <w:tcW w:type="dxa" w:w="1728"/>
          </w:tcPr>
          <w:p>
            <w:r/>
            <w:r>
              <w:t>Links mitophagy and neuroinflammation</w:t>
            </w:r>
          </w:p>
        </w:tc>
        <w:tc>
          <w:tcPr>
            <w:tcW w:type="dxa" w:w="1728"/>
          </w:tcPr>
          <w:p>
            <w:r/>
            <w:r>
              <w:t>Operates at intersection of PINK1/Parkin pathway and STING-mediated innate immunity</w:t>
            </w:r>
          </w:p>
        </w:tc>
        <w:tc>
          <w:tcPr>
            <w:tcW w:type="dxa" w:w="1728"/>
          </w:tcPr>
          <w:p>
            <w:r/>
            <w:hyperlink r:id="rId20">
              <w:r>
                <w:rPr>
                  <w:rStyle w:val="Hyperlink"/>
                </w:rPr>
                <w:t>[Youle, 2025]</w:t>
              </w:r>
            </w:hyperlink>
          </w:p>
        </w:tc>
      </w:tr>
      <w:tr>
        <w:tc>
          <w:tcPr>
            <w:tcW w:type="dxa" w:w="1728"/>
          </w:tcPr>
          <w:p>
            <w:r/>
            <w:r>
              <w:t>CaV1.3 (voltage-gated calcium channel)</w:t>
            </w:r>
          </w:p>
        </w:tc>
        <w:tc>
          <w:tcPr>
            <w:tcW w:type="dxa" w:w="1728"/>
          </w:tcPr>
          <w:p>
            <w:r/>
            <w:r>
              <w:t>Ion Channel</w:t>
            </w:r>
          </w:p>
        </w:tc>
        <w:tc>
          <w:tcPr>
            <w:tcW w:type="dxa" w:w="1728"/>
          </w:tcPr>
          <w:p>
            <w:r/>
            <w:r>
              <w:t>Therapeutic target for levodopa-induced dyskinesia</w:t>
            </w:r>
          </w:p>
        </w:tc>
        <w:tc>
          <w:tcPr>
            <w:tcW w:type="dxa" w:w="1728"/>
          </w:tcPr>
          <w:p>
            <w:r/>
            <w:r>
              <w:t>Validated as a target for LID amelioration in striatum</w:t>
            </w:r>
          </w:p>
        </w:tc>
        <w:tc>
          <w:tcPr>
            <w:tcW w:type="dxa" w:w="1728"/>
          </w:tcPr>
          <w:p>
            <w:r/>
            <w:hyperlink r:id="rId21">
              <w:r>
                <w:rPr>
                  <w:rStyle w:val="Hyperlink"/>
                </w:rPr>
                <w:t>[Kordower et al., 2025]</w:t>
              </w:r>
            </w:hyperlink>
          </w:p>
        </w:tc>
      </w:tr>
      <w:tr>
        <w:tc>
          <w:tcPr>
            <w:tcW w:type="dxa" w:w="1728"/>
          </w:tcPr>
          <w:p>
            <w:r/>
            <w:r>
              <w:t>CHCHD2</w:t>
            </w:r>
          </w:p>
        </w:tc>
        <w:tc>
          <w:tcPr>
            <w:tcW w:type="dxa" w:w="1728"/>
          </w:tcPr>
          <w:p>
            <w:r/>
            <w:r>
              <w:t>Protein</w:t>
            </w:r>
          </w:p>
        </w:tc>
        <w:tc>
          <w:tcPr>
            <w:tcW w:type="dxa" w:w="1728"/>
          </w:tcPr>
          <w:p>
            <w:r/>
            <w:r>
              <w:t>Mitochondrial proteostasis regulator</w:t>
            </w:r>
          </w:p>
        </w:tc>
        <w:tc>
          <w:tcPr>
            <w:tcW w:type="dxa" w:w="1728"/>
          </w:tcPr>
          <w:p>
            <w:r/>
            <w:r>
              <w:t>Levels decline in sporadic Lewy body disease; critical role in brain proteostasis</w:t>
            </w:r>
          </w:p>
        </w:tc>
        <w:tc>
          <w:tcPr>
            <w:tcW w:type="dxa" w:w="1728"/>
          </w:tcPr>
          <w:p>
            <w:r/>
            <w:hyperlink r:id="rId22">
              <w:r>
                <w:rPr>
                  <w:rStyle w:val="Hyperlink"/>
                </w:rPr>
                <w:t>[Kang et al., 2025]</w:t>
              </w:r>
            </w:hyperlink>
          </w:p>
        </w:tc>
      </w:tr>
      <w:tr>
        <w:tc>
          <w:tcPr>
            <w:tcW w:type="dxa" w:w="1728"/>
          </w:tcPr>
          <w:p>
            <w:r/>
            <w:r>
              <w:t>APT1 (acyl protein thioesterase-1)</w:t>
            </w:r>
          </w:p>
        </w:tc>
        <w:tc>
          <w:tcPr>
            <w:tcW w:type="dxa" w:w="1728"/>
          </w:tcPr>
          <w:p>
            <w:r/>
            <w:r>
              <w:t>Enzyme</w:t>
            </w:r>
          </w:p>
        </w:tc>
        <w:tc>
          <w:tcPr>
            <w:tcW w:type="dxa" w:w="1728"/>
          </w:tcPr>
          <w:p>
            <w:r/>
            <w:r>
              <w:t>Palmitoylation regulator</w:t>
            </w:r>
          </w:p>
        </w:tc>
        <w:tc>
          <w:tcPr>
            <w:tcW w:type="dxa" w:w="1728"/>
          </w:tcPr>
          <w:p>
            <w:r/>
            <w:r>
              <w:t>Inhibition of APT1 enhances palmitoylation and ameliorates α-synuclein cytopathology</w:t>
            </w:r>
          </w:p>
        </w:tc>
        <w:tc>
          <w:tcPr>
            <w:tcW w:type="dxa" w:w="1728"/>
          </w:tcPr>
          <w:p>
            <w:r/>
            <w:hyperlink r:id="rId23">
              <w:r>
                <w:rPr>
                  <w:rStyle w:val="Hyperlink"/>
                </w:rPr>
                <w:t>[Ho et al., 2025]</w:t>
              </w:r>
            </w:hyperlink>
          </w:p>
        </w:tc>
      </w:tr>
      <w:tr>
        <w:tc>
          <w:tcPr>
            <w:tcW w:type="dxa" w:w="1728"/>
          </w:tcPr>
          <w:p>
            <w:r/>
            <w:r>
              <w:t>Tau</w:t>
            </w:r>
          </w:p>
        </w:tc>
        <w:tc>
          <w:tcPr>
            <w:tcW w:type="dxa" w:w="1728"/>
          </w:tcPr>
          <w:p>
            <w:r/>
            <w:r>
              <w:t>Protein</w:t>
            </w:r>
          </w:p>
        </w:tc>
        <w:tc>
          <w:tcPr>
            <w:tcW w:type="dxa" w:w="1728"/>
          </w:tcPr>
          <w:p>
            <w:r/>
            <w:r>
              <w:t>Co-pathology in PD; complicates cognitive decline</w:t>
            </w:r>
          </w:p>
        </w:tc>
        <w:tc>
          <w:tcPr>
            <w:tcW w:type="dxa" w:w="1728"/>
          </w:tcPr>
          <w:p>
            <w:r/>
            <w:r>
              <w:t>Lead compound synthesis underway at Pitt in collaboration with Penn</w:t>
            </w:r>
          </w:p>
        </w:tc>
        <w:tc>
          <w:tcPr>
            <w:tcW w:type="dxa" w:w="1728"/>
          </w:tcPr>
          <w:p>
            <w:r/>
            <w:hyperlink r:id="rId18">
              <w:r>
                <w:rPr>
                  <w:rStyle w:val="Hyperlink"/>
                </w:rPr>
                <w:t>[Mach et al., 2025]</w:t>
              </w:r>
            </w:hyperlink>
          </w:p>
        </w:tc>
      </w:tr>
      <w:tr>
        <w:tc>
          <w:tcPr>
            <w:tcW w:type="dxa" w:w="1728"/>
          </w:tcPr>
          <w:p>
            <w:r/>
            <w:r>
              <w:t>Histone deacetylases (HDACs)</w:t>
            </w:r>
          </w:p>
        </w:tc>
        <w:tc>
          <w:tcPr>
            <w:tcW w:type="dxa" w:w="1728"/>
          </w:tcPr>
          <w:p>
            <w:r/>
            <w:r>
              <w:t>Enzyme class</w:t>
            </w:r>
          </w:p>
        </w:tc>
        <w:tc>
          <w:tcPr>
            <w:tcW w:type="dxa" w:w="1728"/>
          </w:tcPr>
          <w:p>
            <w:r/>
            <w:r>
              <w:t>Epigenetic regulators in neurodegeneration</w:t>
            </w:r>
          </w:p>
        </w:tc>
        <w:tc>
          <w:tcPr>
            <w:tcW w:type="dxa" w:w="1728"/>
          </w:tcPr>
          <w:p>
            <w:r/>
            <w:r>
              <w:t>HDAC inhibitors emerging as a therapeutic class for PD</w:t>
            </w:r>
          </w:p>
        </w:tc>
        <w:tc>
          <w:tcPr>
            <w:tcW w:type="dxa" w:w="1728"/>
          </w:tcPr>
          <w:p>
            <w:r/>
            <w:hyperlink r:id="rId24">
              <w:r>
                <w:rPr>
                  <w:rStyle w:val="Hyperlink"/>
                </w:rPr>
                <w:t>[Chen et al., 2025]</w:t>
              </w:r>
            </w:hyperlink>
          </w:p>
        </w:tc>
      </w:tr>
      <w:tr>
        <w:tc>
          <w:tcPr>
            <w:tcW w:type="dxa" w:w="1728"/>
          </w:tcPr>
          <w:p>
            <w:r/>
            <w:r>
              <w:t>Gut microbiome</w:t>
            </w:r>
          </w:p>
        </w:tc>
        <w:tc>
          <w:tcPr>
            <w:tcW w:type="dxa" w:w="1728"/>
          </w:tcPr>
          <w:p>
            <w:r/>
            <w:r>
              <w:t>Microbial community/Biomarker</w:t>
            </w:r>
          </w:p>
        </w:tc>
        <w:tc>
          <w:tcPr>
            <w:tcW w:type="dxa" w:w="1728"/>
          </w:tcPr>
          <w:p>
            <w:r/>
            <w:r>
              <w:t>Prodromal disease marker; gut-brain axis mediator</w:t>
            </w:r>
          </w:p>
        </w:tc>
        <w:tc>
          <w:tcPr>
            <w:tcW w:type="dxa" w:w="1728"/>
          </w:tcPr>
          <w:p>
            <w:r/>
            <w:r>
              <w:t>Dysbiosis and intestinal permeability linked to α-synuclein increases and midbrain degeneration</w:t>
            </w:r>
          </w:p>
        </w:tc>
        <w:tc>
          <w:tcPr>
            <w:tcW w:type="dxa" w:w="1728"/>
          </w:tcPr>
          <w:p>
            <w:r/>
            <w:hyperlink r:id="rId16">
              <w:r>
                <w:rPr>
                  <w:rStyle w:val="Hyperlink"/>
                </w:rPr>
                <w:t>[Ryman et al., 2025]</w:t>
              </w:r>
            </w:hyperlink>
          </w:p>
        </w:tc>
      </w:tr>
      <w:tr>
        <w:tc>
          <w:tcPr>
            <w:tcW w:type="dxa" w:w="1728"/>
          </w:tcPr>
          <w:p>
            <w:r/>
            <w:r>
              <w:t>Extracellular vesicles (EVs)</w:t>
            </w:r>
          </w:p>
        </w:tc>
        <w:tc>
          <w:tcPr>
            <w:tcW w:type="dxa" w:w="1728"/>
          </w:tcPr>
          <w:p>
            <w:r/>
            <w:r>
              <w:t>Biomarker platform</w:t>
            </w:r>
          </w:p>
        </w:tc>
        <w:tc>
          <w:tcPr>
            <w:tcW w:type="dxa" w:w="1728"/>
          </w:tcPr>
          <w:p>
            <w:r/>
            <w:r>
              <w:t>Blood-based synucleinopathy detection</w:t>
            </w:r>
          </w:p>
        </w:tc>
        <w:tc>
          <w:tcPr>
            <w:tcW w:type="dxa" w:w="1728"/>
          </w:tcPr>
          <w:p>
            <w:r/>
            <w:r>
              <w:t>Immunoaffinity isolation technology under development for high-sensitivity clinical detection</w:t>
            </w:r>
          </w:p>
        </w:tc>
        <w:tc>
          <w:tcPr>
            <w:tcW w:type="dxa" w:w="1728"/>
          </w:tcPr>
          <w:p>
            <w:r/>
            <w:hyperlink r:id="rId11">
              <w:r>
                <w:rPr>
                  <w:rStyle w:val="Hyperlink"/>
                </w:rPr>
                <w:t>[Eitan et al., 2025]</w:t>
              </w:r>
            </w:hyperlink>
          </w:p>
        </w:tc>
      </w:tr>
      <w:tr>
        <w:tc>
          <w:tcPr>
            <w:tcW w:type="dxa" w:w="1728"/>
          </w:tcPr>
          <w:p>
            <w:r/>
            <w:r>
              <w:t>Neurotinib</w:t>
            </w:r>
          </w:p>
        </w:tc>
        <w:tc>
          <w:tcPr>
            <w:tcW w:type="dxa" w:w="1728"/>
          </w:tcPr>
          <w:p>
            <w:r/>
            <w:r>
              <w:t>Small molecule drug</w:t>
            </w:r>
          </w:p>
        </w:tc>
        <w:tc>
          <w:tcPr>
            <w:tcW w:type="dxa" w:w="1728"/>
          </w:tcPr>
          <w:p>
            <w:r/>
            <w:r>
              <w:t>c-Abl allosteric inhibitor; neuroprotective candidate</w:t>
            </w:r>
          </w:p>
        </w:tc>
        <w:tc>
          <w:tcPr>
            <w:tcW w:type="dxa" w:w="1728"/>
          </w:tcPr>
          <w:p>
            <w:r/>
            <w:r>
              <w:t>Encouraging preclinical efficacy; favorable pharmacokinetics and CNS distribution</w:t>
            </w:r>
          </w:p>
        </w:tc>
        <w:tc>
          <w:tcPr>
            <w:tcW w:type="dxa" w:w="1728"/>
          </w:tcPr>
          <w:p>
            <w:r/>
            <w:hyperlink r:id="rId10">
              <w:r>
                <w:rPr>
                  <w:rStyle w:val="Hyperlink"/>
                </w:rPr>
                <w:t>[Marugan et al., 2025]</w:t>
              </w:r>
            </w:hyperlink>
          </w:p>
        </w:tc>
      </w:tr>
      <w:tr>
        <w:tc>
          <w:tcPr>
            <w:tcW w:type="dxa" w:w="1728"/>
          </w:tcPr>
          <w:p>
            <w:r/>
            <w:r>
              <w:t>Dopamine neurons (ESC-derived)</w:t>
            </w:r>
          </w:p>
        </w:tc>
        <w:tc>
          <w:tcPr>
            <w:tcW w:type="dxa" w:w="1728"/>
          </w:tcPr>
          <w:p>
            <w:r/>
            <w:r>
              <w:t>Cell therapy</w:t>
            </w:r>
          </w:p>
        </w:tc>
        <w:tc>
          <w:tcPr>
            <w:tcW w:type="dxa" w:w="1728"/>
          </w:tcPr>
          <w:p>
            <w:r/>
            <w:r>
              <w:t>Neuronal replacement for dopaminergic deficit</w:t>
            </w:r>
          </w:p>
        </w:tc>
        <w:tc>
          <w:tcPr>
            <w:tcW w:type="dxa" w:w="1728"/>
          </w:tcPr>
          <w:p>
            <w:r/>
            <w:r>
              <w:t>Phase 1 bilateral intrastriatal grafting trial completed</w:t>
            </w:r>
          </w:p>
        </w:tc>
        <w:tc>
          <w:tcPr>
            <w:tcW w:type="dxa" w:w="1728"/>
          </w:tcPr>
          <w:p>
            <w:r/>
            <w:hyperlink r:id="rId14">
              <w:r>
                <w:rPr>
                  <w:rStyle w:val="Hyperlink"/>
                </w:rPr>
                <w:t>[Tabar et al., 2025]</w:t>
              </w:r>
            </w:hyperlink>
          </w:p>
        </w:tc>
      </w:tr>
      <w:tr>
        <w:tc>
          <w:tcPr>
            <w:tcW w:type="dxa" w:w="1728"/>
          </w:tcPr>
          <w:p>
            <w:r/>
            <w:r>
              <w:t>14-3-3 proteins</w:t>
            </w:r>
          </w:p>
        </w:tc>
        <w:tc>
          <w:tcPr>
            <w:tcW w:type="dxa" w:w="1728"/>
          </w:tcPr>
          <w:p>
            <w:r/>
            <w:r>
              <w:t>Protein family</w:t>
            </w:r>
          </w:p>
        </w:tc>
        <w:tc>
          <w:tcPr>
            <w:tcW w:type="dxa" w:w="1728"/>
          </w:tcPr>
          <w:p>
            <w:r/>
            <w:r>
              <w:t>LRRK2 interaction partners</w:t>
            </w:r>
          </w:p>
        </w:tc>
        <w:tc>
          <w:tcPr>
            <w:tcW w:type="dxa" w:w="1728"/>
          </w:tcPr>
          <w:p>
            <w:r/>
            <w:r>
              <w:t>Molecular interaction with LRRK2 identified as relevant to PD pathogenesis</w:t>
            </w:r>
          </w:p>
        </w:tc>
        <w:tc>
          <w:tcPr>
            <w:tcW w:type="dxa" w:w="1728"/>
          </w:tcPr>
          <w:p>
            <w:r/>
            <w:hyperlink r:id="rId19">
              <w:r>
                <w:rPr>
                  <w:rStyle w:val="Hyperlink"/>
                </w:rPr>
                <w:t>[Cookson et al., 2025]</w:t>
              </w:r>
            </w:hyperlink>
          </w:p>
        </w:tc>
      </w:tr>
    </w:tbl>
    <w:p/>
    <w:p>
      <w:r>
        <w:t>────────────────────────────────────────────────────────────</w:t>
      </w:r>
    </w:p>
    <w:p/>
    <w:p>
      <w:pPr>
        <w:pStyle w:val="Heading2"/>
      </w:pPr>
      <w:r>
        <w:t>Research Findings by Theme</w:t>
      </w:r>
    </w:p>
    <w:p/>
    <w:p>
      <w:r>
        <w:t>The verified NIH grant funding landscape for Parkinson's disease in 2025 reveals a field organized around five converging priorities: catching disease before symptoms appear, developing mechanism-targeted therapies, building scalable biomarker platforms, advancing interventional neurology into clinical trials, and addressing understudied populations and systems. Together, these themes reflect a shift from purely symptomatic management toward disease modification and prevention.</w:t>
      </w:r>
    </w:p>
    <w:p/>
    <w:p>
      <w:r>
        <w:t>────────────────────────────────────────────────────────────</w:t>
      </w:r>
    </w:p>
    <w:p/>
    <w:p>
      <w:pPr>
        <w:pStyle w:val="Heading3"/>
      </w:pPr>
      <w:r>
        <w:t>Theme 1: Prodromal PD — Prevention Before Symptoms Strike</w:t>
      </w:r>
    </w:p>
    <w:p/>
    <w:p>
      <w:r>
        <w:t>NINDS has made the characterization of prodromal Parkinson's disease its top clinical research priority for 2025, signaling a strategic pivot toward prevention. This theme encompasses natural history studies, biomarker discovery in pre-symptomatic populations, and the construction of trial-ready cohorts.</w:t>
      </w:r>
    </w:p>
    <w:p/>
    <w:p>
      <w:pPr>
        <w:pStyle w:val="ListBullet"/>
      </w:pPr>
      <w:r>
        <w:t xml:space="preserve">NINDS has explicitly identified prodromal PD characterization—including phenoconversion events and biomarkers of prodromal subtypes—as the **highest priority for clinical PD research**, specifically to enable proof-of-concept prevention trials. </w:t>
      </w:r>
      <w:hyperlink r:id="rId9">
        <w:r>
          <w:rPr>
            <w:rStyle w:val="Hyperlink"/>
          </w:rPr>
          <w:t>[Ascherio et al., 2025-2026]</w:t>
        </w:r>
      </w:hyperlink>
    </w:p>
    <w:p>
      <w:pPr>
        <w:pStyle w:val="ListBullet"/>
      </w:pPr>
      <w:r>
        <w:t xml:space="preserve">REM sleep behavior disorder (RBD) is a key prodromal entry point: the NAPS2 clinical core is developing quantitative REM sleep without atonia measures from PSG data, integrating MRI and DaTscan imaging with biofluid samples to support disease-modifying therapy development targeting DLB, PD, and MSA prevention. </w:t>
      </w:r>
      <w:hyperlink r:id="rId25">
        <w:r>
          <w:rPr>
            <w:rStyle w:val="Hyperlink"/>
          </w:rPr>
          <w:t>[Boeve et al., 2025]</w:t>
        </w:r>
      </w:hyperlink>
    </w:p>
    <w:p>
      <w:pPr>
        <w:pStyle w:val="ListBullet"/>
      </w:pPr>
      <w:r>
        <w:t xml:space="preserve">Microbiome dysbiosis and increased intestinal permeability have been identified as occurring **early in prodromal Lewy body disease**, associated with α-synuclein increases and midbrain degeneration; microbiome-targeting interventions are positioned as candidates for clinical trials to prevent motor and cognitive symptom development. </w:t>
      </w:r>
      <w:hyperlink r:id="rId16">
        <w:r>
          <w:rPr>
            <w:rStyle w:val="Hyperlink"/>
          </w:rPr>
          <w:t>[Ryman et al., 2025]</w:t>
        </w:r>
      </w:hyperlink>
    </w:p>
    <w:p>
      <w:pPr>
        <w:pStyle w:val="ListBullet"/>
      </w:pPr>
      <w:r>
        <w:t xml:space="preserve">Cognitive heterogeneity in Lewy body diseases is being approached through biomarker-derived molecular leads identified as an "untapped opportunity" to uncover key pathogenic players in cognitive decline. </w:t>
      </w:r>
      <w:hyperlink r:id="rId13">
        <w:r>
          <w:rPr>
            <w:rStyle w:val="Hyperlink"/>
          </w:rPr>
          <w:t>[Chen-Plotkin et al., 2025]</w:t>
        </w:r>
      </w:hyperlink>
    </w:p>
    <w:p/>
    <w:p>
      <w:r>
        <w:t>────────────────────────────────────────────────────────────</w:t>
      </w:r>
    </w:p>
    <w:p/>
    <w:p>
      <w:pPr>
        <w:pStyle w:val="Heading3"/>
      </w:pPr>
      <w:r>
        <w:t>Theme 2: Targeted Small-Molecule Drug Discovery — From Genetics to the Clinic</w:t>
      </w:r>
    </w:p>
    <w:p/>
    <w:p>
      <w:r>
        <w:t>A prominent 2025 grant theme is the acceleration of small-molecule therapeutics anchored to specific genetic and molecular targets, with multiple compounds now in multi-institutional development pipelines.</w:t>
      </w:r>
    </w:p>
    <w:p/>
    <w:p>
      <w:pPr>
        <w:pStyle w:val="ListBullet"/>
      </w:pPr>
      <w:r>
        <w:t xml:space="preserve">Multi-institutional synthesis efforts are underway: **alpha-synuclein lead compound synthesis** at Penn and WUSTL, and **tau lead compound synthesis** at Pitt in collaboration with Penn, reflecting coordinated investment in two of PD's most important pathogenic proteins. </w:t>
      </w:r>
      <w:hyperlink r:id="rId18">
        <w:r>
          <w:rPr>
            <w:rStyle w:val="Hyperlink"/>
          </w:rPr>
          <w:t>[Mach et al., 2025]</w:t>
        </w:r>
      </w:hyperlink>
    </w:p>
    <w:p>
      <w:pPr>
        <w:pStyle w:val="ListBullet"/>
      </w:pPr>
      <w:r>
        <w:t xml:space="preserve">The allosteric c-Abl inhibitor **Neurotinib** has demonstrated encouraging efficacy in multiple PD models with good pharmacokinetics and preferential CNS distribution, representing one of the most advanced neuroprotective candidates in the current portfolio. </w:t>
      </w:r>
      <w:hyperlink r:id="rId10">
        <w:r>
          <w:rPr>
            <w:rStyle w:val="Hyperlink"/>
          </w:rPr>
          <w:t>[Marugan et al., 2025]</w:t>
        </w:r>
      </w:hyperlink>
    </w:p>
    <w:p>
      <w:pPr>
        <w:pStyle w:val="ListBullet"/>
      </w:pPr>
      <w:r>
        <w:t xml:space="preserve">**Non-inhibitory pharmacological chaperones targeting the GBA1 L444P variant** are in active development, reflecting growing attention to the most common genetic risk factor for PD. </w:t>
      </w:r>
      <w:hyperlink r:id="rId10">
        <w:r>
          <w:rPr>
            <w:rStyle w:val="Hyperlink"/>
          </w:rPr>
          <w:t>[Marugan et al., 2025]</w:t>
        </w:r>
      </w:hyperlink>
    </w:p>
    <w:p>
      <w:pPr>
        <w:pStyle w:val="ListBullet"/>
      </w:pPr>
      <w:r>
        <w:t xml:space="preserve">**Histone deacetylase (HDAC) inhibitors** are emerging as a therapeutic class, with epigenetics identified as a prominent research area in PD grant funding. </w:t>
      </w:r>
      <w:hyperlink r:id="rId24">
        <w:r>
          <w:rPr>
            <w:rStyle w:val="Hyperlink"/>
          </w:rPr>
          <w:t>[Chen et al., 2025]</w:t>
        </w:r>
      </w:hyperlink>
    </w:p>
    <w:p>
      <w:pPr>
        <w:pStyle w:val="ListBullet"/>
      </w:pPr>
      <w:r>
        <w:t xml:space="preserve">**Striatal CaV1.3 calcium channels** have been validated as a therapeutic target specifically for levodopa-induced dyskinesia, addressing a major quality-of-life complication of standard PD therapy. </w:t>
      </w:r>
      <w:hyperlink r:id="rId21">
        <w:r>
          <w:rPr>
            <w:rStyle w:val="Hyperlink"/>
          </w:rPr>
          <w:t>[Kordower et al., 2025]</w:t>
        </w:r>
      </w:hyperlink>
    </w:p>
    <w:p>
      <w:pPr>
        <w:pStyle w:val="ListBullet"/>
      </w:pPr>
      <w:r>
        <w:t xml:space="preserve">At the preclinical screening level, a **C. elegans quantitative high-throughput screening (qHTS)** system has been developed to evaluate siRNA libraries and investigational agents for suppression of neurodegeneration. </w:t>
      </w:r>
      <w:hyperlink r:id="rId26">
        <w:r>
          <w:rPr>
            <w:rStyle w:val="Hyperlink"/>
          </w:rPr>
          <w:t>[Inglese et al., 2025]</w:t>
        </w:r>
      </w:hyperlink>
    </w:p>
    <w:p/>
    <w:p>
      <w:r>
        <w:t>────────────────────────────────────────────────────────────</w:t>
      </w:r>
    </w:p>
    <w:p/>
    <w:p>
      <w:pPr>
        <w:pStyle w:val="Heading3"/>
      </w:pPr>
      <w:r>
        <w:t>Theme 3: Biomarker Development — Blood, Imaging, and Molecular Platforms</w:t>
      </w:r>
    </w:p>
    <w:p/>
    <w:p>
      <w:r>
        <w:t>The 2025 grant landscape reflects major investment in building a multi-modal biomarker infrastructure capable of detecting and staging PD across the disease continuum, including the prodromal phase.</w:t>
      </w:r>
    </w:p>
    <w:p/>
    <w:p>
      <w:pPr>
        <w:pStyle w:val="ListBullet"/>
      </w:pPr>
      <w:r>
        <w:t xml:space="preserve">**Blood-based extracellular vesicle (EV) immunoaffinity isolation technology** is being developed to detect synucleinopathies with high sensitivity—a potential breakthrough for accessible, minimally invasive clinical identification of at-risk patients. </w:t>
      </w:r>
      <w:hyperlink r:id="rId11">
        <w:r>
          <w:rPr>
            <w:rStyle w:val="Hyperlink"/>
          </w:rPr>
          <w:t>[Eitan et al., 2025]</w:t>
        </w:r>
      </w:hyperlink>
    </w:p>
    <w:p>
      <w:pPr>
        <w:pStyle w:val="ListBullet"/>
      </w:pPr>
      <w:r>
        <w:t xml:space="preserve">**7T MRI subject-specific models** of anatomical and functional connectivity are being developed at the UMN Udall Center to support multiple PD research projects, pushing neuroimaging resolution and precision. </w:t>
      </w:r>
      <w:hyperlink r:id="rId12">
        <w:r>
          <w:rPr>
            <w:rStyle w:val="Hyperlink"/>
          </w:rPr>
          <w:t>[Harel et al., 2025]</w:t>
        </w:r>
      </w:hyperlink>
    </w:p>
    <w:p>
      <w:pPr>
        <w:pStyle w:val="ListBullet"/>
      </w:pPr>
      <w:r>
        <w:t xml:space="preserve">**MRI research** is being applied to distinguish between iron and myelin contributions to contrast changes, enabling more precise characterization of neurodegeneration pathology in PD. </w:t>
      </w:r>
      <w:hyperlink r:id="rId27">
        <w:r>
          <w:rPr>
            <w:rStyle w:val="Hyperlink"/>
          </w:rPr>
          <w:t>[Duyn et al., 2025]</w:t>
        </w:r>
      </w:hyperlink>
    </w:p>
    <w:p>
      <w:pPr>
        <w:pStyle w:val="ListBullet"/>
      </w:pPr>
      <w:r>
        <w:t xml:space="preserve">**Genome-wide prediction of dementia in PD** is being pursued with a focus on disease progression rather than susceptibility, reflecting recognition that progression—not onset—is the primary determinant of patient well-being. </w:t>
      </w:r>
      <w:hyperlink r:id="rId28">
        <w:r>
          <w:rPr>
            <w:rStyle w:val="Hyperlink"/>
          </w:rPr>
          <w:t>[Scherzer et al., 2025]</w:t>
        </w:r>
      </w:hyperlink>
    </w:p>
    <w:p>
      <w:pPr>
        <w:pStyle w:val="ListBullet"/>
      </w:pPr>
      <w:r>
        <w:t xml:space="preserve">**Biomarker screening approaches** are being used to uncover molecular correlates of cognitive heterogeneity in Lewy body diseases. </w:t>
      </w:r>
      <w:hyperlink r:id="rId13">
        <w:r>
          <w:rPr>
            <w:rStyle w:val="Hyperlink"/>
          </w:rPr>
          <w:t>[Chen-Plotkin et al., 2025]</w:t>
        </w:r>
      </w:hyperlink>
    </w:p>
    <w:p>
      <w:pPr>
        <w:pStyle w:val="ListBullet"/>
      </w:pPr>
      <w:r>
        <w:t xml:space="preserve">**Alpha-synuclein strain properties** are associated with progression to PD with dementia, creating a potential strain-typing biomarker opportunity. </w:t>
      </w:r>
      <w:hyperlink r:id="rId17">
        <w:r>
          <w:rPr>
            <w:rStyle w:val="Hyperlink"/>
          </w:rPr>
          <w:t>[Mao et al., 2025]</w:t>
        </w:r>
      </w:hyperlink>
    </w:p>
    <w:p/>
    <w:p>
      <w:r>
        <w:t>────────────────────────────────────────────────────────────</w:t>
      </w:r>
    </w:p>
    <w:p/>
    <w:p>
      <w:pPr>
        <w:pStyle w:val="Heading3"/>
      </w:pPr>
      <w:r>
        <w:t>Theme 4: Interventional Neurology — Cell Therapy, DBS, and Clinical Trial Infrastructure</w:t>
      </w:r>
    </w:p>
    <w:p/>
    <w:p>
      <w:r>
        <w:t>A fourth major theme in 2025 PD grant funding is the maturation of interventional approaches—from neurostimulation refinements to cell replacement—alongside investment in the consortium and trial infrastructure needed to execute large-scale studies.</w:t>
      </w:r>
    </w:p>
    <w:p/>
    <w:p>
      <w:pPr>
        <w:pStyle w:val="ListBullet"/>
      </w:pPr>
      <w:r>
        <w:t xml:space="preserve">A **Phase 1 clinical trial for bilateral intrastriatal grafting of human dopamine neurons derived from embryonic stem cells** has been completed in PD patients, marking a significant milestone for cell-based neuronal replacement. </w:t>
      </w:r>
      <w:hyperlink r:id="rId14">
        <w:r>
          <w:rPr>
            <w:rStyle w:val="Hyperlink"/>
          </w:rPr>
          <w:t>[Tabar et al., 2025]</w:t>
        </w:r>
      </w:hyperlink>
    </w:p>
    <w:p>
      <w:pPr>
        <w:pStyle w:val="ListBullet"/>
      </w:pPr>
      <w:r>
        <w:t xml:space="preserve">**Early deep brain stimulation (DBS)** has achieved Class II evidence of slowing rest tremor progression in early-stage PD. </w:t>
      </w:r>
      <w:hyperlink r:id="rId15">
        <w:r>
          <w:rPr>
            <w:rStyle w:val="Hyperlink"/>
          </w:rPr>
          <w:t>[Hacker et al., 2025]</w:t>
        </w:r>
      </w:hyperlink>
    </w:p>
    <w:p>
      <w:pPr>
        <w:pStyle w:val="ListBullet"/>
      </w:pPr>
      <w:r>
        <w:t xml:space="preserve">A **pilot study comparing conventional and burst DBS** in the globus pallidus internus showed equal efficacy and tolerability, opening the door to refined stimulation paradigms. </w:t>
      </w:r>
      <w:hyperlink r:id="rId29">
        <w:r>
          <w:rPr>
            <w:rStyle w:val="Hyperlink"/>
          </w:rPr>
          <w:t>[Milosevic et al., 2026]</w:t>
        </w:r>
      </w:hyperlink>
    </w:p>
    <w:p>
      <w:pPr>
        <w:pStyle w:val="ListBullet"/>
      </w:pPr>
      <w:r>
        <w:t xml:space="preserve">NIH-funded PD research is coalescing around **four programmatic priority areas**: PD neural networks, objective PD measurements, healthcare needs for older adults with neurological disorders, and leading multidisciplinary clinical trial teams. </w:t>
      </w:r>
      <w:hyperlink r:id="rId15">
        <w:r>
          <w:rPr>
            <w:rStyle w:val="Hyperlink"/>
          </w:rPr>
          <w:t>[Hacker et al., 2025]</w:t>
        </w:r>
      </w:hyperlink>
    </w:p>
    <w:p>
      <w:pPr>
        <w:pStyle w:val="ListBullet"/>
      </w:pPr>
      <w:r>
        <w:t xml:space="preserve">**Large consortium models** following the Alzheimer's disease research template are being applied to PD, leveraging multiple centers with standardized approaches to accelerate discovery. </w:t>
      </w:r>
      <w:hyperlink r:id="rId30">
        <w:r>
          <w:rPr>
            <w:rStyle w:val="Hyperlink"/>
          </w:rPr>
          <w:t>[Galask et al., 2025]</w:t>
        </w:r>
      </w:hyperlink>
    </w:p>
    <w:p>
      <w:pPr>
        <w:pStyle w:val="ListBullet"/>
      </w:pPr>
      <w:r>
        <w:t xml:space="preserve">**CEP-1347**, an MLK family inhibitor, completed a clinical trial in PD with no collateral toxicity, providing safety data that informs the kinase inhibitor pipeline. </w:t>
      </w:r>
      <w:hyperlink r:id="rId31">
        <w:r>
          <w:rPr>
            <w:rStyle w:val="Hyperlink"/>
          </w:rPr>
          <w:t>[Rana et al., 2026]</w:t>
        </w:r>
      </w:hyperlink>
    </w:p>
    <w:p/>
    <w:p>
      <w:r>
        <w:t>────────────────────────────────────────────────────────────</w:t>
      </w:r>
    </w:p>
    <w:p/>
    <w:p>
      <w:pPr>
        <w:pStyle w:val="Heading3"/>
      </w:pPr>
      <w:r>
        <w:t>Theme 5: Neuroinflammation, Glial Biology, and Systems-Level Mechanisms</w:t>
      </w:r>
    </w:p>
    <w:p/>
    <w:p>
      <w:r>
        <w:t>An emerging cross-cutting theme in 2025 grant funding is the role of non-neuronal cells and inflammatory pathways in PD pathogenesis—an area that bridges basic mechanistic research with therapeutic opportunity.</w:t>
      </w:r>
    </w:p>
    <w:p/>
    <w:p>
      <w:pPr>
        <w:pStyle w:val="ListBullet"/>
      </w:pPr>
      <w:r>
        <w:t xml:space="preserve">**Glia** are identified as playing an important role in neurodegeneration, with genetic analysis studies highlighted as having significant potential impact on understanding PD mechanisms. </w:t>
      </w:r>
      <w:hyperlink r:id="rId32">
        <w:r>
          <w:rPr>
            <w:rStyle w:val="Hyperlink"/>
          </w:rPr>
          <w:t>[Feany, 2025]</w:t>
        </w:r>
      </w:hyperlink>
    </w:p>
    <w:p>
      <w:pPr>
        <w:pStyle w:val="ListBullet"/>
      </w:pPr>
      <w:r>
        <w:t xml:space="preserve">**TBK1** functions at the intersection of two key pathways—**PINK1/Parkin-mediated mitophagy** and **STING-mediated innate immunity**—placing neuroinflammation directly within the mitochondrial quality control framework. </w:t>
      </w:r>
      <w:hyperlink r:id="rId20">
        <w:r>
          <w:rPr>
            <w:rStyle w:val="Hyperlink"/>
          </w:rPr>
          <w:t>[Youle, 2025]</w:t>
        </w:r>
      </w:hyperlink>
    </w:p>
    <w:p>
      <w:pPr>
        <w:pStyle w:val="ListBullet"/>
      </w:pPr>
      <w:r>
        <w:t xml:space="preserve">**LRRK2 interaction with 14-3-3 proteins** represents a molecular interface relevant to PD pathogenesis, with implications for both understanding disease and designing targeted therapies. </w:t>
      </w:r>
      <w:hyperlink r:id="rId19">
        <w:r>
          <w:rPr>
            <w:rStyle w:val="Hyperlink"/>
          </w:rPr>
          <w:t>[Cookson et al., 2025]</w:t>
        </w:r>
      </w:hyperlink>
    </w:p>
    <w:p>
      <w:pPr>
        <w:pStyle w:val="ListBullet"/>
      </w:pPr>
      <w:r>
        <w:t xml:space="preserve">**Cholinergic system degeneration** is demonstrating prominent and dynamic impacts on both gait and cognitive abnormalities in PD, underscoring the multi-neurotransmitter complexity of the disease. </w:t>
      </w:r>
      <w:hyperlink r:id="rId33">
        <w:r>
          <w:rPr>
            <w:rStyle w:val="Hyperlink"/>
          </w:rPr>
          <w:t>[Albin et al., 2025]</w:t>
        </w:r>
      </w:hyperlink>
    </w:p>
    <w:p>
      <w:pPr>
        <w:pStyle w:val="ListBullet"/>
      </w:pPr>
      <w:r>
        <w:t xml:space="preserve">**Protein aggregation** is identified as a key research direction, with the field described as at "an energetic moment of progress." </w:t>
      </w:r>
      <w:hyperlink r:id="rId34">
        <w:r>
          <w:rPr>
            <w:rStyle w:val="Hyperlink"/>
          </w:rPr>
          <w:t>[Joachimiak et al., 2025]</w:t>
        </w:r>
      </w:hyperlink>
    </w:p>
    <w:p>
      <w:pPr>
        <w:pStyle w:val="ListBullet"/>
      </w:pPr>
      <w:r>
        <w:t xml:space="preserve">**Health disparities** represent an emerging theme: racial differences in PD clinical phenotype, patient-reported outcomes, and disease recognition/management in Black patients are being studied with implications for equitable healthcare delivery. </w:t>
      </w:r>
      <w:hyperlink r:id="rId35">
        <w:r>
          <w:rPr>
            <w:rStyle w:val="Hyperlink"/>
          </w:rPr>
          <w:t>[Hall et al., 2025]</w:t>
        </w:r>
      </w:hyperlink>
    </w:p>
    <w:p/>
    <w:p>
      <w:r>
        <w:t>────────────────────────────────────────────────────────────</w:t>
      </w:r>
    </w:p>
    <w:p/>
    <w:p>
      <w:pPr>
        <w:pStyle w:val="Heading2"/>
      </w:pPr>
      <w:r>
        <w:t>Research Gaps &amp; White Space</w:t>
      </w:r>
    </w:p>
    <w:p/>
    <w:p>
      <w:r>
        <w:t>Based on what the verified findings reveal—and more importantly, what they do not—the following gaps are notable for a program officer evaluating the 2025 PD funding landscape:</w:t>
      </w:r>
    </w:p>
    <w:p/>
    <w:p>
      <w:r>
        <w:t xml:space="preserve">1. **AI and digital biomarkers are absent from the verified findings.** Despite growing interest in wearable sensors, smartphone-based gait analysis, and machine learning for PD diagnosis and monitoring, none of the verified grant abstracts surface these approaches. This is a conspicuous absence given that "objective PD measurements" is named as a NIH priority area </w:t>
      </w:r>
      <w:hyperlink r:id="rId15">
        <w:r>
          <w:rPr>
            <w:rStyle w:val="Hyperlink"/>
          </w:rPr>
          <w:t>[Hacker et al., 2025]</w:t>
        </w:r>
      </w:hyperlink>
      <w:r>
        <w:t xml:space="preserve"> but no specific digital health grants are documented in the data.</w:t>
      </w:r>
    </w:p>
    <w:p/>
    <w:p>
      <w:r>
        <w:t>2. **Environmental and lifestyle risk factors are not represented.** The findings contain no grants addressing pesticide exposure, air pollution, physical activity, or other modifiable environmental risk factors for PD—an area of active epidemiological interest that appears absent from the 2025 portfolio as captured here.</w:t>
      </w:r>
    </w:p>
    <w:p/>
    <w:p>
      <w:r>
        <w:t>3. **Sex and gender differences in PD are not addressed.** Despite known differences in PD incidence, presentation, and drug response between males and females, no verified findings address sex-stratified analyses or mechanisms of sex-based vulnerability.</w:t>
      </w:r>
    </w:p>
    <w:p/>
    <w:p>
      <w:r>
        <w:t xml:space="preserve">4. **Non-motor symptom therapeutics (beyond cognition) are underrepresented.** While cognitive decline receives attention </w:t>
      </w:r>
      <w:r>
        <w:t>[Chen-Plotkin et al., 2025; Scherzer et al., 2025]</w:t>
      </w:r>
      <w:r>
        <w:t>, other non-motor symptoms such as autonomic dysfunction, depression, pain, and fatigue—which dominate patient quality-of-life concerns—are not surfaced in the funded grant abstracts.</w:t>
      </w:r>
    </w:p>
    <w:p/>
    <w:p>
      <w:r>
        <w:t>5. **Gene therapy and antisense oligonucleotides (ASOs) are missing.** Despite their rapid clinical advancement in other neurological diseases (e.g., SMA, HD), no verified findings document ASO or AAV-based gene therapy grants specifically for PD in 2025, which may represent a gap in the captured data or an investment lag.</w:t>
      </w:r>
    </w:p>
    <w:p/>
    <w:p>
      <w:r>
        <w:t>6. **Health economics and implementation science are absent.** The user's question about emerging themes could encompass how PD care is being delivered and funded at scale; the grant data contains no findings on cost-effectiveness, health systems research, or real-world implementation of PD interventions.</w:t>
      </w:r>
    </w:p>
    <w:p/>
    <w:p>
      <w:r>
        <w:t xml:space="preserve">7. **Longitudinal cohort infrastructure beyond prodromal RBD is underrepresented.** While the NAPS2 consortium </w:t>
      </w:r>
      <w:hyperlink r:id="rId25">
        <w:r>
          <w:rPr>
            <w:rStyle w:val="Hyperlink"/>
          </w:rPr>
          <w:t>[Boeve et al., 2025]</w:t>
        </w:r>
      </w:hyperlink>
      <w:r>
        <w:t xml:space="preserve"> addresses one prodromal population, the broader question of how diverse PD cohorts (e.g., MJFF PPMI, de novo PD) are being leveraged in 2025 is not answered by the current data.</w:t>
      </w:r>
    </w:p>
    <w:p/>
    <w:p>
      <w:r>
        <w:t>────────────────────────────────────────────────────────────</w:t>
      </w:r>
    </w:p>
    <w:p/>
    <w:p>
      <w:pPr>
        <w:pStyle w:val="Heading2"/>
      </w:pPr>
      <w:r>
        <w:t>Strategic Summary</w:t>
      </w:r>
    </w:p>
    <w:p/>
    <w:p>
      <w:r>
        <w:t xml:space="preserve">The single most important insight from this data is that **NIH PD grant funding in 2025 is structurally organized around disease modification before and at early symptom onset**—with prodromal characterization declared the top clinical priority </w:t>
      </w:r>
      <w:hyperlink r:id="rId9">
        <w:r>
          <w:rPr>
            <w:rStyle w:val="Hyperlink"/>
          </w:rPr>
          <w:t>[Ascherio et al., 2025-2026]</w:t>
        </w:r>
      </w:hyperlink>
      <w:r>
        <w:t xml:space="preserve"> and the drug development pipeline increasingly anchored to validated genetic targets (GBA1, LRRK2, c-Abl) rather than symptomatic relief. A well-targeted next investment would be at the **convergence of prodromal biomarker platforms and mechanism-targeted prevention trials**: specifically, supporting studies that connect blood-based EV biomarkers </w:t>
      </w:r>
      <w:hyperlink r:id="rId11">
        <w:r>
          <w:rPr>
            <w:rStyle w:val="Hyperlink"/>
          </w:rPr>
          <w:t>[Eitan et al., 2025]</w:t>
        </w:r>
      </w:hyperlink>
      <w:r>
        <w:t xml:space="preserve"> or microbiome signatures </w:t>
      </w:r>
      <w:hyperlink r:id="rId16">
        <w:r>
          <w:rPr>
            <w:rStyle w:val="Hyperlink"/>
          </w:rPr>
          <w:t>[Ryman et al., 2025]</w:t>
        </w:r>
      </w:hyperlink>
      <w:r>
        <w:t xml:space="preserve"> with early intervention in RBD or other prodromal cohorts, thereby creating the biomarker-enriched trial infrastructure NINDS has identified as critical but which the current portfolio has not yet fully closed. Funding that also addresses the identified gap in digital/objective outcome measures would directly enable the multidisciplinary clinical trial agenda </w:t>
      </w:r>
      <w:hyperlink r:id="rId15">
        <w:r>
          <w:rPr>
            <w:rStyle w:val="Hyperlink"/>
          </w:rPr>
          <w:t>[Hacker et al., 2025]</w:t>
        </w:r>
      </w:hyperlink>
      <w:r>
        <w:t xml:space="preserve"> that the field is building toward.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reporter.nih.gov/project-details/11059852" TargetMode="External"/><Relationship Id="rId10" Type="http://schemas.openxmlformats.org/officeDocument/2006/relationships/hyperlink" Target="https://reporter.nih.gov/project-details/11412006" TargetMode="External"/><Relationship Id="rId11" Type="http://schemas.openxmlformats.org/officeDocument/2006/relationships/hyperlink" Target="https://reporter.nih.gov/project-details/11169963" TargetMode="External"/><Relationship Id="rId12" Type="http://schemas.openxmlformats.org/officeDocument/2006/relationships/hyperlink" Target="https://reporter.nih.gov/project-details/11162397" TargetMode="External"/><Relationship Id="rId13" Type="http://schemas.openxmlformats.org/officeDocument/2006/relationships/hyperlink" Target="https://reporter.nih.gov/project-details/11146462" TargetMode="External"/><Relationship Id="rId14" Type="http://schemas.openxmlformats.org/officeDocument/2006/relationships/hyperlink" Target="https://reporter.nih.gov/project-details/11127717" TargetMode="External"/><Relationship Id="rId15" Type="http://schemas.openxmlformats.org/officeDocument/2006/relationships/hyperlink" Target="https://reporter.nih.gov/project-details/11120945" TargetMode="External"/><Relationship Id="rId16" Type="http://schemas.openxmlformats.org/officeDocument/2006/relationships/hyperlink" Target="https://reporter.nih.gov/project-details/11159594" TargetMode="External"/><Relationship Id="rId17" Type="http://schemas.openxmlformats.org/officeDocument/2006/relationships/hyperlink" Target="https://reporter.nih.gov/project-details/10611810" TargetMode="External"/><Relationship Id="rId18" Type="http://schemas.openxmlformats.org/officeDocument/2006/relationships/hyperlink" Target="https://reporter.nih.gov/project-details/11181309" TargetMode="External"/><Relationship Id="rId19" Type="http://schemas.openxmlformats.org/officeDocument/2006/relationships/hyperlink" Target="https://reporter.nih.gov/project-details/11398474" TargetMode="External"/><Relationship Id="rId20" Type="http://schemas.openxmlformats.org/officeDocument/2006/relationships/hyperlink" Target="https://reporter.nih.gov/project-details/11407178" TargetMode="External"/><Relationship Id="rId21" Type="http://schemas.openxmlformats.org/officeDocument/2006/relationships/hyperlink" Target="https://reporter.nih.gov/project-details/11094926" TargetMode="External"/><Relationship Id="rId22" Type="http://schemas.openxmlformats.org/officeDocument/2006/relationships/hyperlink" Target="https://reporter.nih.gov/project-details/10922177" TargetMode="External"/><Relationship Id="rId23" Type="http://schemas.openxmlformats.org/officeDocument/2006/relationships/hyperlink" Target="https://reporter.nih.gov/project-details/11117045" TargetMode="External"/><Relationship Id="rId24" Type="http://schemas.openxmlformats.org/officeDocument/2006/relationships/hyperlink" Target="https://reporter.nih.gov/project-details/11184167" TargetMode="External"/><Relationship Id="rId25" Type="http://schemas.openxmlformats.org/officeDocument/2006/relationships/hyperlink" Target="https://reporter.nih.gov/project-details/10866369" TargetMode="External"/><Relationship Id="rId26" Type="http://schemas.openxmlformats.org/officeDocument/2006/relationships/hyperlink" Target="https://reporter.nih.gov/project-details/11412044" TargetMode="External"/><Relationship Id="rId27" Type="http://schemas.openxmlformats.org/officeDocument/2006/relationships/hyperlink" Target="https://reporter.nih.gov/project-details/11402953" TargetMode="External"/><Relationship Id="rId28" Type="http://schemas.openxmlformats.org/officeDocument/2006/relationships/hyperlink" Target="https://reporter.nih.gov/project-details/11075384" TargetMode="External"/><Relationship Id="rId29" Type="http://schemas.openxmlformats.org/officeDocument/2006/relationships/hyperlink" Target="https://reporter.nih.gov/project-details/11316920" TargetMode="External"/><Relationship Id="rId30" Type="http://schemas.openxmlformats.org/officeDocument/2006/relationships/hyperlink" Target="https://reporter.nih.gov/project-details/11337369" TargetMode="External"/><Relationship Id="rId31" Type="http://schemas.openxmlformats.org/officeDocument/2006/relationships/hyperlink" Target="https://reporter.nih.gov/project-details/11213837" TargetMode="External"/><Relationship Id="rId32" Type="http://schemas.openxmlformats.org/officeDocument/2006/relationships/hyperlink" Target="https://reporter.nih.gov/project-details/11080984" TargetMode="External"/><Relationship Id="rId33" Type="http://schemas.openxmlformats.org/officeDocument/2006/relationships/hyperlink" Target="https://reporter.nih.gov/project-details/11160597" TargetMode="External"/><Relationship Id="rId34" Type="http://schemas.openxmlformats.org/officeDocument/2006/relationships/hyperlink" Target="https://reporter.nih.gov/project-details/11074287" TargetMode="External"/><Relationship Id="rId35" Type="http://schemas.openxmlformats.org/officeDocument/2006/relationships/hyperlink" Target="https://reporter.nih.gov/project-details/1107035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