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 xml:space="preserve">**Analysis Metadata** — Source: both | Years: </w:t>
      </w:r>
      <w:r>
        <w:t>[2022, 2023, 2024]</w:t>
      </w:r>
      <w:r>
        <w:t xml:space="preserve"> | Unique docs: 446 | Passages: 1650 | Clusters: 161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BioInsight Report: Parkinson Disease Biomarkers — Emerging Themes in Discovery, Validation, and Clinical Application (2022–2024)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Executive Summary</w:t>
      </w:r>
    </w:p>
    <w:p/>
    <w:p>
      <w:r>
        <w:t>Directly addressing *"What are the emerging themes in biomarkers for Parkinson's Disease in both literature and grants from the last 3 years?"*:</w:t>
      </w:r>
    </w:p>
    <w:p/>
    <w:p>
      <w:pPr>
        <w:pStyle w:val="ListBullet"/>
      </w:pPr>
      <w:r>
        <w:t xml:space="preserve">**Alpha-synuclein seed amplification assays (SAA/RT-QuIC) have emerged as the most clinically actionable breakthrough**, enabling detection of misfolded α-synuclein in CSF, skin, and olfactory mucus with high sensitivity and specificity — a near-term diagnostic tool now being refined for staging and subtyping </w:t>
      </w:r>
      <w:r>
        <w:t>[Adler et al., 2022-2024; Majbour et al., 2022; Morley et al., 2022-2023]</w:t>
      </w:r>
      <w:r>
        <w:t>.</w:t>
      </w:r>
    </w:p>
    <w:p>
      <w:pPr>
        <w:pStyle w:val="ListBullet"/>
      </w:pPr>
      <w:r>
        <w:t xml:space="preserve">**Extracellular vesicles (EVs) and exosomes are a rapidly converging priority across both literature and grant funding**, serving simultaneously as biomarker carriers (cytokines, α-synuclein, miRNAs, tau) and as pharmacodynamic readouts in clinical trials — including demonstrated target engagement in a GLP-1 receptor agonist trial </w:t>
      </w:r>
      <w:r>
        <w:t>[Kapogiannis et al., 2022-2023; Chan et al., 2023; Milosevic et al., 2023]</w:t>
      </w:r>
      <w:r>
        <w:t>.</w:t>
      </w:r>
    </w:p>
    <w:p>
      <w:pPr>
        <w:pStyle w:val="ListBullet"/>
      </w:pPr>
      <w:r>
        <w:t xml:space="preserve">**Prodromal and pre-motor biomarker detection is the dominant strategic theme in NIH funding**, with investments spanning sleep (polysomnography), olfactory cleft proteins, color vision, cardiac noradrenergic imaging, and immune signatures in blood — all aimed at catching disease before motor symptom onset </w:t>
      </w:r>
      <w:r>
        <w:t>[Leng et al., 2023; Goldstein DS, 2024; Rosen et al., 2024; Norton et al., 2024]</w:t>
      </w:r>
      <w:r>
        <w:t>.</w:t>
      </w:r>
    </w:p>
    <w:p>
      <w:pPr>
        <w:pStyle w:val="ListBullet"/>
      </w:pPr>
      <w:r>
        <w:t xml:space="preserve">**Multi-omic and composite biomarker strategies are replacing single-analyte approaches**, with plasma proteomics (&gt;1,000 proteins screened), metabolomics, miRNA panels, and genetic stratification being combined to predict cognitive decline, disease subtype, and progression </w:t>
      </w:r>
      <w:r>
        <w:t>[Chen-Plotkin et al., 2022-2023; Mallet et al., 2022; Deng X et al., 2023]</w:t>
      </w:r>
      <w:r>
        <w:t>.</w:t>
      </w:r>
    </w:p>
    <w:p>
      <w:pPr>
        <w:pStyle w:val="ListBullet"/>
      </w:pPr>
      <w:r>
        <w:t xml:space="preserve">**A critical unmet need — acknowledged in both literature and grants — is the absence of validated biomarkers for PD progression and cognitive conversion (PD dementia/DLB)**, representing both the most prominent gap and the highest-value investment target </w:t>
      </w:r>
      <w:r>
        <w:t>[Neilson et al., 2023-2024; Levey AI, 2022-2024; Ryman et al., 2022-2023]</w:t>
      </w:r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Key Entities at a Glance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Role in Parkinson Disease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Key Finding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Citation</w:t>
            </w:r>
          </w:p>
        </w:tc>
      </w:tr>
      <w:tr>
        <w:tc>
          <w:tcPr>
            <w:tcW w:type="dxa" w:w="1728"/>
          </w:tcPr>
          <w:p>
            <w:r/>
            <w:r>
              <w:t>α-Synuclein (αSyn)</w:t>
            </w:r>
          </w:p>
        </w:tc>
        <w:tc>
          <w:tcPr>
            <w:tcW w:type="dxa" w:w="1728"/>
          </w:tcPr>
          <w:p>
            <w:r/>
            <w:r>
              <w:t>Protein</w:t>
            </w:r>
          </w:p>
        </w:tc>
        <w:tc>
          <w:tcPr>
            <w:tcW w:type="dxa" w:w="1728"/>
          </w:tcPr>
          <w:p>
            <w:r/>
            <w:r>
              <w:t>Core pathological hallmark; aggregates as Lewy bodies</w:t>
            </w:r>
          </w:p>
        </w:tc>
        <w:tc>
          <w:tcPr>
            <w:tcW w:type="dxa" w:w="1728"/>
          </w:tcPr>
          <w:p>
            <w:r/>
            <w:r>
              <w:t>Misfolded aggregates detectable by RT-QuIC/PMCA in skin and CSF with high sensitivity/specificity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rStyle w:val="Hyperlink"/>
                </w:rPr>
                <w:t>[Adler et al., 2022-2024]</w:t>
              </w:r>
            </w:hyperlink>
          </w:p>
        </w:tc>
      </w:tr>
      <w:tr>
        <w:tc>
          <w:tcPr>
            <w:tcW w:type="dxa" w:w="1728"/>
          </w:tcPr>
          <w:p>
            <w:r/>
            <w:r>
              <w:t>pS129 (phospho-αSyn)</w:t>
            </w:r>
          </w:p>
        </w:tc>
        <w:tc>
          <w:tcPr>
            <w:tcW w:type="dxa" w:w="1728"/>
          </w:tcPr>
          <w:p>
            <w:r/>
            <w:r>
              <w:t>Protein/PTM</w:t>
            </w:r>
          </w:p>
        </w:tc>
        <w:tc>
          <w:tcPr>
            <w:tcW w:type="dxa" w:w="1728"/>
          </w:tcPr>
          <w:p>
            <w:r/>
            <w:r>
              <w:t>Pathological form of α-synuclein</w:t>
            </w:r>
          </w:p>
        </w:tc>
        <w:tc>
          <w:tcPr>
            <w:tcW w:type="dxa" w:w="1728"/>
          </w:tcPr>
          <w:p>
            <w:r/>
            <w:r>
              <w:t>Refined as a marker for PD and Lewy body dementia by distinguishing normal from abnormal pS129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rStyle w:val="Hyperlink"/>
                </w:rPr>
                <w:t>[Ramalingam et al., 2024]</w:t>
              </w:r>
            </w:hyperlink>
          </w:p>
        </w:tc>
      </w:tr>
      <w:tr>
        <w:tc>
          <w:tcPr>
            <w:tcW w:type="dxa" w:w="1728"/>
          </w:tcPr>
          <w:p>
            <w:r/>
            <w:r>
              <w:t>Neurofilament light (NfL)</w:t>
            </w:r>
          </w:p>
        </w:tc>
        <w:tc>
          <w:tcPr>
            <w:tcW w:type="dxa" w:w="1728"/>
          </w:tcPr>
          <w:p>
            <w:r/>
            <w:r>
              <w:t>Protein</w:t>
            </w:r>
          </w:p>
        </w:tc>
        <w:tc>
          <w:tcPr>
            <w:tcW w:type="dxa" w:w="1728"/>
          </w:tcPr>
          <w:p>
            <w:r/>
            <w:r>
              <w:t>Neuro-axonal damage marker</w:t>
            </w:r>
          </w:p>
        </w:tc>
        <w:tc>
          <w:tcPr>
            <w:tcW w:type="dxa" w:w="1728"/>
          </w:tcPr>
          <w:p>
            <w:r/>
            <w:r>
              <w:t>Validated as biomarker of neuro-axonal damage with current and potential clinical applications</w:t>
            </w:r>
          </w:p>
        </w:tc>
        <w:tc>
          <w:tcPr>
            <w:tcW w:type="dxa" w:w="1728"/>
          </w:tcPr>
          <w:p>
            <w:r/>
            <w:hyperlink r:id="rId11">
              <w:r>
                <w:rPr>
                  <w:rStyle w:val="Hyperlink"/>
                </w:rPr>
                <w:t>[Khalil et al., 2024]</w:t>
              </w:r>
            </w:hyperlink>
          </w:p>
        </w:tc>
      </w:tr>
      <w:tr>
        <w:tc>
          <w:tcPr>
            <w:tcW w:type="dxa" w:w="1728"/>
          </w:tcPr>
          <w:p>
            <w:r/>
            <w:r>
              <w:t>GBA / LRRK2</w:t>
            </w:r>
          </w:p>
        </w:tc>
        <w:tc>
          <w:tcPr>
            <w:tcW w:type="dxa" w:w="1728"/>
          </w:tcPr>
          <w:p>
            <w:r/>
            <w:r>
              <w:t>Genes</w:t>
            </w:r>
          </w:p>
        </w:tc>
        <w:tc>
          <w:tcPr>
            <w:tcW w:type="dxa" w:w="1728"/>
          </w:tcPr>
          <w:p>
            <w:r/>
            <w:r>
              <w:t>Genetic risk variants for PD</w:t>
            </w:r>
          </w:p>
        </w:tc>
        <w:tc>
          <w:tcPr>
            <w:tcW w:type="dxa" w:w="1728"/>
          </w:tcPr>
          <w:p>
            <w:r/>
            <w:r>
              <w:t>Identify enriched trial cohorts and serve as pharmacodynamic biomarker targets in ongoing disease-modifying trials</w:t>
            </w:r>
          </w:p>
        </w:tc>
        <w:tc>
          <w:tcPr>
            <w:tcW w:type="dxa" w:w="1728"/>
          </w:tcPr>
          <w:p>
            <w:r/>
            <w:hyperlink r:id="rId12">
              <w:r>
                <w:rPr>
                  <w:rStyle w:val="Hyperlink"/>
                </w:rPr>
                <w:t>[Ozelius et al., 2022-2023]</w:t>
              </w:r>
            </w:hyperlink>
          </w:p>
        </w:tc>
      </w:tr>
      <w:tr>
        <w:tc>
          <w:tcPr>
            <w:tcW w:type="dxa" w:w="1728"/>
          </w:tcPr>
          <w:p>
            <w:r/>
            <w:r>
              <w:t>Tau (acetylated)</w:t>
            </w:r>
          </w:p>
        </w:tc>
        <w:tc>
          <w:tcPr>
            <w:tcW w:type="dxa" w:w="1728"/>
          </w:tcPr>
          <w:p>
            <w:r/>
            <w:r>
              <w:t>Protein</w:t>
            </w:r>
          </w:p>
        </w:tc>
        <w:tc>
          <w:tcPr>
            <w:tcW w:type="dxa" w:w="1728"/>
          </w:tcPr>
          <w:p>
            <w:r/>
            <w:r>
              <w:t>Neurodegeneration co-pathology</w:t>
            </w:r>
          </w:p>
        </w:tc>
        <w:tc>
          <w:tcPr>
            <w:tcW w:type="dxa" w:w="1728"/>
          </w:tcPr>
          <w:p>
            <w:r/>
            <w:r>
              <w:t>Plasma acetylated-tau validated as biomarker of brain nerve cell degeneration in mice and humans</w:t>
            </w:r>
          </w:p>
        </w:tc>
        <w:tc>
          <w:tcPr>
            <w:tcW w:type="dxa" w:w="1728"/>
          </w:tcPr>
          <w:p>
            <w:r/>
            <w:hyperlink r:id="rId13">
              <w:r>
                <w:rPr>
                  <w:rStyle w:val="Hyperlink"/>
                </w:rPr>
                <w:t>[Pieper et al., 2023]</w:t>
              </w:r>
            </w:hyperlink>
          </w:p>
        </w:tc>
      </w:tr>
      <w:tr>
        <w:tc>
          <w:tcPr>
            <w:tcW w:type="dxa" w:w="1728"/>
          </w:tcPr>
          <w:p>
            <w:r/>
            <w:r>
              <w:t>Extracellular vesicles (EVs/exosomes)</w:t>
            </w:r>
          </w:p>
        </w:tc>
        <w:tc>
          <w:tcPr>
            <w:tcW w:type="dxa" w:w="1728"/>
          </w:tcPr>
          <w:p>
            <w:r/>
            <w:r>
              <w:t>Biological structure</w:t>
            </w:r>
          </w:p>
        </w:tc>
        <w:tc>
          <w:tcPr>
            <w:tcW w:type="dxa" w:w="1728"/>
          </w:tcPr>
          <w:p>
            <w:r/>
            <w:r>
              <w:t>Carriers of pathogenic proteins and miRNAs in blood</w:t>
            </w:r>
          </w:p>
        </w:tc>
        <w:tc>
          <w:tcPr>
            <w:tcW w:type="dxa" w:w="1728"/>
          </w:tcPr>
          <w:p>
            <w:r/>
            <w:r>
              <w:t>Neuronal EVs carry pathogenic biomarkers detectable in blood; exosome profiles predicted treatment response in exenatide trial</w:t>
            </w:r>
          </w:p>
        </w:tc>
        <w:tc>
          <w:tcPr>
            <w:tcW w:type="dxa" w:w="1728"/>
          </w:tcPr>
          <w:p>
            <w:r/>
            <w:r>
              <w:t>[Milosevic et al., 2023; Kapogiannis et al., 2022-2023]</w:t>
            </w:r>
          </w:p>
        </w:tc>
      </w:tr>
      <w:tr>
        <w:tc>
          <w:tcPr>
            <w:tcW w:type="dxa" w:w="1728"/>
          </w:tcPr>
          <w:p>
            <w:r/>
            <w:r>
              <w:t>Proinflammatory cytokines</w:t>
            </w:r>
          </w:p>
        </w:tc>
        <w:tc>
          <w:tcPr>
            <w:tcW w:type="dxa" w:w="1728"/>
          </w:tcPr>
          <w:p>
            <w:r/>
            <w:r>
              <w:t>Proteins/Pathway</w:t>
            </w:r>
          </w:p>
        </w:tc>
        <w:tc>
          <w:tcPr>
            <w:tcW w:type="dxa" w:w="1728"/>
          </w:tcPr>
          <w:p>
            <w:r/>
            <w:r>
              <w:t>Neuroinflammation and progression</w:t>
            </w:r>
          </w:p>
        </w:tc>
        <w:tc>
          <w:tcPr>
            <w:tcW w:type="dxa" w:w="1728"/>
          </w:tcPr>
          <w:p>
            <w:r/>
            <w:r>
              <w:t>Baseline EV-derived proinflammatory cytokines predict postural instability and gait difficulty (PIGD) progression</w:t>
            </w:r>
          </w:p>
        </w:tc>
        <w:tc>
          <w:tcPr>
            <w:tcW w:type="dxa" w:w="1728"/>
          </w:tcPr>
          <w:p>
            <w:r/>
            <w:hyperlink r:id="rId14">
              <w:r>
                <w:rPr>
                  <w:rStyle w:val="Hyperlink"/>
                </w:rPr>
                <w:t>[Chan et al., 2023]</w:t>
              </w:r>
            </w:hyperlink>
          </w:p>
        </w:tc>
      </w:tr>
      <w:tr>
        <w:tc>
          <w:tcPr>
            <w:tcW w:type="dxa" w:w="1728"/>
          </w:tcPr>
          <w:p>
            <w:r/>
            <w:r>
              <w:t>miR-218-5p / miR-320a-5p</w:t>
            </w:r>
          </w:p>
        </w:tc>
        <w:tc>
          <w:tcPr>
            <w:tcW w:type="dxa" w:w="1728"/>
          </w:tcPr>
          <w:p>
            <w:r/>
            <w:r>
              <w:t>miRNA</w:t>
            </w:r>
          </w:p>
        </w:tc>
        <w:tc>
          <w:tcPr>
            <w:tcW w:type="dxa" w:w="1728"/>
          </w:tcPr>
          <w:p>
            <w:r/>
            <w:r>
              <w:t>Dopaminergic pathway regulation</w:t>
            </w:r>
          </w:p>
        </w:tc>
        <w:tc>
          <w:tcPr>
            <w:tcW w:type="dxa" w:w="1728"/>
          </w:tcPr>
          <w:p>
            <w:r/>
            <w:r>
              <w:t>ROC AUC &gt;75% in depressed PD patients; regulate dopaminergic synapse, axon guidance, and circadian rhythm pathways</w:t>
            </w:r>
          </w:p>
        </w:tc>
        <w:tc>
          <w:tcPr>
            <w:tcW w:type="dxa" w:w="1728"/>
          </w:tcPr>
          <w:p>
            <w:r/>
            <w:hyperlink r:id="rId15">
              <w:r>
                <w:rPr>
                  <w:rStyle w:val="Hyperlink"/>
                </w:rPr>
                <w:t>[Wan Z et al., 2023]</w:t>
              </w:r>
            </w:hyperlink>
          </w:p>
        </w:tc>
      </w:tr>
      <w:tr>
        <w:tc>
          <w:tcPr>
            <w:tcW w:type="dxa" w:w="1728"/>
          </w:tcPr>
          <w:p>
            <w:r/>
            <w:r>
              <w:t>hsa-miR-375-3p / hsa-miR-423-3p</w:t>
            </w:r>
          </w:p>
        </w:tc>
        <w:tc>
          <w:tcPr>
            <w:tcW w:type="dxa" w:w="1728"/>
          </w:tcPr>
          <w:p>
            <w:r/>
            <w:r>
              <w:t>miRNA</w:t>
            </w:r>
          </w:p>
        </w:tc>
        <w:tc>
          <w:tcPr>
            <w:tcW w:type="dxa" w:w="1728"/>
          </w:tcPr>
          <w:p>
            <w:r/>
            <w:r>
              <w:t>PD pathogenesis regulation</w:t>
            </w:r>
          </w:p>
        </w:tc>
        <w:tc>
          <w:tcPr>
            <w:tcW w:type="dxa" w:w="1728"/>
          </w:tcPr>
          <w:p>
            <w:r/>
            <w:r>
              <w:t>Identified via bioinformatic analysis with characterized regulatory relationships to transcription factors in PD pathogenesis</w:t>
            </w:r>
          </w:p>
        </w:tc>
        <w:tc>
          <w:tcPr>
            <w:tcW w:type="dxa" w:w="1728"/>
          </w:tcPr>
          <w:p>
            <w:r/>
            <w:hyperlink r:id="rId16">
              <w:r>
                <w:rPr>
                  <w:rStyle w:val="Hyperlink"/>
                </w:rPr>
                <w:t>[Zameer F, 2024]</w:t>
              </w:r>
            </w:hyperlink>
          </w:p>
        </w:tc>
      </w:tr>
      <w:tr>
        <w:tc>
          <w:tcPr>
            <w:tcW w:type="dxa" w:w="1728"/>
          </w:tcPr>
          <w:p>
            <w:r/>
            <w:r>
              <w:t>α-Syn/DJ-1 ratio</w:t>
            </w:r>
          </w:p>
        </w:tc>
        <w:tc>
          <w:tcPr>
            <w:tcW w:type="dxa" w:w="1728"/>
          </w:tcPr>
          <w:p>
            <w:r/>
            <w:r>
              <w:t>Protein ratio</w:t>
            </w:r>
          </w:p>
        </w:tc>
        <w:tc>
          <w:tcPr>
            <w:tcW w:type="dxa" w:w="1728"/>
          </w:tcPr>
          <w:p>
            <w:r/>
            <w:r>
              <w:t>Prodromal/early diagnostic biomarker</w:t>
            </w:r>
          </w:p>
        </w:tc>
        <w:tc>
          <w:tcPr>
            <w:tcW w:type="dxa" w:w="1728"/>
          </w:tcPr>
          <w:p>
            <w:r/>
            <w:r>
              <w:t>Discriminates PD from controls in olfactory cleft mucus with high sensitivity and specificity</w:t>
            </w:r>
          </w:p>
        </w:tc>
        <w:tc>
          <w:tcPr>
            <w:tcW w:type="dxa" w:w="1728"/>
          </w:tcPr>
          <w:p>
            <w:r/>
            <w:hyperlink r:id="rId17">
              <w:r>
                <w:rPr>
                  <w:rStyle w:val="Hyperlink"/>
                </w:rPr>
                <w:t>[Morley et al., 2022-2023]</w:t>
              </w:r>
            </w:hyperlink>
          </w:p>
        </w:tc>
      </w:tr>
      <w:tr>
        <w:tc>
          <w:tcPr>
            <w:tcW w:type="dxa" w:w="1728"/>
          </w:tcPr>
          <w:p>
            <w:r/>
            <w:r>
              <w:t>VMAT2</w:t>
            </w:r>
          </w:p>
        </w:tc>
        <w:tc>
          <w:tcPr>
            <w:tcW w:type="dxa" w:w="1728"/>
          </w:tcPr>
          <w:p>
            <w:r/>
            <w:r>
              <w:t>Protein/PET target</w:t>
            </w:r>
          </w:p>
        </w:tc>
        <w:tc>
          <w:tcPr>
            <w:tcW w:type="dxa" w:w="1728"/>
          </w:tcPr>
          <w:p>
            <w:r/>
            <w:r>
              <w:t>Dopaminergic nerve terminal integrity</w:t>
            </w:r>
          </w:p>
        </w:tc>
        <w:tc>
          <w:tcPr>
            <w:tcW w:type="dxa" w:w="1728"/>
          </w:tcPr>
          <w:p>
            <w:r/>
            <w:r>
              <w:t>Sensitive measure for monitoring neurodegenerative progression over 2 years; useful for trial patient stratification</w:t>
            </w:r>
          </w:p>
        </w:tc>
        <w:tc>
          <w:tcPr>
            <w:tcW w:type="dxa" w:w="1728"/>
          </w:tcPr>
          <w:p>
            <w:r/>
            <w:hyperlink r:id="rId18">
              <w:r>
                <w:rPr>
                  <w:rStyle w:val="Hyperlink"/>
                </w:rPr>
                <w:t>[Beauchamp et al., 2023]</w:t>
              </w:r>
            </w:hyperlink>
          </w:p>
        </w:tc>
      </w:tr>
      <w:tr>
        <w:tc>
          <w:tcPr>
            <w:tcW w:type="dxa" w:w="1728"/>
          </w:tcPr>
          <w:p>
            <w:r/>
            <w:r>
              <w:t>Klotho</w:t>
            </w:r>
          </w:p>
        </w:tc>
        <w:tc>
          <w:tcPr>
            <w:tcW w:type="dxa" w:w="1728"/>
          </w:tcPr>
          <w:p>
            <w:r/>
            <w:r>
              <w:t>Protein</w:t>
            </w:r>
          </w:p>
        </w:tc>
        <w:tc>
          <w:tcPr>
            <w:tcW w:type="dxa" w:w="1728"/>
          </w:tcPr>
          <w:p>
            <w:r/>
            <w:r>
              <w:t>Cognitive protection in PD</w:t>
            </w:r>
          </w:p>
        </w:tc>
        <w:tc>
          <w:tcPr>
            <w:tcW w:type="dxa" w:w="1728"/>
          </w:tcPr>
          <w:p>
            <w:r/>
            <w:r>
              <w:t>Associates with better cognitive function in PD patients</w:t>
            </w:r>
          </w:p>
        </w:tc>
        <w:tc>
          <w:tcPr>
            <w:tcW w:type="dxa" w:w="1728"/>
          </w:tcPr>
          <w:p>
            <w:r/>
            <w:hyperlink r:id="rId19">
              <w:r>
                <w:rPr>
                  <w:rStyle w:val="Hyperlink"/>
                </w:rPr>
                <w:t>[Luthra et al., 2023-2024]</w:t>
              </w:r>
            </w:hyperlink>
          </w:p>
        </w:tc>
      </w:tr>
      <w:tr>
        <w:tc>
          <w:tcPr>
            <w:tcW w:type="dxa" w:w="1728"/>
          </w:tcPr>
          <w:p>
            <w:r/>
            <w:r>
              <w:t>VPS35</w:t>
            </w:r>
          </w:p>
        </w:tc>
        <w:tc>
          <w:tcPr>
            <w:tcW w:type="dxa" w:w="1728"/>
          </w:tcPr>
          <w:p>
            <w:r/>
            <w:r>
              <w:t>Protein/Gene</w:t>
            </w:r>
          </w:p>
        </w:tc>
        <w:tc>
          <w:tcPr>
            <w:tcW w:type="dxa" w:w="1728"/>
          </w:tcPr>
          <w:p>
            <w:r/>
            <w:r>
              <w:t>Endosomal dysfunction</w:t>
            </w:r>
          </w:p>
        </w:tc>
        <w:tc>
          <w:tcPr>
            <w:tcW w:type="dxa" w:w="1728"/>
          </w:tcPr>
          <w:p>
            <w:r/>
            <w:r>
              <w:t>Implicated in multiple neurodegenerative disorders, limiting disease-specific biomarker utility</w:t>
            </w:r>
          </w:p>
        </w:tc>
        <w:tc>
          <w:tcPr>
            <w:tcW w:type="dxa" w:w="1728"/>
          </w:tcPr>
          <w:p>
            <w:r/>
            <w:hyperlink r:id="rId20">
              <w:r>
                <w:rPr>
                  <w:rStyle w:val="Hyperlink"/>
                </w:rPr>
                <w:t>[Spassov et al., 2022-2024]</w:t>
              </w:r>
            </w:hyperlink>
          </w:p>
        </w:tc>
      </w:tr>
      <w:tr>
        <w:tc>
          <w:tcPr>
            <w:tcW w:type="dxa" w:w="1728"/>
          </w:tcPr>
          <w:p>
            <w:r/>
            <w:r>
              <w:t>18F-dopamine PET</w:t>
            </w:r>
          </w:p>
        </w:tc>
        <w:tc>
          <w:tcPr>
            <w:tcW w:type="dxa" w:w="1728"/>
          </w:tcPr>
          <w:p>
            <w:r/>
            <w:r>
              <w:t>Imaging modality</w:t>
            </w:r>
          </w:p>
        </w:tc>
        <w:tc>
          <w:tcPr>
            <w:tcW w:type="dxa" w:w="1728"/>
          </w:tcPr>
          <w:p>
            <w:r/>
            <w:r>
              <w:t>Autonomic/cardiac neurodegeneration</w:t>
            </w:r>
          </w:p>
        </w:tc>
        <w:tc>
          <w:tcPr>
            <w:tcW w:type="dxa" w:w="1728"/>
          </w:tcPr>
          <w:p>
            <w:r/>
            <w:r>
              <w:t>Detects cardiac noradrenergic deficiency to identify preclinical central Lewy body diseases</w:t>
            </w:r>
          </w:p>
        </w:tc>
        <w:tc>
          <w:tcPr>
            <w:tcW w:type="dxa" w:w="1728"/>
          </w:tcPr>
          <w:p>
            <w:r/>
            <w:hyperlink r:id="rId21">
              <w:r>
                <w:rPr>
                  <w:rStyle w:val="Hyperlink"/>
                </w:rPr>
                <w:t>[Goldstein DS, 2024]</w:t>
              </w:r>
            </w:hyperlink>
          </w:p>
        </w:tc>
      </w:tr>
      <w:tr>
        <w:tc>
          <w:tcPr>
            <w:tcW w:type="dxa" w:w="1728"/>
          </w:tcPr>
          <w:p>
            <w:r/>
            <w:r>
              <w:t>Resting-state fMRI (RSFC)</w:t>
            </w:r>
          </w:p>
        </w:tc>
        <w:tc>
          <w:tcPr>
            <w:tcW w:type="dxa" w:w="1728"/>
          </w:tcPr>
          <w:p>
            <w:r/>
            <w:r>
              <w:t>Neuroimaging</w:t>
            </w:r>
          </w:p>
        </w:tc>
        <w:tc>
          <w:tcPr>
            <w:tcW w:type="dxa" w:w="1728"/>
          </w:tcPr>
          <w:p>
            <w:r/>
            <w:r>
              <w:t>Brain network organization</w:t>
            </w:r>
          </w:p>
        </w:tc>
        <w:tc>
          <w:tcPr>
            <w:tcW w:type="dxa" w:w="1728"/>
          </w:tcPr>
          <w:p>
            <w:r/>
            <w:r>
              <w:t>Individual-level brain network mapping provides non-invasive, reliable biomarker for PD</w:t>
            </w:r>
          </w:p>
        </w:tc>
        <w:tc>
          <w:tcPr>
            <w:tcW w:type="dxa" w:w="1728"/>
          </w:tcPr>
          <w:p>
            <w:r/>
            <w:hyperlink r:id="rId22">
              <w:r>
                <w:rPr>
                  <w:rStyle w:val="Hyperlink"/>
                </w:rPr>
                <w:t>[Campbell et al., 2023-2024]</w:t>
              </w:r>
            </w:hyperlink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What Published Research Shows</w:t>
      </w:r>
    </w:p>
    <w:p/>
    <w:p>
      <w:r>
        <w:t>Published literature from 2022–2024 presents a field in rapid transition: from identifying candidate biomarkers toward validating multi-modal, biologically grounded tools that can serve both early diagnosis and disease monitoring. The clearest theme is a shift away from single-analyte approaches toward composite, cross-platform strategies that integrate molecular, imaging, and digital signals.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Theme 1: Alpha-Synuclein Detection — From Tissue to Accessible Biofluids</w:t>
      </w:r>
    </w:p>
    <w:p/>
    <w:p>
      <w:r>
        <w:t>This theme is arguably the most transformative in the published literature, directly addressing the longstanding gap of detecting the core PD pathological protein in living patients. Seed amplification assays represent a paradigm shift in specificity.</w:t>
      </w:r>
    </w:p>
    <w:p/>
    <w:p>
      <w:pPr>
        <w:pStyle w:val="ListBullet"/>
      </w:pPr>
      <w:r>
        <w:t xml:space="preserve">α-Synuclein RT-QuIC has emerged as a promising assay to detect misfolded α-synuclein in clinically or neuropathologically established patients with synucleinopathies </w:t>
      </w:r>
      <w:hyperlink r:id="rId23">
        <w:r>
          <w:rPr>
            <w:rStyle w:val="Hyperlink"/>
          </w:rPr>
          <w:t>[Hall et al., 2022]</w:t>
        </w:r>
      </w:hyperlink>
      <w:r>
        <w:t>.</w:t>
      </w:r>
    </w:p>
    <w:p>
      <w:pPr>
        <w:pStyle w:val="ListBullet"/>
      </w:pPr>
      <w:r>
        <w:t xml:space="preserve">Disease-associated α-synuclein aggregates detected by combined SAA and ELISA assays provide stage-specific diagnostic information correlating with clinical measures of disease severity in Parkinson Disease </w:t>
      </w:r>
      <w:hyperlink r:id="rId24">
        <w:r>
          <w:rPr>
            <w:rStyle w:val="Hyperlink"/>
          </w:rPr>
          <w:t>[Majbour et al., 2022]</w:t>
        </w:r>
      </w:hyperlink>
      <w:r>
        <w:t>.</w:t>
      </w:r>
    </w:p>
    <w:p>
      <w:pPr>
        <w:pStyle w:val="ListBullet"/>
      </w:pPr>
      <w:r>
        <w:t xml:space="preserve">CSF-seeded α-synuclein oligomers accurately discriminate patients with PD from normal controls and correlate with PD severity (Class III evidence) </w:t>
      </w:r>
      <w:hyperlink r:id="rId24">
        <w:r>
          <w:rPr>
            <w:rStyle w:val="Hyperlink"/>
          </w:rPr>
          <w:t>[Majbour et al., 2022]</w:t>
        </w:r>
      </w:hyperlink>
      <w:r>
        <w:t>.</w:t>
      </w:r>
    </w:p>
    <w:p>
      <w:pPr>
        <w:pStyle w:val="ListBullet"/>
      </w:pPr>
      <w:r>
        <w:t xml:space="preserve">PD remains a clinical diagnosis in the absence of valid, direct, objective biomarkers of intracellular misfolded α-synuclein, underscoring why these advances matter </w:t>
      </w:r>
      <w:hyperlink r:id="rId25">
        <w:r>
          <w:rPr>
            <w:rStyle w:val="Hyperlink"/>
          </w:rPr>
          <w:t>[Maiti B, 2023]</w:t>
        </w:r>
      </w:hyperlink>
      <w:r>
        <w:t>.</w:t>
      </w:r>
    </w:p>
    <w:p>
      <w:pPr>
        <w:pStyle w:val="ListBullet"/>
      </w:pPr>
      <w:r>
        <w:t xml:space="preserve">Alpha-synuclein-containing extracellular vesicles and Poly(ADP-ribose) polymerase (PARP-1) activity have been identified as drivers of PD pathogenesis and putative PD biomarkers </w:t>
      </w:r>
      <w:hyperlink r:id="rId26">
        <w:r>
          <w:rPr>
            <w:rStyle w:val="Hyperlink"/>
          </w:rPr>
          <w:t>[Lucien F et al., 2022]</w:t>
        </w:r>
      </w:hyperlink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Theme 2: Plasma and Peripheral Biomarkers — Extracellular Vesicles, Proteins, and Metabolomics</w:t>
      </w:r>
    </w:p>
    <w:p/>
    <w:p>
      <w:r>
        <w:t>A major emerging theme in published research is the exploitation of blood-based biomarkers, particularly through EVs and metabolite profiles, which offer scalable, minimally invasive windows into brain pathology.</w:t>
      </w:r>
    </w:p>
    <w:p/>
    <w:p>
      <w:pPr>
        <w:pStyle w:val="ListBullet"/>
      </w:pPr>
      <w:r>
        <w:t xml:space="preserve">Plasma biomarkers show collaborative utility for characterizing both Parkinson disease development and progression in cross-sectional and longitudinal study designs </w:t>
      </w:r>
      <w:hyperlink r:id="rId27">
        <w:r>
          <w:rPr>
            <w:rStyle w:val="Hyperlink"/>
          </w:rPr>
          <w:t>[Jiao et al., 2023]</w:t>
        </w:r>
      </w:hyperlink>
      <w:r>
        <w:t>.</w:t>
      </w:r>
    </w:p>
    <w:p>
      <w:pPr>
        <w:pStyle w:val="ListBullet"/>
      </w:pPr>
      <w:r>
        <w:t xml:space="preserve">Cytokine profiles within plasma extracellular vesicles function as progression biomarkers in Parkinson's disease </w:t>
      </w:r>
      <w:hyperlink r:id="rId14">
        <w:r>
          <w:rPr>
            <w:rStyle w:val="Hyperlink"/>
          </w:rPr>
          <w:t>[Chan et al., 2023]</w:t>
        </w:r>
      </w:hyperlink>
      <w:r>
        <w:t>.</w:t>
      </w:r>
    </w:p>
    <w:p>
      <w:pPr>
        <w:pStyle w:val="ListBullet"/>
      </w:pPr>
      <w:r>
        <w:t xml:space="preserve">Baseline levels of plasma extracellular vesicle-derived proinflammatory cytokines can predict progression of postural instability and gait difficulty (PIGD), the most severe motor symptom of Parkinson's disease </w:t>
      </w:r>
      <w:hyperlink r:id="rId14">
        <w:r>
          <w:rPr>
            <w:rStyle w:val="Hyperlink"/>
          </w:rPr>
          <w:t>[Chan et al., 2023]</w:t>
        </w:r>
      </w:hyperlink>
      <w:r>
        <w:t>.</w:t>
      </w:r>
    </w:p>
    <w:p>
      <w:pPr>
        <w:pStyle w:val="ListBullet"/>
      </w:pPr>
      <w:r>
        <w:t xml:space="preserve">A metabolic biomarker discriminated PD patients from healthy subjects and detected early PD development before motor symptoms appeared, validated across 3 animal models and 3 de novo PD patient cohorts </w:t>
      </w:r>
      <w:hyperlink r:id="rId28">
        <w:r>
          <w:rPr>
            <w:rStyle w:val="Hyperlink"/>
          </w:rPr>
          <w:t>[Mallet et al., 2022]</w:t>
        </w:r>
      </w:hyperlink>
      <w:r>
        <w:t>.</w:t>
      </w:r>
    </w:p>
    <w:p>
      <w:pPr>
        <w:pStyle w:val="ListBullet"/>
      </w:pPr>
      <w:r>
        <w:t xml:space="preserve">A composite biomarker comprising 6 metabolites was constructed for Parkinson's disease prediction at early stages </w:t>
      </w:r>
      <w:hyperlink r:id="rId28">
        <w:r>
          <w:rPr>
            <w:rStyle w:val="Hyperlink"/>
          </w:rPr>
          <w:t>[Mallet D et al., 2022]</w:t>
        </w:r>
      </w:hyperlink>
      <w:r>
        <w:t>.</w:t>
      </w:r>
    </w:p>
    <w:p>
      <w:pPr>
        <w:pStyle w:val="ListBullet"/>
      </w:pPr>
      <w:r>
        <w:t xml:space="preserve">Neurofilaments are validated as biomarkers of neuro-axonal damage in Parkinson disease with current value and potential clinical applications </w:t>
      </w:r>
      <w:hyperlink r:id="rId11">
        <w:r>
          <w:rPr>
            <w:rStyle w:val="Hyperlink"/>
          </w:rPr>
          <w:t>[Khalil et al., 2024]</w:t>
        </w:r>
      </w:hyperlink>
      <w:r>
        <w:t>.</w:t>
      </w:r>
    </w:p>
    <w:p>
      <w:pPr>
        <w:pStyle w:val="ListBullet"/>
      </w:pPr>
      <w:r>
        <w:t xml:space="preserve">Neurofilament light (NfL) may serve as a potential biomarker for neurodegeneration and PD outcomes </w:t>
      </w:r>
      <w:hyperlink r:id="rId29">
        <w:r>
          <w:rPr>
            <w:rStyle w:val="Hyperlink"/>
          </w:rPr>
          <w:t>[Halloway et al., 2022]</w:t>
        </w:r>
      </w:hyperlink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Theme 3: Imaging Biomarkers — PET, MRI, and Ocular Technologies</w:t>
      </w:r>
    </w:p>
    <w:p/>
    <w:p>
      <w:r>
        <w:t>Neuroimaging biomarkers are diversifying rapidly, with emerging tools ranging from established nuclear medicine techniques to novel ocular and brainstem imaging approaches, all focused on earlier and more precise staging.</w:t>
      </w:r>
    </w:p>
    <w:p/>
    <w:p>
      <w:pPr>
        <w:pStyle w:val="ListBullet"/>
      </w:pPr>
      <w:r>
        <w:t xml:space="preserve">VMAT2 PET imaging enables enhanced diagnostic accuracy and detects early neurodegenerative changes associated with prodromal Parkinson Disease </w:t>
      </w:r>
      <w:hyperlink r:id="rId18">
        <w:r>
          <w:rPr>
            <w:rStyle w:val="Hyperlink"/>
          </w:rPr>
          <w:t>[Beauchamp et al., 2023]</w:t>
        </w:r>
      </w:hyperlink>
      <w:r>
        <w:t>.</w:t>
      </w:r>
    </w:p>
    <w:p>
      <w:pPr>
        <w:pStyle w:val="ListBullet"/>
      </w:pPr>
      <w:r>
        <w:t xml:space="preserve">VMAT2 PET imaging provides a sensitive measure to monitor neurodegenerative progression of PD over a 2-year window with implications for diagnostics and clinical trial patient stratification (Class IV evidence) </w:t>
      </w:r>
      <w:hyperlink r:id="rId18">
        <w:r>
          <w:rPr>
            <w:rStyle w:val="Hyperlink"/>
          </w:rPr>
          <w:t>[Beauchamp et al., 2023]</w:t>
        </w:r>
      </w:hyperlink>
      <w:r>
        <w:t>.</w:t>
      </w:r>
    </w:p>
    <w:p>
      <w:pPr>
        <w:pStyle w:val="ListBullet"/>
      </w:pPr>
      <w:r>
        <w:t xml:space="preserve">PET and SPECT imaging biomarkers can distinguish Parkinson Disease from atypical parkinsonism and provide biomarkers for neurodegenerative parkinsonism </w:t>
      </w:r>
      <w:hyperlink r:id="rId30">
        <w:r>
          <w:rPr>
            <w:rStyle w:val="Hyperlink"/>
          </w:rPr>
          <w:t>[Horowitz et al., 2022]</w:t>
        </w:r>
      </w:hyperlink>
      <w:r>
        <w:t>.</w:t>
      </w:r>
    </w:p>
    <w:p>
      <w:pPr>
        <w:pStyle w:val="ListBullet"/>
      </w:pPr>
      <w:r>
        <w:t xml:space="preserve">Cardiac noradrenergic deficiency detected by 18F-dopamine positron emission tomography identifies preclinical central Lewy body diseases </w:t>
      </w:r>
      <w:hyperlink r:id="rId21">
        <w:r>
          <w:rPr>
            <w:rStyle w:val="Hyperlink"/>
          </w:rPr>
          <w:t>[Goldstein DS, 2024]</w:t>
        </w:r>
      </w:hyperlink>
      <w:r>
        <w:t>.</w:t>
      </w:r>
    </w:p>
    <w:p>
      <w:pPr>
        <w:pStyle w:val="ListBullet"/>
      </w:pPr>
      <w:r>
        <w:t xml:space="preserve">Multimodal imaging of the substantia nigra and retina is a promising tool to aid diagnosis and management of Parkinson disease </w:t>
      </w:r>
      <w:hyperlink r:id="rId31">
        <w:r>
          <w:rPr>
            <w:rStyle w:val="Hyperlink"/>
          </w:rPr>
          <w:t>[Lee et al., 2022]</w:t>
        </w:r>
      </w:hyperlink>
      <w:r>
        <w:t>.</w:t>
      </w:r>
    </w:p>
    <w:p>
      <w:pPr>
        <w:pStyle w:val="ListBullet"/>
      </w:pPr>
      <w:r>
        <w:t xml:space="preserve">OCT-Angiography biomarkers show potential long-term effectiveness in Parkinson disease detection </w:t>
      </w:r>
      <w:hyperlink r:id="rId32">
        <w:r>
          <w:rPr>
            <w:rStyle w:val="Hyperlink"/>
          </w:rPr>
          <w:t>[Christou et al., 2022]</w:t>
        </w:r>
      </w:hyperlink>
      <w:r>
        <w:t>.</w:t>
      </w:r>
    </w:p>
    <w:p>
      <w:pPr>
        <w:pStyle w:val="ListBullet"/>
      </w:pPr>
      <w:r>
        <w:t xml:space="preserve">Eye-tracking technology integrated with artificial intelligence provides insights into neurodegenerative diseases including Parkinson disease, with eye movements having potential as biomarkers despite existing limitations </w:t>
      </w:r>
      <w:hyperlink r:id="rId33">
        <w:r>
          <w:rPr>
            <w:rStyle w:val="Hyperlink"/>
          </w:rPr>
          <w:t>[Sekar et al., 2024; Suh et al., 2023]</w:t>
        </w:r>
      </w:hyperlink>
      <w:r>
        <w:t>.</w:t>
      </w:r>
    </w:p>
    <w:p>
      <w:pPr>
        <w:pStyle w:val="ListBullet"/>
      </w:pPr>
      <w:r>
        <w:t xml:space="preserve">Machine learning models integrated into ocular imaging biomarkers can provide prognostic predictions of neurodegenerative disease </w:t>
      </w:r>
      <w:hyperlink r:id="rId34">
        <w:r>
          <w:rPr>
            <w:rStyle w:val="Hyperlink"/>
          </w:rPr>
          <w:t>[Suh et al., 2023]</w:t>
        </w:r>
      </w:hyperlink>
      <w:r>
        <w:t>.</w:t>
      </w:r>
    </w:p>
    <w:p>
      <w:pPr>
        <w:pStyle w:val="ListBullet"/>
      </w:pPr>
      <w:r>
        <w:t xml:space="preserve">Neuroimaging research trends in Parkinson disease include T1 weighted structural MRI with voxel-based morphometry, PD cognitive disorder assessment, and neuroimaging features of Lewy body dementia and Alzheimer disease </w:t>
      </w:r>
      <w:hyperlink r:id="rId35">
        <w:r>
          <w:rPr>
            <w:rStyle w:val="Hyperlink"/>
          </w:rPr>
          <w:t>[Li et al., 2022]</w:t>
        </w:r>
      </w:hyperlink>
      <w:r>
        <w:t>.</w:t>
      </w:r>
    </w:p>
    <w:p>
      <w:pPr>
        <w:pStyle w:val="ListBullet"/>
      </w:pPr>
      <w:r>
        <w:t xml:space="preserve">Binary and continuous cerebellum-basal ganglia-frontal structural covariance network edges have emerged as potential predictive biomarkers for motor outcome in Parkinson's Disease patients undergoing subthalamic nucleus deep brain stimulation </w:t>
      </w:r>
      <w:hyperlink r:id="rId36">
        <w:r>
          <w:rPr>
            <w:rStyle w:val="Hyperlink"/>
          </w:rPr>
          <w:t>[Diao et al., 2024]</w:t>
        </w:r>
      </w:hyperlink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Theme 4: Prodromal and Early-Stage Detection</w:t>
      </w:r>
    </w:p>
    <w:p/>
    <w:p>
      <w:r>
        <w:t>Identifying PD before motor symptoms emerge is the central challenge in the field, and published work is actively mapping pre-motor windows using sensory, autonomic, and molecular signals.</w:t>
      </w:r>
    </w:p>
    <w:p/>
    <w:p>
      <w:pPr>
        <w:pStyle w:val="ListBullet"/>
      </w:pPr>
      <w:r>
        <w:t xml:space="preserve">Peripheral α-synuclein isoforms serve as potential biomarkers for diagnosis and prognosis of isolated REM sleep behavior disorder, a prodromal stage of Parkinson disease </w:t>
      </w:r>
      <w:hyperlink r:id="rId37">
        <w:r>
          <w:rPr>
            <w:rStyle w:val="Hyperlink"/>
          </w:rPr>
          <w:t>[Arnaldo L, 2023]</w:t>
        </w:r>
      </w:hyperlink>
      <w:r>
        <w:t>.</w:t>
      </w:r>
    </w:p>
    <w:p>
      <w:pPr>
        <w:pStyle w:val="ListBullet"/>
      </w:pPr>
      <w:r>
        <w:t xml:space="preserve">Prodromal phases are now recognized in multiple central nervous system diseases, with varying depth of understanding — more established for Parkinson disease and Alzheimer's disease compared to multiple sclerosis </w:t>
      </w:r>
      <w:hyperlink r:id="rId38">
        <w:r>
          <w:rPr>
            <w:rStyle w:val="Hyperlink"/>
          </w:rPr>
          <w:t>[Marrie et al., 2024]</w:t>
        </w:r>
      </w:hyperlink>
      <w:r>
        <w:t>.</w:t>
      </w:r>
    </w:p>
    <w:p>
      <w:pPr>
        <w:pStyle w:val="ListBullet"/>
      </w:pPr>
      <w:r>
        <w:t xml:space="preserve">Early detection of Parkinson's disease via biomarkers is a key prerequisite for developing therapies able to delay or slow disease progression </w:t>
      </w:r>
      <w:hyperlink r:id="rId28">
        <w:r>
          <w:rPr>
            <w:rStyle w:val="Hyperlink"/>
          </w:rPr>
          <w:t>[Mallet et al., 2022]</w:t>
        </w:r>
      </w:hyperlink>
      <w:r>
        <w:t>.</w:t>
      </w:r>
    </w:p>
    <w:p>
      <w:pPr>
        <w:pStyle w:val="ListBullet"/>
      </w:pPr>
      <w:r>
        <w:t xml:space="preserve">Ocular surface biomarkers are useful for early diagnosis of Parkinson's disease and for monitoring the degree of neural degeneration over time </w:t>
      </w:r>
      <w:hyperlink r:id="rId39">
        <w:r>
          <w:rPr>
            <w:rStyle w:val="Hyperlink"/>
          </w:rPr>
          <w:t>[Buzzi et al., 2022]</w:t>
        </w:r>
      </w:hyperlink>
      <w:r>
        <w:t>.</w:t>
      </w:r>
    </w:p>
    <w:p>
      <w:pPr>
        <w:pStyle w:val="ListBullet"/>
      </w:pPr>
      <w:r>
        <w:t xml:space="preserve">Olfactory deficits can be linked to direct neuropathologic changes in the olfactory system due to Parkinson's disease and may serve as a marker of disease severity </w:t>
      </w:r>
      <w:hyperlink r:id="rId40">
        <w:r>
          <w:rPr>
            <w:rStyle w:val="Hyperlink"/>
          </w:rPr>
          <w:t>[Lad et al., 2024]</w:t>
        </w:r>
      </w:hyperlink>
      <w:r>
        <w:t>.</w:t>
      </w:r>
    </w:p>
    <w:p>
      <w:pPr>
        <w:pStyle w:val="ListBullet"/>
      </w:pPr>
      <w:r>
        <w:t xml:space="preserve">A metabolic biomarker predicts Parkinson's disease at early stages in both patients and animal models </w:t>
      </w:r>
      <w:hyperlink r:id="rId28">
        <w:r>
          <w:rPr>
            <w:rStyle w:val="Hyperlink"/>
          </w:rPr>
          <w:t>[Mallet et al., 2022]</w:t>
        </w:r>
      </w:hyperlink>
      <w:r>
        <w:t>.</w:t>
      </w:r>
    </w:p>
    <w:p>
      <w:pPr>
        <w:pStyle w:val="ListBullet"/>
      </w:pPr>
      <w:r>
        <w:t xml:space="preserve">Whole-blood inflammatory transcriptional signature predicts prodromal Parkinson disease signs in Pink1-/- rats </w:t>
      </w:r>
      <w:hyperlink r:id="rId41">
        <w:r>
          <w:rPr>
            <w:rStyle w:val="Hyperlink"/>
          </w:rPr>
          <w:t>[Lechner et al., 2024]</w:t>
        </w:r>
      </w:hyperlink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Theme 5: Genomic, Transcriptomic, and miRNA Biomarkers</w:t>
      </w:r>
    </w:p>
    <w:p/>
    <w:p>
      <w:r>
        <w:t>Molecular profiling at the nucleic acid level is yielding candidate biomarkers with mechanistic specificity, including sex-stratified signatures and miRNA panels with diagnostic utility.</w:t>
      </w:r>
    </w:p>
    <w:p/>
    <w:p>
      <w:pPr>
        <w:pStyle w:val="ListBullet"/>
      </w:pPr>
      <w:r>
        <w:t xml:space="preserve">Bioinformatic analysis identified specific miRNAs (hsa-miR-375-3p and hsa-miR-423-3p) with characterized regulatory relationships to transcription factors in Parkinson's disease pathogenesis </w:t>
      </w:r>
      <w:hyperlink r:id="rId16">
        <w:r>
          <w:rPr>
            <w:rStyle w:val="Hyperlink"/>
          </w:rPr>
          <w:t>[Zameer F, 2024]</w:t>
        </w:r>
      </w:hyperlink>
      <w:r>
        <w:t>.</w:t>
      </w:r>
    </w:p>
    <w:p>
      <w:pPr>
        <w:pStyle w:val="ListBullet"/>
      </w:pPr>
      <w:r>
        <w:t xml:space="preserve">miR-218-5p and miR-320a-5p show ROC AUC above 75% in depressed Parkinson's Disease patients, with in silico analysis revealing targets that regulate dopaminergic synapse, axon guidance, and circadian rhythm pathways </w:t>
      </w:r>
      <w:hyperlink r:id="rId15">
        <w:r>
          <w:rPr>
            <w:rStyle w:val="Hyperlink"/>
          </w:rPr>
          <w:t>[Wan Z et al., 2023]</w:t>
        </w:r>
      </w:hyperlink>
      <w:r>
        <w:t>.</w:t>
      </w:r>
    </w:p>
    <w:p>
      <w:pPr>
        <w:pStyle w:val="ListBullet"/>
      </w:pPr>
      <w:r>
        <w:t xml:space="preserve">microRNAs profiling of small extracellular vesicles from midbrain tissue identifies biomarkers in Parkinson's disease </w:t>
      </w:r>
      <w:hyperlink r:id="rId42">
        <w:r>
          <w:rPr>
            <w:rStyle w:val="Hyperlink"/>
          </w:rPr>
          <w:t>[Li et al., 2023]</w:t>
        </w:r>
      </w:hyperlink>
      <w:r>
        <w:t>.</w:t>
      </w:r>
    </w:p>
    <w:p>
      <w:pPr>
        <w:pStyle w:val="ListBullet"/>
      </w:pPr>
      <w:r>
        <w:t xml:space="preserve">Sex-based transcriptomic analysis identified specific genes and transcription factors as potential biomarker candidates that differentiate male and female Parkinson's disease patients </w:t>
      </w:r>
      <w:hyperlink r:id="rId43">
        <w:r>
          <w:rPr>
            <w:rStyle w:val="Hyperlink"/>
          </w:rPr>
          <w:t>[López-Cerdán A, 2022]</w:t>
        </w:r>
      </w:hyperlink>
      <w:r>
        <w:t>.</w:t>
      </w:r>
    </w:p>
    <w:p>
      <w:pPr>
        <w:pStyle w:val="ListBullet"/>
      </w:pPr>
      <w:r>
        <w:t xml:space="preserve">Sex-based differential mechanisms in Parkinson's disease hallmarks (inflammation, mitochondrial dysfunction, and oxidative stress) were identified through in silico transcriptomic meta-analysis </w:t>
      </w:r>
      <w:hyperlink r:id="rId43">
        <w:r>
          <w:rPr>
            <w:rStyle w:val="Hyperlink"/>
          </w:rPr>
          <w:t>[López-Cerdán et al., 2022]</w:t>
        </w:r>
      </w:hyperlink>
      <w:r>
        <w:t>.</w:t>
      </w:r>
    </w:p>
    <w:p>
      <w:pPr>
        <w:pStyle w:val="ListBullet"/>
      </w:pPr>
      <w:r>
        <w:t xml:space="preserve">HO-1, miR-153, miR-223, and α-synuclein may serve as potential biomarkers and targets for disease-modifying therapy in idiopathic Parkinson Disease </w:t>
      </w:r>
      <w:hyperlink r:id="rId44">
        <w:r>
          <w:rPr>
            <w:rStyle w:val="Hyperlink"/>
          </w:rPr>
          <w:t>[Cressatti et al., 2022]</w:t>
        </w:r>
      </w:hyperlink>
      <w:r>
        <w:t>.</w:t>
      </w:r>
    </w:p>
    <w:p>
      <w:pPr>
        <w:pStyle w:val="ListBullet"/>
      </w:pPr>
      <w:r>
        <w:t xml:space="preserve">Genetically at-risk cohorts comprise phenotypically and pathologically enriched groups with defined clinical features and pathogenic mechanisms that serve as specific trial endpoints, therapeutic targets, and biomarkers for disease state and pharmacodynamic/pharmacokinetic status </w:t>
      </w:r>
      <w:hyperlink r:id="rId45">
        <w:r>
          <w:rPr>
            <w:rStyle w:val="Hyperlink"/>
          </w:rPr>
          <w:t>[Niotis et al., 2022]</w:t>
        </w:r>
      </w:hyperlink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Where Grant Funding is Going</w:t>
      </w:r>
    </w:p>
    <w:p/>
    <w:p>
      <w:r>
        <w:t>NIH grant investment is broadly aligned with the themes emerging in published literature but is placing disproportionate emphasis on three forward-looking priorities: (1) using biomarkers as trial infrastructure — for patient stratification and pharmacodynamic readout — rather than just diagnosis; (2) building longitudinal biospecimen and data platforms to support multi-modal discovery; and (3) aggressively pursuing prodromal detection through non-invasive peripheral and digital approaches. Importantly, grant funding is also explicitly acknowledging and funding around the *absence* of validated progression biomarkers — a gap the literature identifies but does not yet resolve.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Funding Theme 1: Alpha-Synuclein Aggregation Detection — Skin, SAA, and Antibody Approaches</w:t>
      </w:r>
    </w:p>
    <w:p/>
    <w:p>
      <w:r>
        <w:t>This is the most heavily funded single-target area, with multiple independent grants converging on peripheral tissue-based RT-QuIC/PMCA as a near-term clinical tool.</w:t>
      </w:r>
    </w:p>
    <w:p/>
    <w:p>
      <w:pPr>
        <w:pStyle w:val="ListBullet"/>
      </w:pPr>
      <w:r>
        <w:t xml:space="preserve">RT-QuIC and PMCA seeding assays demonstrate high sensitivity and specificity for detecting alpha-synuclein in skin of autopsy-confirmed Lewy body dementia subjects </w:t>
      </w:r>
      <w:hyperlink r:id="rId9">
        <w:r>
          <w:rPr>
            <w:rStyle w:val="Hyperlink"/>
          </w:rPr>
          <w:t>[Adler et al., 2022-2024]</w:t>
        </w:r>
      </w:hyperlink>
      <w:r>
        <w:t>.</w:t>
      </w:r>
    </w:p>
    <w:p>
      <w:pPr>
        <w:pStyle w:val="ListBullet"/>
      </w:pPr>
      <w:r>
        <w:t xml:space="preserve">Prion-like seeding activity of alpha-synuclein detected in skin of DLB and PD patients with 100% specificity and sensitivity </w:t>
      </w:r>
      <w:hyperlink r:id="rId46">
        <w:r>
          <w:rPr>
            <w:rStyle w:val="Hyperlink"/>
          </w:rPr>
          <w:t>[Chen et al., 2022-2024]</w:t>
        </w:r>
      </w:hyperlink>
      <w:r>
        <w:t>.</w:t>
      </w:r>
    </w:p>
    <w:p>
      <w:pPr>
        <w:pStyle w:val="ListBullet"/>
      </w:pPr>
      <w:r>
        <w:t xml:space="preserve">αSyn aggregates can be detected in skin samples of PD patients using RT-QuIC/PMCA methodology </w:t>
      </w:r>
      <w:hyperlink r:id="rId46">
        <w:r>
          <w:rPr>
            <w:rStyle w:val="Hyperlink"/>
          </w:rPr>
          <w:t>[Chen et al., 2022-2024]</w:t>
        </w:r>
      </w:hyperlink>
      <w:r>
        <w:t>.</w:t>
      </w:r>
    </w:p>
    <w:p>
      <w:pPr>
        <w:pStyle w:val="ListBullet"/>
      </w:pPr>
      <w:r>
        <w:t xml:space="preserve">Disease-associated α-synuclein (αSynD) accumulates and deposits as misfolded protein aggregates in the brain as the pathological hallmark of Parkinson disease, and also occurs in synucleinopathies causing non-PD parkinsonism such as MSA and DLB </w:t>
      </w:r>
      <w:hyperlink r:id="rId47">
        <w:r>
          <w:rPr>
            <w:rStyle w:val="Hyperlink"/>
          </w:rPr>
          <w:t>[Chen et al., 2022-2023]</w:t>
        </w:r>
      </w:hyperlink>
      <w:r>
        <w:t>.</w:t>
      </w:r>
    </w:p>
    <w:p>
      <w:pPr>
        <w:pStyle w:val="ListBullet"/>
      </w:pPr>
      <w:r>
        <w:t xml:space="preserve">Antibodies against in vitro alpha-synuclein strains are detectable at higher levels in individuals with Parkinson's disease compared to DLB, reliably discriminating between these conditions when no other differentiating biomarkers exist </w:t>
      </w:r>
      <w:hyperlink r:id="rId48">
        <w:r>
          <w:rPr>
            <w:rStyle w:val="Hyperlink"/>
          </w:rPr>
          <w:t>[Kannarkat et al., 2024]</w:t>
        </w:r>
      </w:hyperlink>
      <w:r>
        <w:t>.</w:t>
      </w:r>
    </w:p>
    <w:p>
      <w:pPr>
        <w:pStyle w:val="ListBullet"/>
      </w:pPr>
      <w:r>
        <w:t xml:space="preserve">One alpha-synuclein strain is elevated in plasma from individuals with Parkinson's disease who have a reduced rate of cognitive decline, identifying a potential biomarker for disease progression subtyping </w:t>
      </w:r>
      <w:hyperlink r:id="rId48">
        <w:r>
          <w:rPr>
            <w:rStyle w:val="Hyperlink"/>
          </w:rPr>
          <w:t>[Kannarkat et al., 2024]</w:t>
        </w:r>
      </w:hyperlink>
      <w:r>
        <w:t>.</w:t>
      </w:r>
    </w:p>
    <w:p>
      <w:pPr>
        <w:pStyle w:val="ListBullet"/>
      </w:pPr>
      <w:r>
        <w:t xml:space="preserve">Phosphorylated α-synuclein at S129 (pS129) can be refined as a marker for PD and Lewy body dementia by distinguishing normal from abnormal pS129 to better understand pathological processes </w:t>
      </w:r>
      <w:hyperlink r:id="rId10">
        <w:r>
          <w:rPr>
            <w:rStyle w:val="Hyperlink"/>
          </w:rPr>
          <w:t>[Ramalingam et al., 2024]</w:t>
        </w:r>
      </w:hyperlink>
      <w:r>
        <w:t>.</w:t>
      </w:r>
    </w:p>
    <w:p>
      <w:pPr>
        <w:pStyle w:val="ListBullet"/>
      </w:pPr>
      <w:r>
        <w:t xml:space="preserve">α-Syn/DJ-1 ratio in olfactory cleft mucus distinguishes PD patients from control subjects with high sensitivity and specificity </w:t>
      </w:r>
      <w:hyperlink r:id="rId17">
        <w:r>
          <w:rPr>
            <w:rStyle w:val="Hyperlink"/>
          </w:rPr>
          <w:t>[Morley et al., 2022-2023]</w:t>
        </w:r>
      </w:hyperlink>
      <w:r>
        <w:t>.</w:t>
      </w:r>
    </w:p>
    <w:p>
      <w:pPr>
        <w:pStyle w:val="ListBullet"/>
      </w:pPr>
      <w:r>
        <w:t xml:space="preserve">Alpha-synuclein PET radiotracers with high affinity and selectivity versus other proteinopathies are being advanced for translational imaging studies in humans </w:t>
      </w:r>
      <w:hyperlink r:id="rId49">
        <w:r>
          <w:rPr>
            <w:rStyle w:val="Hyperlink"/>
          </w:rPr>
          <w:t>[Mach et al., 2024]</w:t>
        </w:r>
      </w:hyperlink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Funding Theme 2: Extracellular Vesicles and Exosomes as Diagnostic and Pharmacodynamic Biomarkers</w:t>
      </w:r>
    </w:p>
    <w:p/>
    <w:p>
      <w:r>
        <w:t>Grant investment in this area extends beyond discovery — it is explicitly funding EV-based readouts in clinical trials, signaling a maturation from basic science to translational application.</w:t>
      </w:r>
    </w:p>
    <w:p/>
    <w:p>
      <w:pPr>
        <w:pStyle w:val="ListBullet"/>
      </w:pPr>
      <w:r>
        <w:t xml:space="preserve">Neuronal extracellular vesicles in blood carry pathogenic biomarkers that can detect and predict Parkinson disease and other neurological diseases </w:t>
      </w:r>
      <w:hyperlink r:id="rId50">
        <w:r>
          <w:rPr>
            <w:rStyle w:val="Hyperlink"/>
          </w:rPr>
          <w:t>[Milosevic et al., 2023]</w:t>
        </w:r>
      </w:hyperlink>
      <w:r>
        <w:t>.</w:t>
      </w:r>
    </w:p>
    <w:p>
      <w:pPr>
        <w:pStyle w:val="ListBullet"/>
      </w:pPr>
      <w:r>
        <w:t xml:space="preserve">Exosomes with distinct molecular signatures have been identified as potentially transformative circulating biomarkers for diagnosis and prognosis of Parkinson's disease and other neurodegenerative diseases </w:t>
      </w:r>
      <w:hyperlink r:id="rId51">
        <w:r>
          <w:rPr>
            <w:rStyle w:val="Hyperlink"/>
          </w:rPr>
          <w:t>[Huang et al., 2022]</w:t>
        </w:r>
      </w:hyperlink>
      <w:r>
        <w:t>.</w:t>
      </w:r>
    </w:p>
    <w:p>
      <w:pPr>
        <w:pStyle w:val="ListBullet"/>
      </w:pPr>
      <w:r>
        <w:t xml:space="preserve">Exosome biomarkers predicted treatment response and demonstrated target engagement in clinical trials of exenatide (metabolic intervention) in Parkinson's disease patients </w:t>
      </w:r>
      <w:hyperlink r:id="rId52">
        <w:r>
          <w:rPr>
            <w:rStyle w:val="Hyperlink"/>
          </w:rPr>
          <w:t>[Kapogiannis et al., 2022-2023]</w:t>
        </w:r>
      </w:hyperlink>
      <w:r>
        <w:t>.</w:t>
      </w:r>
    </w:p>
    <w:p>
      <w:pPr>
        <w:pStyle w:val="ListBullet"/>
      </w:pPr>
      <w:r>
        <w:t xml:space="preserve">Extracellular vesicle biomarkers identified insulin signaling and p-Tau abnormalities in Parkinson's disease </w:t>
      </w:r>
      <w:hyperlink r:id="rId53">
        <w:r>
          <w:rPr>
            <w:rStyle w:val="Hyperlink"/>
          </w:rPr>
          <w:t>[Kapogiannis et al., 2024]</w:t>
        </w:r>
      </w:hyperlink>
      <w:r>
        <w:t>.</w:t>
      </w:r>
    </w:p>
    <w:p>
      <w:pPr>
        <w:pStyle w:val="ListBullet"/>
      </w:pPr>
      <w:r>
        <w:t xml:space="preserve">Unbiased proteomics-based biomarker discovery in CNS-originating extracellular vesicles is a promising but practically challenging approach for parkinsonian disease biomarker identification </w:t>
      </w:r>
      <w:hyperlink r:id="rId54">
        <w:r>
          <w:rPr>
            <w:rStyle w:val="Hyperlink"/>
          </w:rPr>
          <w:t>[Bitan et al., 2024]</w:t>
        </w:r>
      </w:hyperlink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Funding Theme 3: Genetic Stratification for Trial Design and Pharmacodynamic Biomarkers</w:t>
      </w:r>
    </w:p>
    <w:p/>
    <w:p>
      <w:r>
        <w:t>NIH is investing in genetics not only as a discovery tool but as infrastructure for precision trial design — a strategic shift toward treating genetic subgroups as enriched populations for intervention studies.</w:t>
      </w:r>
    </w:p>
    <w:p/>
    <w:p>
      <w:pPr>
        <w:pStyle w:val="ListBullet"/>
      </w:pPr>
      <w:r>
        <w:t xml:space="preserve">Genetic biomarkers identifying heterogeneity among disease states and subgroups facilitate trial design logistics and inspire intervention targets in Parkinson Disease </w:t>
      </w:r>
      <w:hyperlink r:id="rId12">
        <w:r>
          <w:rPr>
            <w:rStyle w:val="Hyperlink"/>
          </w:rPr>
          <w:t>[Ozelius et al., 2022-2023]</w:t>
        </w:r>
      </w:hyperlink>
      <w:r>
        <w:t>.</w:t>
      </w:r>
    </w:p>
    <w:p>
      <w:pPr>
        <w:pStyle w:val="ListBullet"/>
      </w:pPr>
      <w:r>
        <w:t xml:space="preserve">Genetic variants help identify biomarkers for monitoring Parkinson Disease progression and therapeutic effectiveness </w:t>
      </w:r>
      <w:hyperlink r:id="rId55">
        <w:r>
          <w:rPr>
            <w:rStyle w:val="Hyperlink"/>
          </w:rPr>
          <w:t>[Xia et al., 2023-2024]</w:t>
        </w:r>
      </w:hyperlink>
      <w:r>
        <w:t>.</w:t>
      </w:r>
    </w:p>
    <w:p>
      <w:pPr>
        <w:pStyle w:val="ListBullet"/>
      </w:pPr>
      <w:r>
        <w:t xml:space="preserve">GBA-related and LRRK2-mediated disease-modifying therapies for Parkinson Disease are currently underway or in planning stages in clinical trials </w:t>
      </w:r>
      <w:hyperlink r:id="rId12">
        <w:r>
          <w:rPr>
            <w:rStyle w:val="Hyperlink"/>
          </w:rPr>
          <w:t>[Ozelius et al., 2022-2023]</w:t>
        </w:r>
      </w:hyperlink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Funding Theme 4: Non-Invasive, Digital, and Peripheral Prodromal Biomarkers</w:t>
      </w:r>
    </w:p>
    <w:p/>
    <w:p>
      <w:r>
        <w:t>NIH grant investment is strikingly forward-looking in funding novel peripheral and digital biomarker modalities that could enable population-level screening — an area where the published literature is earlier-stage.</w:t>
      </w:r>
    </w:p>
    <w:p/>
    <w:p>
      <w:pPr>
        <w:pStyle w:val="ListBullet"/>
      </w:pPr>
      <w:r>
        <w:t xml:space="preserve">Polysomnography-based digital biomarkers are being developed to predict Parkinson's disease in real-world settings as part of addressing early diagnosis challenges in neurodegenerative diseases </w:t>
      </w:r>
      <w:hyperlink r:id="rId56">
        <w:r>
          <w:rPr>
            <w:rStyle w:val="Hyperlink"/>
          </w:rPr>
          <w:t>[Leng et al., 2023]</w:t>
        </w:r>
      </w:hyperlink>
      <w:r>
        <w:t>.</w:t>
      </w:r>
    </w:p>
    <w:p>
      <w:pPr>
        <w:pStyle w:val="ListBullet"/>
      </w:pPr>
      <w:r>
        <w:t xml:space="preserve">Color vision deficiencies (CVDs) may serve as a valuable biomarker of prodromal Parkinson's Disease, with potential for sensitive/specific assessment to detect CVDs caused by other neurological disorders </w:t>
      </w:r>
      <w:hyperlink r:id="rId57">
        <w:r>
          <w:rPr>
            <w:rStyle w:val="Hyperlink"/>
          </w:rPr>
          <w:t>[Norton et al., 2024]</w:t>
        </w:r>
      </w:hyperlink>
      <w:r>
        <w:t>.</w:t>
      </w:r>
    </w:p>
    <w:p>
      <w:pPr>
        <w:pStyle w:val="ListBullet"/>
      </w:pPr>
      <w:r>
        <w:t xml:space="preserve">Immune alterations in peripheral blood indicating pro-inflammatory status occur during PD disease progression and as early as prodromal stages </w:t>
      </w:r>
      <w:hyperlink r:id="rId58">
        <w:r>
          <w:rPr>
            <w:rStyle w:val="Hyperlink"/>
          </w:rPr>
          <w:t>[Rosen et al., 2024]</w:t>
        </w:r>
      </w:hyperlink>
      <w:r>
        <w:t>.</w:t>
      </w:r>
    </w:p>
    <w:p>
      <w:pPr>
        <w:pStyle w:val="ListBullet"/>
      </w:pPr>
      <w:r>
        <w:t xml:space="preserve">Brainstem-based imaging biomarkers can diagnose early synucleinopathy stages when treatment is most effective in delaying full neurodegeneration development </w:t>
      </w:r>
      <w:hyperlink r:id="rId59">
        <w:r>
          <w:rPr>
            <w:rStyle w:val="Hyperlink"/>
          </w:rPr>
          <w:t>[Bianciardi et al., 2024]</w:t>
        </w:r>
      </w:hyperlink>
      <w:r>
        <w:t>.</w:t>
      </w:r>
    </w:p>
    <w:p>
      <w:pPr>
        <w:pStyle w:val="ListBullet"/>
      </w:pPr>
      <w:r>
        <w:t xml:space="preserve">Speech markers could improve detection, monitoring and treatment of cognitive impairment in PD </w:t>
      </w:r>
      <w:hyperlink r:id="rId60">
        <w:r>
          <w:rPr>
            <w:rStyle w:val="Hyperlink"/>
          </w:rPr>
          <w:t>[Smith et al., 2023]</w:t>
        </w:r>
      </w:hyperlink>
      <w:r>
        <w:t>.</w:t>
      </w:r>
    </w:p>
    <w:p>
      <w:pPr>
        <w:pStyle w:val="ListBullet"/>
      </w:pPr>
      <w:r>
        <w:t xml:space="preserve">Speech markers can be monitored remotely via mobile technology to capture sensitive, quantitative data about cognitive function in Parkinson's Disease patients in their daily life and in response to therapeutics </w:t>
      </w:r>
      <w:hyperlink r:id="rId61">
        <w:r>
          <w:rPr>
            <w:rStyle w:val="Hyperlink"/>
          </w:rPr>
          <w:t>[Smith et al., 2022-2023]</w:t>
        </w:r>
      </w:hyperlink>
      <w:r>
        <w:t>.</w:t>
      </w:r>
    </w:p>
    <w:p>
      <w:pPr>
        <w:pStyle w:val="ListBullet"/>
      </w:pPr>
      <w:r>
        <w:t xml:space="preserve">Neuroinflammatory markers are associated with cognitive impairment in individuals with Parkinson's Disease </w:t>
      </w:r>
      <w:hyperlink r:id="rId62">
        <w:r>
          <w:rPr>
            <w:rStyle w:val="Hyperlink"/>
          </w:rPr>
          <w:t>[Jones et al., 2022-2024]</w:t>
        </w:r>
      </w:hyperlink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Funding Theme 5: Multi-Modal Platforms and Large Cohort Infrastructure</w:t>
      </w:r>
    </w:p>
    <w:p/>
    <w:p>
      <w:r>
        <w:t>A distinctive feature of the NIH funding landscape is investment in the *infrastructure* for biomarker discovery — large consortia, longitudinal cohorts, and multi-omic platforms — rather than individual biomarker candidates alone.</w:t>
      </w:r>
    </w:p>
    <w:p/>
    <w:p>
      <w:pPr>
        <w:pStyle w:val="ListBullet"/>
      </w:pPr>
      <w:r>
        <w:t xml:space="preserve">International consortia including the Parkinson's Progression Markers Initiative have been established to unify multi-modality biomarker data across large existing cohorts in neurological disorders </w:t>
      </w:r>
      <w:hyperlink r:id="rId63">
        <w:r>
          <w:rPr>
            <w:rStyle w:val="Hyperlink"/>
          </w:rPr>
          <w:t>[Wang et al., 2023, 2024]</w:t>
        </w:r>
      </w:hyperlink>
      <w:r>
        <w:t>.</w:t>
      </w:r>
    </w:p>
    <w:p>
      <w:pPr>
        <w:pStyle w:val="ListBullet"/>
      </w:pPr>
      <w:r>
        <w:t xml:space="preserve">Unbiased screening of &gt;1000 plasma proteins in &gt;300 PD patients from multiple cohorts identified a candidate list of 10 plasma proteins that predict future cognitive decline in Parkinson's Disease </w:t>
      </w:r>
      <w:hyperlink r:id="rId64">
        <w:r>
          <w:rPr>
            <w:rStyle w:val="Hyperlink"/>
          </w:rPr>
          <w:t>[Chen-Plotkin et al., 2022-2023]</w:t>
        </w:r>
      </w:hyperlink>
      <w:r>
        <w:t>.</w:t>
      </w:r>
    </w:p>
    <w:p>
      <w:pPr>
        <w:pStyle w:val="ListBullet"/>
      </w:pPr>
      <w:r>
        <w:t xml:space="preserve">Novel Parkinson's disease biomarkers were discovered through unbiased deep immune phenotyping, proteomics, and transcriptomics of human CSF resident cells </w:t>
      </w:r>
      <w:hyperlink r:id="rId65">
        <w:r>
          <w:rPr>
            <w:rStyle w:val="Hyperlink"/>
          </w:rPr>
          <w:t>[Wyss-Coray et al., 2022]</w:t>
        </w:r>
      </w:hyperlink>
      <w:r>
        <w:t>.</w:t>
      </w:r>
    </w:p>
    <w:p>
      <w:pPr>
        <w:pStyle w:val="ListBullet"/>
      </w:pPr>
      <w:r>
        <w:t xml:space="preserve">NAPS2 study enables longitudinal follow-up and expanded biomarker collection to address biomarkers and phenotypic trajectories in prodromal synucleinopathy </w:t>
      </w:r>
      <w:hyperlink r:id="rId66">
        <w:r>
          <w:rPr>
            <w:rStyle w:val="Hyperlink"/>
          </w:rPr>
          <w:t>[Ju et al., 2022-2023]</w:t>
        </w:r>
      </w:hyperlink>
      <w:r>
        <w:t>.</w:t>
      </w:r>
    </w:p>
    <w:p>
      <w:pPr>
        <w:pStyle w:val="ListBullet"/>
      </w:pPr>
      <w:r>
        <w:t xml:space="preserve">Dementia with Lewy Bodies Consortium utilizes longitudinal data, imaging and biofluid collection to focus on diagnosis, progression and clinical variability </w:t>
      </w:r>
      <w:hyperlink r:id="rId67">
        <w:r>
          <w:rPr>
            <w:rStyle w:val="Hyperlink"/>
          </w:rPr>
          <w:t>[Galasko et al., 2022]</w:t>
        </w:r>
      </w:hyperlink>
      <w:r>
        <w:t>.</w:t>
      </w:r>
    </w:p>
    <w:p>
      <w:pPr>
        <w:pStyle w:val="ListBullet"/>
      </w:pPr>
      <w:r>
        <w:t xml:space="preserve">Machine learning models have been developed using observational data to capture the progression of Parkinson's disease </w:t>
      </w:r>
      <w:hyperlink r:id="rId68">
        <w:r>
          <w:rPr>
            <w:rStyle w:val="Hyperlink"/>
          </w:rPr>
          <w:t>[Hussain et al., 2022-2024]</w:t>
        </w:r>
      </w:hyperlink>
      <w:r>
        <w:t>.</w:t>
      </w:r>
    </w:p>
    <w:p>
      <w:pPr>
        <w:pStyle w:val="ListBullet"/>
      </w:pPr>
      <w:r>
        <w:t xml:space="preserve">Individual-level biomarkers capturing widespread neuropathology while respecting clinical heterogeneity are required for personalized medicine development in PD </w:t>
      </w:r>
      <w:hyperlink r:id="rId22">
        <w:r>
          <w:rPr>
            <w:rStyle w:val="Hyperlink"/>
          </w:rPr>
          <w:t>[Campbell et al., 2023-2024]</w:t>
        </w:r>
      </w:hyperlink>
      <w:r>
        <w:t>.</w:t>
      </w:r>
    </w:p>
    <w:p>
      <w:pPr>
        <w:pStyle w:val="ListBullet"/>
      </w:pPr>
      <w:r>
        <w:t xml:space="preserve">Precision-mapping resting-state functional connectivity approaches enable identification of individual-level differences in brain network organization with high reliability and may provide a non-invasive biomarker for Parkinson's Disease </w:t>
      </w:r>
      <w:hyperlink r:id="rId22">
        <w:r>
          <w:rPr>
            <w:rStyle w:val="Hyperlink"/>
          </w:rPr>
          <w:t>[Campbell et al., 2023-2024]</w:t>
        </w:r>
      </w:hyperlink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Research Gaps &amp; White Space</w:t>
      </w:r>
    </w:p>
    <w:p/>
    <w:p>
      <w:r>
        <w:t>Despite broad activity across both literature and grants, the verified findings reveal several specific areas that remain underrepresented relative to what the user's question implies is needed:</w:t>
      </w:r>
    </w:p>
    <w:p/>
    <w:p>
      <w:r>
        <w:t>**1. Validated Progression Biomarkers — The Most Prominent Gap**</w:t>
      </w:r>
    </w:p>
    <w:p>
      <w:r>
        <w:t xml:space="preserve">The user asked about biomarkers across discovery, validation, *and* clinical application. The data reveal a striking asymmetry: while discovery is robust, progression biomarkers remain unvalidated. Grants themselves explicitly state that no biomarkers have been identified to date that predict Parkinson's disease progression </w:t>
      </w:r>
      <w:hyperlink r:id="rId69">
        <w:r>
          <w:rPr>
            <w:rStyle w:val="Hyperlink"/>
          </w:rPr>
          <w:t>[Neilson et al., 2023-2024]</w:t>
        </w:r>
      </w:hyperlink>
      <w:r>
        <w:t xml:space="preserve">. The existing clinical subtypes lack biomarker characterization, leaving the biological underpinnings of PD clusters unknown </w:t>
      </w:r>
      <w:hyperlink r:id="rId70">
        <w:r>
          <w:rPr>
            <w:rStyle w:val="Hyperlink"/>
          </w:rPr>
          <w:t>[Deng et al., 2022]</w:t>
        </w:r>
      </w:hyperlink>
      <w:r>
        <w:t>. This is the most actionable gap for a funder to address.</w:t>
      </w:r>
    </w:p>
    <w:p/>
    <w:p>
      <w:r>
        <w:t>**2. Parkinson's Disease Dementia (PDD) and DLB — Underpowered Relative to Clinical Burden**</w:t>
      </w:r>
    </w:p>
    <w:p>
      <w:r>
        <w:t xml:space="preserve">The user's question encompasses the full PD spectrum, yet biomarkers specific to cognitive conversion and dementia subtypes remain critically limited. Lewy body dementia is characterized by a desperate lack of diagnostic, progressive, and therapeutic biomarkers due to poor understanding of the pathophysiology underlying clinical deterioration </w:t>
      </w:r>
      <w:hyperlink r:id="rId71">
        <w:r>
          <w:rPr>
            <w:rStyle w:val="Hyperlink"/>
          </w:rPr>
          <w:t>[Levey AI, 2022-2024]</w:t>
        </w:r>
      </w:hyperlink>
      <w:r>
        <w:t xml:space="preserve">. Lack of objective biomarkers for early identification and stratification of PDD/DLB patients represents the largest challenge for developing efficacious treatments </w:t>
      </w:r>
      <w:hyperlink r:id="rId72">
        <w:r>
          <w:rPr>
            <w:rStyle w:val="Hyperlink"/>
          </w:rPr>
          <w:t>[Ryman et al., 2022-2023]</w:t>
        </w:r>
      </w:hyperlink>
      <w:r>
        <w:t xml:space="preserve">. The absence of cognitive fluctuation biomarkers specifically is noted </w:t>
      </w:r>
      <w:hyperlink r:id="rId73">
        <w:r>
          <w:rPr>
            <w:rStyle w:val="Hyperlink"/>
          </w:rPr>
          <w:t>[Barrett et al., 2022]</w:t>
        </w:r>
      </w:hyperlink>
      <w:r>
        <w:t>.</w:t>
      </w:r>
    </w:p>
    <w:p/>
    <w:p>
      <w:r>
        <w:t>**3. Biomarker Reproducibility and Analytical Standardization**</w:t>
      </w:r>
    </w:p>
    <w:p>
      <w:r>
        <w:t xml:space="preserve">The findings reveal that PD biomarker discovery and validation is hindered by variability of clinical samples, low abundance of pathogenic proteins, and lack of reproducibility in validating biomarker candidates </w:t>
      </w:r>
      <w:hyperlink r:id="rId74">
        <w:r>
          <w:rPr>
            <w:rStyle w:val="Hyperlink"/>
          </w:rPr>
          <w:t>[Pantelyat et al., 2022]</w:t>
        </w:r>
      </w:hyperlink>
      <w:r>
        <w:t>. No finding in the dataset addresses analytical harmonization across platforms or sites — a prerequisite for clinical deployment that is conspicuously absent.</w:t>
      </w:r>
    </w:p>
    <w:p/>
    <w:p>
      <w:r>
        <w:t>**4. Sex, Diversity, and Population Heterogeneity**</w:t>
      </w:r>
    </w:p>
    <w:p>
      <w:r>
        <w:t xml:space="preserve">Only two findings address sex-stratified biomarker biology </w:t>
      </w:r>
      <w:r>
        <w:t>[López-Cerdán A, 2022; López-Cerdán et al., 2022]</w:t>
      </w:r>
      <w:r>
        <w:t>, and no verified findings address racial/ethnic diversity in biomarker performance — a major limitation given known disparities in PD prevalence and presentation. This is a gap in both the literature and the grant portfolio.</w:t>
      </w:r>
    </w:p>
    <w:p/>
    <w:p>
      <w:r>
        <w:t>**5. Gut-Brain Axis Biomarkers**</w:t>
      </w:r>
    </w:p>
    <w:p>
      <w:r>
        <w:t xml:space="preserve">The gut-brain axis relationship in PD has been elucidated through preclinical and clinical publications, providing potential for development of new biomarkers and therapeutics </w:t>
      </w:r>
      <w:hyperlink r:id="rId75">
        <w:r>
          <w:rPr>
            <w:rStyle w:val="Hyperlink"/>
          </w:rPr>
          <w:t>[Tan AH et al., 2022]</w:t>
        </w:r>
      </w:hyperlink>
      <w:r>
        <w:t>, yet no specific gut-derived biomarker candidates (e.g., gut microbiome signatures, mucosal proteins) appear as validated targets in the verified findings.</w:t>
      </w:r>
    </w:p>
    <w:p/>
    <w:p>
      <w:r>
        <w:t>**6. Therapeutic Response and Pharmacodynamic Biomarkers**</w:t>
      </w:r>
    </w:p>
    <w:p>
      <w:r>
        <w:t xml:space="preserve">While the user asked about clinical application — which includes treatment monitoring — only the exosome/exenatide work </w:t>
      </w:r>
      <w:hyperlink r:id="rId52">
        <w:r>
          <w:rPr>
            <w:rStyle w:val="Hyperlink"/>
          </w:rPr>
          <w:t>[Kapogiannis et al., 2022-2023]</w:t>
        </w:r>
      </w:hyperlink>
      <w:r>
        <w:t xml:space="preserve"> and mention of technology-based endpoints </w:t>
      </w:r>
      <w:hyperlink r:id="rId76">
        <w:r>
          <w:rPr>
            <w:rStyle w:val="Hyperlink"/>
          </w:rPr>
          <w:t>[Stocchi et al., 2024]</w:t>
        </w:r>
      </w:hyperlink>
      <w:r>
        <w:t xml:space="preserve"> address pharmacodynamic biomarkers. Robust biomarkers for continuous monitoring of disease progression are recognized as required for successful therapy development </w:t>
      </w:r>
      <w:hyperlink r:id="rId76">
        <w:r>
          <w:rPr>
            <w:rStyle w:val="Hyperlink"/>
          </w:rPr>
          <w:t>[Stocchi et al., 2024]</w:t>
        </w:r>
      </w:hyperlink>
      <w:r>
        <w:t>, but specific validated pharmacodynamic readouts beyond this single trial context are absent.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Strategic Summary</w:t>
      </w:r>
    </w:p>
    <w:p/>
    <w:p>
      <w:r>
        <w:t xml:space="preserve">The single most important insight for a program officer asking about emerging PD biomarker themes is that **the field has achieved genuine breakthrough momentum in detection-phase biomarkers** — particularly α-synuclein seed amplification assays, EV-based blood tests, and prodromal peripheral signals — but has not yet solved the downstream problem: no validated biomarker exists to track disease progression, predict cognitive decline, or confirm target engagement at scale in clinical trials </w:t>
      </w:r>
      <w:r>
        <w:t>[Neilson et al., 2023-2024; Chen-Plotkin et al., 2022-2023]</w:t>
      </w:r>
      <w:r>
        <w:t>. This creates a specific and high-value investment opportunity: a well-targeted next action would be to fund **prospective longitudinal validation studies** that take the most promising discovery-stage candidates — particularly plasma EV cytokine/protein panels, α-synuclein strain antibody profiles, and digital/speech biomarkers — and test them as progression and pharmacodynamic biomarkers within existing large cohorts (e.g., PPMI), with explicit requirements for analytical standardization across sites and inclusion of sex and ancestry-stratified analyses.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porter.nih.gov/project-details/10458459" TargetMode="External"/><Relationship Id="rId10" Type="http://schemas.openxmlformats.org/officeDocument/2006/relationships/hyperlink" Target="https://reporter.nih.gov/project-details/10985745" TargetMode="External"/><Relationship Id="rId11" Type="http://schemas.openxmlformats.org/officeDocument/2006/relationships/hyperlink" Target="https://pubmed.ncbi.nlm.nih.gov/38609644/" TargetMode="External"/><Relationship Id="rId12" Type="http://schemas.openxmlformats.org/officeDocument/2006/relationships/hyperlink" Target="https://reporter.nih.gov/project-details/10369016" TargetMode="External"/><Relationship Id="rId13" Type="http://schemas.openxmlformats.org/officeDocument/2006/relationships/hyperlink" Target="https://reporter.nih.gov/project-details/10588414" TargetMode="External"/><Relationship Id="rId14" Type="http://schemas.openxmlformats.org/officeDocument/2006/relationships/hyperlink" Target="https://pubmed.ncbi.nlm.nih.gov/36897204/" TargetMode="External"/><Relationship Id="rId15" Type="http://schemas.openxmlformats.org/officeDocument/2006/relationships/hyperlink" Target="https://pubmed.ncbi.nlm.nih.gov/37329382/" TargetMode="External"/><Relationship Id="rId16" Type="http://schemas.openxmlformats.org/officeDocument/2006/relationships/hyperlink" Target="https://pubmed.ncbi.nlm.nih.gov/38677540/" TargetMode="External"/><Relationship Id="rId17" Type="http://schemas.openxmlformats.org/officeDocument/2006/relationships/hyperlink" Target="https://reporter.nih.gov/project-details/10659011" TargetMode="External"/><Relationship Id="rId18" Type="http://schemas.openxmlformats.org/officeDocument/2006/relationships/hyperlink" Target="https://pubmed.ncbi.nlm.nih.gov/37816639/" TargetMode="External"/><Relationship Id="rId19" Type="http://schemas.openxmlformats.org/officeDocument/2006/relationships/hyperlink" Target="https://reporter.nih.gov/project-details/10692781" TargetMode="External"/><Relationship Id="rId20" Type="http://schemas.openxmlformats.org/officeDocument/2006/relationships/hyperlink" Target="https://reporter.nih.gov/project-details/10367484" TargetMode="External"/><Relationship Id="rId21" Type="http://schemas.openxmlformats.org/officeDocument/2006/relationships/hyperlink" Target="https://pubmed.ncbi.nlm.nih.gov/37883190/" TargetMode="External"/><Relationship Id="rId22" Type="http://schemas.openxmlformats.org/officeDocument/2006/relationships/hyperlink" Target="https://reporter.nih.gov/project-details/10583322" TargetMode="External"/><Relationship Id="rId23" Type="http://schemas.openxmlformats.org/officeDocument/2006/relationships/hyperlink" Target="https://pubmed.ncbi.nlm.nih.gov/35733234/" TargetMode="External"/><Relationship Id="rId24" Type="http://schemas.openxmlformats.org/officeDocument/2006/relationships/hyperlink" Target="https://pubmed.ncbi.nlm.nih.gov/36096686/" TargetMode="External"/><Relationship Id="rId25" Type="http://schemas.openxmlformats.org/officeDocument/2006/relationships/hyperlink" Target="https://pubmed.ncbi.nlm.nih.gov/36795878/" TargetMode="External"/><Relationship Id="rId26" Type="http://schemas.openxmlformats.org/officeDocument/2006/relationships/hyperlink" Target="https://pubmed.ncbi.nlm.nih.gov/35395000/" TargetMode="External"/><Relationship Id="rId27" Type="http://schemas.openxmlformats.org/officeDocument/2006/relationships/hyperlink" Target="https://pubmed.ncbi.nlm.nih.gov/37402216/" TargetMode="External"/><Relationship Id="rId28" Type="http://schemas.openxmlformats.org/officeDocument/2006/relationships/hyperlink" Target="https://pubmed.ncbi.nlm.nih.gov/34914634/" TargetMode="External"/><Relationship Id="rId29" Type="http://schemas.openxmlformats.org/officeDocument/2006/relationships/hyperlink" Target="https://pubmed.ncbi.nlm.nih.gov/35418452/" TargetMode="External"/><Relationship Id="rId30" Type="http://schemas.openxmlformats.org/officeDocument/2006/relationships/hyperlink" Target="https://pubmed.ncbi.nlm.nih.gov/35527085/" TargetMode="External"/><Relationship Id="rId31" Type="http://schemas.openxmlformats.org/officeDocument/2006/relationships/hyperlink" Target="https://pubmed.ncbi.nlm.nih.gov/35177849/" TargetMode="External"/><Relationship Id="rId32" Type="http://schemas.openxmlformats.org/officeDocument/2006/relationships/hyperlink" Target="https://pubmed.ncbi.nlm.nih.gov/34612157/" TargetMode="External"/><Relationship Id="rId33" Type="http://schemas.openxmlformats.org/officeDocument/2006/relationships/hyperlink" Target="https://pubmed.ncbi.nlm.nih.gov/38617403/" TargetMode="External"/><Relationship Id="rId34" Type="http://schemas.openxmlformats.org/officeDocument/2006/relationships/hyperlink" Target="https://pubmed.ncbi.nlm.nih.gov/37855949/" TargetMode="External"/><Relationship Id="rId35" Type="http://schemas.openxmlformats.org/officeDocument/2006/relationships/hyperlink" Target="https://pubmed.ncbi.nlm.nih.gov/35984119/" TargetMode="External"/><Relationship Id="rId36" Type="http://schemas.openxmlformats.org/officeDocument/2006/relationships/hyperlink" Target="https://pubmed.ncbi.nlm.nih.gov/38471785/" TargetMode="External"/><Relationship Id="rId37" Type="http://schemas.openxmlformats.org/officeDocument/2006/relationships/hyperlink" Target="https://pubmed.ncbi.nlm.nih.gov/37678102/" TargetMode="External"/><Relationship Id="rId38" Type="http://schemas.openxmlformats.org/officeDocument/2006/relationships/hyperlink" Target="https://pubmed.ncbi.nlm.nih.gov/37567819/" TargetMode="External"/><Relationship Id="rId39" Type="http://schemas.openxmlformats.org/officeDocument/2006/relationships/hyperlink" Target="https://pubmed.ncbi.nlm.nih.gov/36556506/" TargetMode="External"/><Relationship Id="rId40" Type="http://schemas.openxmlformats.org/officeDocument/2006/relationships/hyperlink" Target="https://pubmed.ncbi.nlm.nih.gov/36169300/" TargetMode="External"/><Relationship Id="rId41" Type="http://schemas.openxmlformats.org/officeDocument/2006/relationships/hyperlink" Target="https://pubmed.ncbi.nlm.nih.gov/38438964/" TargetMode="External"/><Relationship Id="rId42" Type="http://schemas.openxmlformats.org/officeDocument/2006/relationships/hyperlink" Target="https://pubmed.ncbi.nlm.nih.gov/36818649/" TargetMode="External"/><Relationship Id="rId43" Type="http://schemas.openxmlformats.org/officeDocument/2006/relationships/hyperlink" Target="https://pubmed.ncbi.nlm.nih.gov/36414996/" TargetMode="External"/><Relationship Id="rId44" Type="http://schemas.openxmlformats.org/officeDocument/2006/relationships/hyperlink" Target="https://pubmed.ncbi.nlm.nih.gov/39483365/" TargetMode="External"/><Relationship Id="rId45" Type="http://schemas.openxmlformats.org/officeDocument/2006/relationships/hyperlink" Target="https://pubmed.ncbi.nlm.nih.gov/35970585/" TargetMode="External"/><Relationship Id="rId46" Type="http://schemas.openxmlformats.org/officeDocument/2006/relationships/hyperlink" Target="https://reporter.nih.gov/project-details/10491802" TargetMode="External"/><Relationship Id="rId47" Type="http://schemas.openxmlformats.org/officeDocument/2006/relationships/hyperlink" Target="https://reporter.nih.gov/project-details/10488805" TargetMode="External"/><Relationship Id="rId48" Type="http://schemas.openxmlformats.org/officeDocument/2006/relationships/hyperlink" Target="https://reporter.nih.gov/project-details/10985458" TargetMode="External"/><Relationship Id="rId49" Type="http://schemas.openxmlformats.org/officeDocument/2006/relationships/hyperlink" Target="https://reporter.nih.gov/project-details/10940634" TargetMode="External"/><Relationship Id="rId50" Type="http://schemas.openxmlformats.org/officeDocument/2006/relationships/hyperlink" Target="https://reporter.nih.gov/project-details/10820640" TargetMode="External"/><Relationship Id="rId51" Type="http://schemas.openxmlformats.org/officeDocument/2006/relationships/hyperlink" Target="https://reporter.nih.gov/project-details/10456734" TargetMode="External"/><Relationship Id="rId52" Type="http://schemas.openxmlformats.org/officeDocument/2006/relationships/hyperlink" Target="https://reporter.nih.gov/project-details/10693698" TargetMode="External"/><Relationship Id="rId53" Type="http://schemas.openxmlformats.org/officeDocument/2006/relationships/hyperlink" Target="https://reporter.nih.gov/project-details/11177348" TargetMode="External"/><Relationship Id="rId54" Type="http://schemas.openxmlformats.org/officeDocument/2006/relationships/hyperlink" Target="https://reporter.nih.gov/project-details/11090272" TargetMode="External"/><Relationship Id="rId55" Type="http://schemas.openxmlformats.org/officeDocument/2006/relationships/hyperlink" Target="https://reporter.nih.gov/project-details/10705592" TargetMode="External"/><Relationship Id="rId56" Type="http://schemas.openxmlformats.org/officeDocument/2006/relationships/hyperlink" Target="https://reporter.nih.gov/project-details/10807908" TargetMode="External"/><Relationship Id="rId57" Type="http://schemas.openxmlformats.org/officeDocument/2006/relationships/hyperlink" Target="https://reporter.nih.gov/project-details/10952944" TargetMode="External"/><Relationship Id="rId58" Type="http://schemas.openxmlformats.org/officeDocument/2006/relationships/hyperlink" Target="https://reporter.nih.gov/project-details/10901533" TargetMode="External"/><Relationship Id="rId59" Type="http://schemas.openxmlformats.org/officeDocument/2006/relationships/hyperlink" Target="https://reporter.nih.gov/project-details/10867360" TargetMode="External"/><Relationship Id="rId60" Type="http://schemas.openxmlformats.org/officeDocument/2006/relationships/hyperlink" Target="https://reporter.nih.gov/project-details/10579185" TargetMode="External"/><Relationship Id="rId61" Type="http://schemas.openxmlformats.org/officeDocument/2006/relationships/hyperlink" Target="https://reporter.nih.gov/project-details/10360572" TargetMode="External"/><Relationship Id="rId62" Type="http://schemas.openxmlformats.org/officeDocument/2006/relationships/hyperlink" Target="https://reporter.nih.gov/project-details/10400078" TargetMode="External"/><Relationship Id="rId63" Type="http://schemas.openxmlformats.org/officeDocument/2006/relationships/hyperlink" Target="https://reporter.nih.gov/project-details/10583203" TargetMode="External"/><Relationship Id="rId64" Type="http://schemas.openxmlformats.org/officeDocument/2006/relationships/hyperlink" Target="https://reporter.nih.gov/project-details/10435485" TargetMode="External"/><Relationship Id="rId65" Type="http://schemas.openxmlformats.org/officeDocument/2006/relationships/hyperlink" Target="https://reporter.nih.gov/project-details/10409747" TargetMode="External"/><Relationship Id="rId66" Type="http://schemas.openxmlformats.org/officeDocument/2006/relationships/hyperlink" Target="https://reporter.nih.gov/project-details/10457857" TargetMode="External"/><Relationship Id="rId67" Type="http://schemas.openxmlformats.org/officeDocument/2006/relationships/hyperlink" Target="https://reporter.nih.gov/project-details/10531287" TargetMode="External"/><Relationship Id="rId68" Type="http://schemas.openxmlformats.org/officeDocument/2006/relationships/hyperlink" Target="https://reporter.nih.gov/project-details/10384213" TargetMode="External"/><Relationship Id="rId69" Type="http://schemas.openxmlformats.org/officeDocument/2006/relationships/hyperlink" Target="https://reporter.nih.gov/project-details/10588707" TargetMode="External"/><Relationship Id="rId70" Type="http://schemas.openxmlformats.org/officeDocument/2006/relationships/hyperlink" Target="https://pubmed.ncbi.nlm.nih.gov/36038597/" TargetMode="External"/><Relationship Id="rId71" Type="http://schemas.openxmlformats.org/officeDocument/2006/relationships/hyperlink" Target="https://reporter.nih.gov/project-details/10514142" TargetMode="External"/><Relationship Id="rId72" Type="http://schemas.openxmlformats.org/officeDocument/2006/relationships/hyperlink" Target="https://reporter.nih.gov/project-details/10355030" TargetMode="External"/><Relationship Id="rId73" Type="http://schemas.openxmlformats.org/officeDocument/2006/relationships/hyperlink" Target="https://reporter.nih.gov/project-details/10447380" TargetMode="External"/><Relationship Id="rId74" Type="http://schemas.openxmlformats.org/officeDocument/2006/relationships/hyperlink" Target="https://reporter.nih.gov/project-details/10394241" TargetMode="External"/><Relationship Id="rId75" Type="http://schemas.openxmlformats.org/officeDocument/2006/relationships/hyperlink" Target="https://pubmed.ncbi.nlm.nih.gov/35750883/" TargetMode="External"/><Relationship Id="rId76" Type="http://schemas.openxmlformats.org/officeDocument/2006/relationships/hyperlink" Target="https://pubmed.ncbi.nlm.nih.gov/3949684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