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96EA0" w:rsidRDefault="007D66B8" w:rsidP="005142EB">
      <w:pPr>
        <w:spacing w:line="400" w:lineRule="exact"/>
        <w:jc w:val="center"/>
        <w:rPr>
          <w:rFonts w:ascii="標楷體" w:eastAsia="標楷體" w:hAnsi="標楷體"/>
          <w:b/>
          <w:bCs/>
          <w:color w:val="000000"/>
          <w:sz w:val="32"/>
          <w:szCs w:val="32"/>
        </w:rPr>
      </w:pPr>
      <w:r>
        <w:rPr>
          <w:rFonts w:ascii="標楷體" w:eastAsia="標楷體" w:hAnsi="標楷體"/>
          <w:b/>
          <w:bCs/>
          <w:color w:val="000000"/>
          <w:sz w:val="32"/>
          <w:szCs w:val="32"/>
        </w:rPr>
        <w:t>第9節抗癌瘤藥物Antineoplastics drugs</w:t>
      </w:r>
    </w:p>
    <w:p w:rsidR="00B96EA0" w:rsidRDefault="00B96EA0" w:rsidP="005142EB">
      <w:pPr>
        <w:spacing w:line="400" w:lineRule="exact"/>
        <w:jc w:val="center"/>
        <w:rPr>
          <w:rFonts w:ascii="標楷體" w:eastAsia="標楷體" w:hAnsi="標楷體"/>
          <w:b/>
          <w:bCs/>
          <w:color w:val="000000"/>
          <w:sz w:val="32"/>
          <w:szCs w:val="32"/>
        </w:rPr>
      </w:pP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9.1.Aromatase Inhibitors</w:t>
      </w:r>
    </w:p>
    <w:p w:rsidR="00B96EA0" w:rsidRDefault="007D66B8" w:rsidP="005142EB">
      <w:pPr>
        <w:spacing w:line="400" w:lineRule="exact"/>
        <w:ind w:left="992" w:hanging="706"/>
        <w:rPr>
          <w:rFonts w:ascii="標楷體" w:eastAsia="標楷體" w:hAnsi="標楷體"/>
          <w:color w:val="000000"/>
        </w:rPr>
      </w:pPr>
      <w:r>
        <w:rPr>
          <w:rFonts w:ascii="標楷體" w:eastAsia="標楷體" w:hAnsi="標楷體"/>
          <w:color w:val="000000"/>
        </w:rPr>
        <w:t>9.1.1.Exemestane(如Aromasin Sugar Coated Tablets)：（88/11/1、90/10/1、99/6/1、105/8/1)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1.限停經後或卵巢切除後，且女性荷爾蒙受體(estrogen receptor)陽性之晚期乳癌病患，經使用tamoxifen無效後，方可使用。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2.具有雌激素受體陽性之停經婦女，使用tamoxifen至少兩年之高危險早期侵犯性乳癌的輔助治療，且不得與tamoxifen或其他aromatase inhibitor併用。使用時需同時符合下列規定：(105/8/1)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(1)病歷上應詳細記載手術資料、病理報告(應包含ER、PR之檢測結果且無復發現象)。</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(2)本案藥品使用不得超過三年。</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9.1.2.Anastrozole(如Arimidex)：（88/6/1、92/3/1、93/6/1）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1.停經後雌激素接受器為陽性或不清楚之局部晚期或轉移性乳癌第一線治療。(92/3/1)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2.停經後婦女晚期乳癌，雌激素接受器為陰性，但曾對tamoxifen有陽性反應者。(92/3/1)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3.停經後婦女罹患早期侵犯性乳癌，經外科手術切除後且雌激素接受器為陽性，且有血栓栓塞症或子宮內膜異常增生的高危險群，而無法使用tamoxifen治療者。(93/6/1)</w:t>
      </w:r>
    </w:p>
    <w:p w:rsidR="00B96EA0" w:rsidRDefault="007D66B8" w:rsidP="005142EB">
      <w:pPr>
        <w:spacing w:line="400" w:lineRule="exact"/>
        <w:ind w:left="1231" w:hanging="698"/>
        <w:rPr>
          <w:rFonts w:ascii="標楷體" w:eastAsia="標楷體" w:hAnsi="標楷體"/>
          <w:color w:val="000000"/>
        </w:rPr>
      </w:pPr>
      <w:r>
        <w:rPr>
          <w:rFonts w:ascii="標楷體" w:eastAsia="標楷體" w:hAnsi="標楷體"/>
          <w:color w:val="000000"/>
        </w:rPr>
        <w:t>備註：療程期間以不超過五年為原則。血栓栓塞症或子宮內膜異常增生的高危險群需符合下列情形之一：</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(1)有腦血管梗塞病史者。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(2)有靜脈血栓栓塞症病史者。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(3)有子宮異常出血病史，且「經陰道超音波檢查」判定為子宮內膜異常增生的高危險群。</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9.1.3.Letrozole：（88/11/1、90/10/1、92/3/1、97/11/1、98/11/1、99/9/1、102/8/1)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1.接受抗動情激素治療失敗的自然或人工停經後之末期乳癌病人之治療、停經後之局部晚期或轉移性乳癌婦女患者之第一線治療用藥。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2.停經後且荷爾蒙接受體呈陽性，有淋巴結轉移之乳癌病人，作為tamoxifen治療五年後的延伸治療，且不得與其他aromatase inhibitor併用。使用時需同時符合下列規定：（97/11/1）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(1)手術後大於等於11年且無復發者不得使用。</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(2)每日最大劑量2.5mg，使用不得超過四年。</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3.停經後且荷爾蒙接受體呈陽性之早期乳癌病人，經外科手術切除後之輔助治療，且不得與tamoxifen或其他aromatase inhibitor併用。使用時需同時符合下列規定：(98/11/1、99/9/1、102/8/1)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(1)每日最大劑量2.5mg，使用不得超過五年；</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(2)若由tamoxifen轉換使用本品，則使用期限合計不得超過5年。</w:t>
      </w:r>
    </w:p>
    <w:p w:rsidR="00B96EA0" w:rsidRDefault="007D66B8" w:rsidP="005142EB">
      <w:pPr>
        <w:spacing w:line="400" w:lineRule="exact"/>
        <w:ind w:left="847" w:hanging="281"/>
        <w:rPr>
          <w:rFonts w:ascii="標楷體" w:eastAsia="標楷體" w:hAnsi="標楷體"/>
          <w:color w:val="000000"/>
        </w:rPr>
      </w:pPr>
      <w:r>
        <w:rPr>
          <w:rFonts w:ascii="標楷體" w:eastAsia="標楷體" w:hAnsi="標楷體"/>
          <w:color w:val="000000"/>
        </w:rPr>
        <w:t>4.病歷上應詳細記載手術資料、病理報告(應包含ER、PR之檢測結果且無復發現象)及用藥紀錄(如tamoxifen使用五年證明)。</w:t>
      </w:r>
    </w:p>
    <w:p w:rsidR="009C41ED" w:rsidRPr="00367DBE" w:rsidRDefault="009C41ED" w:rsidP="009C41ED">
      <w:pPr>
        <w:spacing w:line="400" w:lineRule="exact"/>
        <w:ind w:left="142"/>
        <w:jc w:val="both"/>
        <w:rPr>
          <w:rFonts w:ascii="標楷體" w:eastAsia="標楷體" w:hAnsi="標楷體"/>
          <w:szCs w:val="24"/>
        </w:rPr>
      </w:pPr>
      <w:r w:rsidRPr="00367DBE">
        <w:rPr>
          <w:rFonts w:ascii="標楷體" w:eastAsia="標楷體" w:hAnsi="標楷體"/>
          <w:szCs w:val="24"/>
        </w:rPr>
        <w:t>9.2.Carboplatin(如Paraplatin；Carboplatin inj)：(112/12/1</w:t>
      </w:r>
      <w:r w:rsidRPr="00367DBE">
        <w:rPr>
          <w:rFonts w:ascii="標楷體" w:eastAsia="標楷體" w:hAnsi="標楷體" w:hint="eastAsia"/>
          <w:szCs w:val="24"/>
        </w:rPr>
        <w:t>、114/2/1、1</w:t>
      </w:r>
      <w:r w:rsidRPr="00367DBE">
        <w:rPr>
          <w:rFonts w:ascii="標楷體" w:eastAsia="標楷體" w:hAnsi="標楷體"/>
          <w:szCs w:val="24"/>
        </w:rPr>
        <w:t>14/6/1</w:t>
      </w:r>
      <w:r w:rsidRPr="00367DBE">
        <w:rPr>
          <w:rFonts w:ascii="標楷體" w:eastAsia="標楷體" w:hAnsi="標楷體" w:hint="eastAsia"/>
          <w:szCs w:val="24"/>
        </w:rPr>
        <w:t>、1</w:t>
      </w:r>
      <w:r w:rsidRPr="00367DBE">
        <w:rPr>
          <w:rFonts w:ascii="標楷體" w:eastAsia="標楷體" w:hAnsi="標楷體"/>
          <w:szCs w:val="24"/>
        </w:rPr>
        <w:t>14/8/1</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9C41ED" w:rsidRPr="00367DBE" w:rsidRDefault="009C41ED" w:rsidP="009C41ED">
      <w:pPr>
        <w:spacing w:line="400" w:lineRule="exact"/>
        <w:ind w:left="33" w:hanging="1"/>
        <w:jc w:val="both"/>
        <w:rPr>
          <w:rFonts w:ascii="標楷體" w:eastAsia="標楷體" w:hAnsi="標楷體"/>
          <w:szCs w:val="24"/>
        </w:rPr>
      </w:pPr>
      <w:r>
        <w:rPr>
          <w:rFonts w:ascii="標楷體" w:eastAsia="標楷體" w:hAnsi="標楷體" w:hint="eastAsia"/>
        </w:rPr>
        <w:t xml:space="preserve">   </w:t>
      </w:r>
      <w:r w:rsidRPr="00367DBE">
        <w:rPr>
          <w:rFonts w:ascii="標楷體" w:eastAsia="標楷體" w:hAnsi="標楷體"/>
          <w:szCs w:val="24"/>
        </w:rPr>
        <w:t>限</w:t>
      </w:r>
    </w:p>
    <w:p w:rsidR="009C41ED" w:rsidRPr="00367DBE" w:rsidRDefault="009C41ED" w:rsidP="009C41ED">
      <w:pPr>
        <w:pStyle w:val="a9"/>
        <w:spacing w:line="400" w:lineRule="exact"/>
        <w:ind w:leftChars="118" w:left="283" w:firstLineChars="59" w:firstLine="142"/>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.卵巢癌患者。</w:t>
      </w:r>
    </w:p>
    <w:p w:rsidR="009C41ED" w:rsidRPr="00367DBE" w:rsidRDefault="009C41ED" w:rsidP="009C41ED">
      <w:pPr>
        <w:pStyle w:val="a9"/>
        <w:spacing w:line="400" w:lineRule="exact"/>
        <w:ind w:leftChars="118" w:left="283" w:firstLineChars="59" w:firstLine="142"/>
        <w:jc w:val="both"/>
        <w:rPr>
          <w:rFonts w:ascii="標楷體" w:eastAsia="標楷體" w:hAnsi="標楷體"/>
        </w:rPr>
      </w:pPr>
      <w:r w:rsidRPr="00367DBE">
        <w:rPr>
          <w:rFonts w:ascii="標楷體" w:eastAsia="標楷體" w:hAnsi="標楷體" w:hint="eastAsia"/>
        </w:rPr>
        <w:t>2</w:t>
      </w:r>
      <w:r w:rsidRPr="00367DBE">
        <w:rPr>
          <w:rFonts w:ascii="標楷體" w:eastAsia="標楷體" w:hAnsi="標楷體"/>
        </w:rPr>
        <w:t>.腎功能不佳(CCr&lt;60)或曾作單側或以上腎切除之惡性腫瘤患者使用。</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hint="eastAsia"/>
        </w:rPr>
        <w:t>3</w:t>
      </w:r>
      <w:r w:rsidRPr="00367DBE">
        <w:rPr>
          <w:rFonts w:ascii="標楷體" w:eastAsia="標楷體" w:hAnsi="標楷體"/>
        </w:rPr>
        <w:t>.與pembrolizumab及paclitaxel併用於轉移性鱗狀非小細胞肺癌的第一線治療，患者需符合免疫檢查點抑制劑之藥品給付規定。(112/12/1)</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hint="eastAsia"/>
        </w:rPr>
        <w:t>4</w:t>
      </w:r>
      <w:r w:rsidRPr="00367DBE">
        <w:rPr>
          <w:rFonts w:ascii="標楷體" w:eastAsia="標楷體" w:hAnsi="標楷體"/>
        </w:rPr>
        <w:t>.與atezolizumab及etoposide併用</w:t>
      </w:r>
      <w:r w:rsidRPr="00367DBE">
        <w:rPr>
          <w:rFonts w:ascii="標楷體" w:eastAsia="標楷體" w:hAnsi="標楷體" w:hint="eastAsia"/>
        </w:rPr>
        <w:t>，或與d</w:t>
      </w:r>
      <w:r w:rsidRPr="00367DBE">
        <w:rPr>
          <w:rFonts w:ascii="標楷體" w:eastAsia="標楷體" w:hAnsi="標楷體"/>
        </w:rPr>
        <w:t>urvalumab</w:t>
      </w:r>
      <w:r w:rsidRPr="00367DBE">
        <w:rPr>
          <w:rFonts w:ascii="標楷體" w:eastAsia="標楷體" w:hAnsi="標楷體" w:hint="eastAsia"/>
        </w:rPr>
        <w:t>及</w:t>
      </w:r>
      <w:r w:rsidRPr="00367DBE">
        <w:rPr>
          <w:rFonts w:ascii="標楷體" w:eastAsia="標楷體" w:hAnsi="標楷體"/>
        </w:rPr>
        <w:t>etoposide</w:t>
      </w:r>
      <w:r w:rsidRPr="00367DBE">
        <w:rPr>
          <w:rFonts w:ascii="標楷體" w:eastAsia="標楷體" w:hAnsi="標楷體" w:hint="eastAsia"/>
        </w:rPr>
        <w:t>併用</w:t>
      </w:r>
      <w:r w:rsidRPr="00367DBE">
        <w:rPr>
          <w:rFonts w:ascii="標楷體" w:eastAsia="標楷體" w:hAnsi="標楷體"/>
        </w:rPr>
        <w:t>於擴散期(extensive stage)小細胞肺癌成人患者時，患者需符合免疫檢查點抑制劑之藥品給付規定。(112/12/1</w:t>
      </w:r>
      <w:r w:rsidRPr="00367DBE">
        <w:rPr>
          <w:rFonts w:ascii="標楷體" w:eastAsia="標楷體" w:hAnsi="標楷體" w:hint="eastAsia"/>
        </w:rPr>
        <w:t>、114/2/1</w:t>
      </w:r>
      <w:r w:rsidRPr="00367DBE">
        <w:rPr>
          <w:rFonts w:ascii="標楷體" w:eastAsia="標楷體" w:hAnsi="標楷體"/>
        </w:rPr>
        <w:t>)</w:t>
      </w:r>
    </w:p>
    <w:p w:rsidR="009C41ED" w:rsidRPr="00367DBE" w:rsidRDefault="009C41ED" w:rsidP="009C41ED">
      <w:pPr>
        <w:pStyle w:val="a9"/>
        <w:spacing w:line="400" w:lineRule="exact"/>
        <w:ind w:leftChars="178" w:left="566" w:hangingChars="58" w:hanging="139"/>
        <w:jc w:val="both"/>
        <w:rPr>
          <w:rFonts w:ascii="標楷體" w:eastAsia="標楷體" w:hAnsi="標楷體"/>
        </w:rPr>
      </w:pPr>
      <w:r w:rsidRPr="00367DBE">
        <w:rPr>
          <w:rFonts w:ascii="標楷體" w:eastAsia="標楷體" w:hAnsi="標楷體" w:hint="eastAsia"/>
        </w:rPr>
        <w:t>5.與pembrolizumab及pemetrexed(限使用Pexeda、Apeta或Pemetrexed Sandoz)併用，或與atezolizumab及bevacizumab(限使用Alymsys、Avastin、Abevmy、Vegzelma或Mvasi)、paclitaxel併用，做為轉移性且不具有EGFR/ALK/ROS-1腫瘤基因異常的非鱗狀非小細胞肺癌的第一線治療，患者需符合免疫檢查點抑制劑之藥品給付規定。(114/6/1、114/8/1)</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rPr>
        <w:t>6.</w:t>
      </w:r>
      <w:r w:rsidRPr="00367DBE">
        <w:rPr>
          <w:rFonts w:ascii="標楷體" w:eastAsia="標楷體" w:hAnsi="標楷體" w:hint="eastAsia"/>
        </w:rPr>
        <w:t>與pembrolizumab及paclitaxel併用於早期三陰性乳癌(第II期至第IIIb期，cT1c N1-2或T2-4 N0-2)病人的術前前導性治療用藥，病人需符合免疫檢查點抑制劑之藥品給付規定。(114/6/1)</w:t>
      </w:r>
    </w:p>
    <w:p w:rsidR="00B96EA0" w:rsidRDefault="009C41ED" w:rsidP="009C41ED">
      <w:pPr>
        <w:tabs>
          <w:tab w:val="left" w:pos="567"/>
        </w:tabs>
        <w:spacing w:line="400" w:lineRule="exact"/>
        <w:ind w:leftChars="178" w:left="708" w:hangingChars="117" w:hanging="281"/>
      </w:pPr>
      <w:r w:rsidRPr="00367DBE">
        <w:rPr>
          <w:rFonts w:ascii="標楷體" w:eastAsia="標楷體" w:hAnsi="標楷體"/>
          <w:szCs w:val="24"/>
        </w:rPr>
        <w:t>7.</w:t>
      </w:r>
      <w:r w:rsidRPr="00367DBE">
        <w:rPr>
          <w:rFonts w:ascii="標楷體" w:eastAsia="標楷體" w:hAnsi="標楷體" w:hint="eastAsia"/>
          <w:szCs w:val="24"/>
        </w:rPr>
        <w:t>與amivantamab 及pemetrexed 併用於罹患帶有表皮生長因子受體(EGFR) exon 20 插入突變之局部晚期或轉移性非小細胞肺癌</w:t>
      </w:r>
      <w:r w:rsidRPr="00367DBE">
        <w:rPr>
          <w:rFonts w:ascii="標楷體" w:eastAsia="標楷體" w:hAnsi="標楷體"/>
          <w:szCs w:val="24"/>
        </w:rPr>
        <w:t>(NSCLC)</w:t>
      </w:r>
      <w:r w:rsidRPr="00367DBE">
        <w:rPr>
          <w:rFonts w:ascii="標楷體" w:eastAsia="標楷體" w:hAnsi="標楷體" w:hint="eastAsia"/>
          <w:szCs w:val="24"/>
        </w:rPr>
        <w:t>的成人病人，作為第一線治療。</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9.3.Docetaxel：（87/7/1、92/11/1、93/8/1、95/8/1、96/1/1、99/6/1、100/1/1、101/9/1、108/1/1、113/5/1）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1.乳癌：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(1)局部晚期或轉移性乳癌。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(2)與anthracycline合併使用於腋下淋巴結轉移之早期乳癌之術後輔助性化學治療。(99/6/1)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(3)早期乳癌手術後，經診斷為三陰性反應且無淋巴轉移的病人，得作為與cyclophosphamide併用doxorubicin的化學輔助療法。(101/9/1）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2.非小細胞肺癌：局部晚期或轉移性非小細胞肺癌。</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3.前列腺癌：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(1)於荷爾蒙治療失敗之轉移性前列腺癌。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(2)與darolutamide併用於治療高風險轉移性的去勢敏感性前列腺癌(mCSPC)，患者需符合darolutamide之藥品給付規定。(113/5/1)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4.頭頸癌：限局部晚期且無遠端轉移之頭頸部鱗狀細胞癌且無法手術切除者，與cisplatin及5-fluorouracil併用，作為放射治療前的引導治療，限使用4個療程。(100/1/1)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5.胃腺癌：晚期胃腺癌患者，包括胃食道接合處之腺癌。(108/1/1)</w:t>
      </w:r>
    </w:p>
    <w:p w:rsidR="00B96EA0" w:rsidRDefault="00D927FE" w:rsidP="005142EB">
      <w:pPr>
        <w:spacing w:line="400" w:lineRule="exact"/>
        <w:ind w:left="672" w:hanging="386"/>
        <w:rPr>
          <w:rFonts w:ascii="標楷體" w:eastAsia="標楷體" w:hAnsi="標楷體"/>
          <w:color w:val="000000"/>
        </w:rPr>
      </w:pPr>
      <w:r>
        <w:rPr>
          <w:rFonts w:ascii="標楷體" w:eastAsia="標楷體" w:hAnsi="標楷體"/>
          <w:color w:val="000000"/>
        </w:rPr>
        <w:t>9.4.Gemcitabine（如Gemzar）：（92/12/1、93/8/1、94/10/1、96/5/1、99/10/1、105/2/1、114/2/1</w:t>
      </w:r>
      <w:r w:rsidRPr="00D927FE">
        <w:rPr>
          <w:rFonts w:ascii="標楷體" w:eastAsia="標楷體" w:hAnsi="標楷體" w:hint="eastAsia"/>
          <w:szCs w:val="24"/>
        </w:rPr>
        <w:t>、115/2/1</w:t>
      </w:r>
      <w:r>
        <w:rPr>
          <w:rFonts w:ascii="標楷體" w:eastAsia="標楷體" w:hAnsi="標楷體"/>
          <w:color w:val="000000"/>
        </w:rPr>
        <w:t>）</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1.晚期或無法手術切除之非小細胞肺癌及胰臟癌病患。</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2.晚期膀胱癌病患。（92/12/1）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3.Gemcitabine與paclitaxel併用，可使用於曾經使用過anthracycline之局部復發且無法手術切除或轉移性之乳癌病患。（94/10/1）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4.用於曾經使用含鉑類藥物(platinum-based)治療後復發且間隔至少6個月之卵巢癌，作為第二線治療。（96/5/1、99/10/1）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5.無法手術切除或晚期或復發之膽道癌(含肝內膽管)病患。（105/2/1）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6.與durvalumab及cisplatin併用於治療局部晚期或轉移性未接受治療或不可手術之膽道癌(biliary tract cancer)成人病人(壺腹癌除外)，患者需符合免疫檢查點抑制劑之藥品給付規定。（114/2/1)</w:t>
      </w:r>
    </w:p>
    <w:p w:rsidR="00B96EA0" w:rsidRPr="00D927FE" w:rsidRDefault="00D927FE" w:rsidP="00D927FE">
      <w:pPr>
        <w:spacing w:line="400" w:lineRule="exact"/>
        <w:ind w:left="811" w:hanging="245"/>
        <w:rPr>
          <w:rFonts w:ascii="標楷體" w:eastAsia="標楷體" w:hAnsi="標楷體"/>
        </w:rPr>
      </w:pPr>
      <w:r w:rsidRPr="00D927FE">
        <w:rPr>
          <w:rFonts w:ascii="標楷體" w:eastAsia="標楷體" w:hAnsi="標楷體" w:hint="eastAsia"/>
          <w:szCs w:val="24"/>
        </w:rPr>
        <w:t>7.與nivolumab及</w:t>
      </w:r>
      <w:r w:rsidRPr="00D927FE">
        <w:rPr>
          <w:rFonts w:ascii="標楷體" w:eastAsia="標楷體" w:hAnsi="標楷體"/>
          <w:szCs w:val="24"/>
        </w:rPr>
        <w:t>cisplatin</w:t>
      </w:r>
      <w:r w:rsidRPr="00D927FE">
        <w:rPr>
          <w:rFonts w:ascii="標楷體" w:eastAsia="標楷體" w:hAnsi="標楷體" w:hint="eastAsia"/>
          <w:szCs w:val="24"/>
        </w:rPr>
        <w:t>併用於無法切除或轉移性泌尿道上皮癌成人病人的第一線治療，病人</w:t>
      </w:r>
      <w:r w:rsidRPr="00D927FE">
        <w:rPr>
          <w:rFonts w:ascii="標楷體" w:eastAsia="標楷體" w:hAnsi="標楷體"/>
          <w:szCs w:val="24"/>
        </w:rPr>
        <w:t>需符合免疫檢查點抑制劑之藥品給付規定，</w:t>
      </w:r>
      <w:r w:rsidRPr="00D927FE">
        <w:rPr>
          <w:rFonts w:ascii="標楷體" w:eastAsia="標楷體" w:hAnsi="標楷體" w:hint="eastAsia"/>
          <w:szCs w:val="24"/>
        </w:rPr>
        <w:t>且至多6個療程</w:t>
      </w:r>
      <w:r w:rsidRPr="00D927FE">
        <w:rPr>
          <w:rFonts w:ascii="標楷體" w:eastAsia="標楷體" w:hAnsi="標楷體"/>
          <w:szCs w:val="24"/>
        </w:rPr>
        <w:t>。（</w:t>
      </w:r>
      <w:r w:rsidRPr="00D927FE">
        <w:rPr>
          <w:rFonts w:ascii="標楷體" w:eastAsia="標楷體" w:hAnsi="標楷體" w:hint="eastAsia"/>
          <w:szCs w:val="24"/>
        </w:rPr>
        <w:t>115/2/1</w:t>
      </w:r>
      <w:r w:rsidRPr="00D927FE">
        <w:rPr>
          <w:rFonts w:ascii="標楷體" w:eastAsia="標楷體" w:hAnsi="標楷體"/>
          <w:szCs w:val="24"/>
        </w:rPr>
        <w:t>)</w:t>
      </w:r>
    </w:p>
    <w:p w:rsidR="00B96EA0" w:rsidRDefault="00CF183E" w:rsidP="005142EB">
      <w:pPr>
        <w:spacing w:line="400" w:lineRule="exact"/>
        <w:ind w:left="672" w:hanging="386"/>
        <w:rPr>
          <w:rFonts w:ascii="標楷體" w:eastAsia="標楷體" w:hAnsi="標楷體"/>
          <w:color w:val="000000"/>
        </w:rPr>
      </w:pPr>
      <w:bookmarkStart w:id="0" w:name="_Hlk204090564"/>
      <w:bookmarkStart w:id="1" w:name="_Hlk198656705"/>
      <w:r w:rsidRPr="005A2133">
        <w:rPr>
          <w:rFonts w:ascii="標楷體" w:eastAsia="標楷體" w:hAnsi="標楷體"/>
          <w:color w:val="000000"/>
        </w:rPr>
        <w:t>9.5.Paclitaxel成分劑：（88/8/1、88/11/1、89/6/1、89/10/1、91/4/1、91/8/1、93/8/1、94/1/1、98/8/1、108/11/1、112/12/1、114/6/1</w:t>
      </w:r>
      <w:r w:rsidRPr="005A2133">
        <w:rPr>
          <w:rFonts w:ascii="標楷體" w:eastAsia="標楷體" w:hAnsi="標楷體" w:hint="eastAsia"/>
          <w:szCs w:val="24"/>
        </w:rPr>
        <w:t>、114/8/1</w:t>
      </w:r>
      <w:r w:rsidRPr="005A2133">
        <w:rPr>
          <w:rFonts w:ascii="標楷體" w:eastAsia="標楷體" w:hAnsi="標楷體"/>
          <w:color w:val="000000"/>
        </w:rPr>
        <w:t>）</w:t>
      </w:r>
      <w:bookmarkEnd w:id="0"/>
    </w:p>
    <w:p w:rsidR="00CF183E" w:rsidRPr="00CF183E" w:rsidRDefault="00CF183E" w:rsidP="00CF183E">
      <w:pPr>
        <w:spacing w:line="300" w:lineRule="exact"/>
        <w:ind w:left="805" w:hanging="521"/>
        <w:rPr>
          <w:rFonts w:ascii="標楷體" w:eastAsia="標楷體" w:hAnsi="標楷體"/>
          <w:color w:val="000000"/>
        </w:rPr>
      </w:pPr>
      <w:bookmarkStart w:id="2" w:name="_Hlk204090575"/>
      <w:bookmarkEnd w:id="1"/>
      <w:r w:rsidRPr="00CF183E">
        <w:rPr>
          <w:rFonts w:ascii="標楷體" w:eastAsia="標楷體" w:hAnsi="標楷體"/>
          <w:color w:val="000000"/>
        </w:rPr>
        <w:t>9.5.1.Paclitaxel成分注射劑：(108/11/1、112/12/1</w:t>
      </w:r>
      <w:r w:rsidRPr="00CF183E">
        <w:rPr>
          <w:rFonts w:ascii="標楷體" w:eastAsia="標楷體" w:hAnsi="標楷體" w:hint="eastAsia"/>
          <w:color w:val="000000"/>
        </w:rPr>
        <w:t>、</w:t>
      </w:r>
      <w:r w:rsidRPr="00CF183E">
        <w:rPr>
          <w:rFonts w:ascii="標楷體" w:eastAsia="標楷體" w:hAnsi="標楷體"/>
          <w:szCs w:val="24"/>
        </w:rPr>
        <w:t>114/6/1</w:t>
      </w:r>
      <w:r w:rsidRPr="00CF183E">
        <w:rPr>
          <w:rFonts w:ascii="標楷體" w:eastAsia="標楷體" w:hAnsi="標楷體" w:hint="eastAsia"/>
          <w:szCs w:val="24"/>
        </w:rPr>
        <w:t>、114/8/1</w:t>
      </w:r>
      <w:r w:rsidRPr="00CF183E">
        <w:rPr>
          <w:rFonts w:ascii="標楷體" w:eastAsia="標楷體" w:hAnsi="標楷體"/>
          <w:color w:val="000000"/>
        </w:rPr>
        <w:t>)</w:t>
      </w:r>
    </w:p>
    <w:p w:rsidR="00CF183E" w:rsidRPr="00CF183E" w:rsidRDefault="00CF183E" w:rsidP="00CF183E">
      <w:pPr>
        <w:spacing w:line="300" w:lineRule="exact"/>
        <w:ind w:left="1233" w:hanging="196"/>
        <w:rPr>
          <w:rFonts w:ascii="標楷體" w:eastAsia="標楷體" w:hAnsi="標楷體"/>
          <w:color w:val="000000"/>
        </w:rPr>
      </w:pPr>
      <w:r w:rsidRPr="00CF183E">
        <w:rPr>
          <w:rFonts w:ascii="標楷體" w:eastAsia="標楷體" w:hAnsi="標楷體"/>
          <w:color w:val="000000"/>
        </w:rPr>
        <w:t>限用於</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1.晚期卵巢癌，作為第一線治療時需與cisplatin併用。(94/1/1)</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2.非小細胞肺癌，作為第一線用藥時需與cisplatin併用。(94/1/1)</w:t>
      </w:r>
    </w:p>
    <w:p w:rsidR="00CF183E" w:rsidRPr="00CF183E" w:rsidRDefault="00CF183E" w:rsidP="00CF183E">
      <w:pPr>
        <w:spacing w:line="300" w:lineRule="exact"/>
        <w:ind w:left="993" w:hanging="227"/>
        <w:rPr>
          <w:rFonts w:ascii="標楷體" w:eastAsia="標楷體" w:hAnsi="標楷體"/>
        </w:rPr>
      </w:pPr>
      <w:r w:rsidRPr="00CF183E">
        <w:rPr>
          <w:rFonts w:ascii="標楷體" w:eastAsia="標楷體" w:hAnsi="標楷體"/>
          <w:color w:val="000000"/>
          <w:szCs w:val="24"/>
        </w:rPr>
        <w:t>3.</w:t>
      </w:r>
      <w:r w:rsidRPr="00CF183E">
        <w:rPr>
          <w:rFonts w:ascii="標楷體" w:eastAsia="標楷體" w:hAnsi="標楷體"/>
          <w:szCs w:val="24"/>
        </w:rPr>
        <w:t>與pembrolizumab及carboplatin併用於轉移性鱗狀非小細胞肺癌的第一線治療，患者需符合免疫檢查點抑制劑之藥品給付規定。(112/12/1)</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4.已使用合併療法(除非有禁忌症、至少應包括使用anthracycline)失敗的轉移性乳癌患者。（91/4/1、94/1/1)</w:t>
      </w:r>
    </w:p>
    <w:p w:rsid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5.腋下淋巴轉移之乳癌且動情素受體為陰性之患者，paclitaxel可作為接續含doxorubicin在內之輔助化學治療。（91/4/1、94/1/1、98/8/1)</w:t>
      </w:r>
    </w:p>
    <w:p w:rsidR="00CF183E" w:rsidRDefault="00CF183E" w:rsidP="00CF183E">
      <w:pPr>
        <w:spacing w:line="300" w:lineRule="exact"/>
        <w:ind w:left="993" w:hanging="227"/>
        <w:rPr>
          <w:rFonts w:ascii="標楷體" w:eastAsia="標楷體" w:hAnsi="標楷體"/>
          <w:color w:val="000000"/>
        </w:rPr>
      </w:pPr>
      <w:r>
        <w:rPr>
          <w:rFonts w:ascii="標楷體" w:eastAsia="標楷體" w:hAnsi="標楷體" w:hint="eastAsia"/>
          <w:color w:val="000000"/>
        </w:rPr>
        <w:t>6.</w:t>
      </w:r>
      <w:r w:rsidRPr="00CF183E">
        <w:rPr>
          <w:rFonts w:ascii="標楷體" w:eastAsia="標楷體" w:hAnsi="標楷體"/>
          <w:color w:val="000000"/>
        </w:rPr>
        <w:t>卡波西氏肉瘤第二線用藥。（88/11/1）</w:t>
      </w:r>
    </w:p>
    <w:p w:rsidR="00CF183E" w:rsidRDefault="00CF183E" w:rsidP="00CF183E">
      <w:pPr>
        <w:spacing w:line="300" w:lineRule="exact"/>
        <w:ind w:left="993" w:hanging="227"/>
        <w:rPr>
          <w:rFonts w:ascii="標楷體" w:eastAsia="標楷體" w:hAnsi="標楷體"/>
          <w:color w:val="000000"/>
        </w:rPr>
      </w:pPr>
      <w:r>
        <w:rPr>
          <w:rFonts w:ascii="標楷體" w:eastAsia="標楷體" w:hAnsi="標楷體" w:hint="eastAsia"/>
          <w:szCs w:val="24"/>
        </w:rPr>
        <w:t>7.</w:t>
      </w:r>
      <w:r w:rsidRPr="00CF183E">
        <w:rPr>
          <w:rFonts w:ascii="標楷體" w:eastAsia="標楷體" w:hAnsi="標楷體"/>
          <w:szCs w:val="24"/>
        </w:rPr>
        <w:t>與pembrolizumab及carboplatin併用於早期三陰性乳癌(第II期至第IIIb期，</w:t>
      </w:r>
      <w:r w:rsidRPr="00CF183E">
        <w:rPr>
          <w:rFonts w:ascii="標楷體" w:eastAsia="標楷體" w:hAnsi="標楷體"/>
          <w:szCs w:val="24"/>
        </w:rPr>
        <w:lastRenderedPageBreak/>
        <w:t>cT1c N1-2 或 T2-4 N0-2)病人的術前前導性治療用藥，病人需符合免疫檢查點抑制劑之藥品給付規定。(114/6/1)</w:t>
      </w:r>
    </w:p>
    <w:p w:rsidR="00B96EA0" w:rsidRDefault="00CF183E" w:rsidP="00CF183E">
      <w:pPr>
        <w:spacing w:line="300" w:lineRule="exact"/>
        <w:ind w:left="993" w:hanging="227"/>
        <w:rPr>
          <w:rFonts w:ascii="標楷體" w:eastAsia="標楷體" w:hAnsi="標楷體"/>
          <w:color w:val="000000"/>
        </w:rPr>
      </w:pPr>
      <w:r>
        <w:rPr>
          <w:rFonts w:ascii="標楷體" w:eastAsia="標楷體" w:hAnsi="標楷體" w:hint="eastAsia"/>
          <w:szCs w:val="24"/>
        </w:rPr>
        <w:t>8.</w:t>
      </w:r>
      <w:r w:rsidRPr="00CF183E">
        <w:rPr>
          <w:rFonts w:ascii="標楷體" w:eastAsia="標楷體" w:hAnsi="標楷體"/>
          <w:szCs w:val="24"/>
        </w:rPr>
        <w:t>與atezolizumab及bevacizumab(限使用Alymsys、Avastin、Abevmy、Vegzelma或Mvasi)、carboplatin併用於轉移性非鱗狀非小細胞肺癌第一線治療，患者需符合免疫檢查點抑制劑之藥品給付規定。(114/6/1</w:t>
      </w:r>
      <w:r w:rsidRPr="00CF183E">
        <w:rPr>
          <w:rFonts w:ascii="標楷體" w:eastAsia="標楷體" w:hAnsi="標楷體" w:hint="eastAsia"/>
          <w:szCs w:val="24"/>
        </w:rPr>
        <w:t>、114/8/1</w:t>
      </w:r>
      <w:r w:rsidRPr="00CF183E">
        <w:rPr>
          <w:rFonts w:ascii="標楷體" w:eastAsia="標楷體" w:hAnsi="標楷體"/>
          <w:szCs w:val="24"/>
        </w:rPr>
        <w:t>)</w:t>
      </w:r>
      <w:bookmarkEnd w:id="2"/>
    </w:p>
    <w:p w:rsidR="00B96EA0" w:rsidRDefault="007D66B8" w:rsidP="005142EB">
      <w:pPr>
        <w:spacing w:line="400" w:lineRule="exact"/>
        <w:ind w:left="284" w:hanging="1"/>
        <w:rPr>
          <w:rFonts w:ascii="標楷體" w:eastAsia="標楷體" w:hAnsi="標楷體"/>
          <w:color w:val="000000"/>
        </w:rPr>
      </w:pPr>
      <w:r>
        <w:rPr>
          <w:rFonts w:ascii="標楷體" w:eastAsia="標楷體" w:hAnsi="標楷體"/>
          <w:color w:val="000000"/>
        </w:rPr>
        <w:t>9.5.2.Albumin-based paclitaxel（如Abraxane）：(108/11/1)</w:t>
      </w:r>
    </w:p>
    <w:p w:rsidR="00B96EA0" w:rsidRDefault="007D66B8" w:rsidP="005142EB">
      <w:pPr>
        <w:spacing w:line="400" w:lineRule="exact"/>
        <w:ind w:left="565" w:hanging="1"/>
        <w:rPr>
          <w:rFonts w:ascii="標楷體" w:eastAsia="標楷體" w:hAnsi="標楷體"/>
          <w:color w:val="000000"/>
        </w:rPr>
      </w:pPr>
      <w:r>
        <w:rPr>
          <w:rFonts w:ascii="標楷體" w:eastAsia="標楷體" w:hAnsi="標楷體"/>
          <w:color w:val="000000"/>
        </w:rPr>
        <w:tab/>
        <w:t>限併用gemcitabine，做為轉移性胰腺癌患者之第一線治療。</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9.6.Streptococcus pyrogene(如Picibanil)：</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限惡性腫瘤患者患有惡性腹水，肋膜積水或心包膜積水時使用，需檢附病歷摘要。</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9.7.（刪除）（87/7/1、94/1/1、109/10/1）</w:t>
      </w:r>
    </w:p>
    <w:p w:rsidR="00B96EA0" w:rsidRDefault="007D66B8" w:rsidP="005142EB">
      <w:pPr>
        <w:spacing w:line="400" w:lineRule="exact"/>
        <w:ind w:left="672" w:hanging="386"/>
      </w:pPr>
      <w:r>
        <w:rPr>
          <w:rFonts w:ascii="標楷體" w:eastAsia="標楷體" w:hAnsi="標楷體"/>
          <w:color w:val="000000"/>
        </w:rPr>
        <w:t>9.8.Toremifene（如Fareston）：（88/6/1）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限用於停經後，且女性荷爾蒙接受體(estrogen receptor)為陽性之轉移性乳癌病患。</w:t>
      </w:r>
    </w:p>
    <w:p w:rsidR="00B96EA0" w:rsidRDefault="007D66B8" w:rsidP="005142EB">
      <w:pPr>
        <w:spacing w:line="400" w:lineRule="exact"/>
        <w:ind w:left="672" w:hanging="386"/>
      </w:pPr>
      <w:r>
        <w:rPr>
          <w:rFonts w:ascii="標楷體" w:eastAsia="標楷體" w:hAnsi="標楷體"/>
          <w:color w:val="000000"/>
        </w:rPr>
        <w:t>9.9.Vinorelbine：(91/1/1、95/6/1、96/9/1、101/3/1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(1)晚期或無法手術切除之非小細胞肺癌及轉移性乳癌病患。</w:t>
      </w:r>
    </w:p>
    <w:p w:rsidR="00B96EA0" w:rsidRDefault="007D66B8" w:rsidP="005142EB">
      <w:pPr>
        <w:spacing w:line="400" w:lineRule="exact"/>
        <w:ind w:left="1049" w:hanging="341"/>
      </w:pPr>
      <w:r>
        <w:rPr>
          <w:rFonts w:ascii="標楷體" w:eastAsia="標楷體" w:hAnsi="標楷體"/>
          <w:color w:val="000000"/>
        </w:rPr>
        <w:t>(2)病理分期第二期及第三期前半(stageII &amp; stageIIIA)非小細胞肺癌於接受根治性手術後與鉑金類藥品併用之輔助治療，</w:t>
      </w:r>
      <w:r>
        <w:rPr>
          <w:rFonts w:ascii="標楷體" w:eastAsia="標楷體" w:hAnsi="標楷體"/>
          <w:kern w:val="0"/>
          <w:szCs w:val="24"/>
        </w:rPr>
        <w:t>最多可使用4療程(106/11/1)。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2.本成分之口服劑型與注射劑型不得併用。</w:t>
      </w:r>
    </w:p>
    <w:p w:rsidR="00B96EA0" w:rsidRDefault="00D927FE" w:rsidP="005142EB">
      <w:pPr>
        <w:spacing w:line="400" w:lineRule="exact"/>
        <w:ind w:left="425" w:hanging="245"/>
        <w:rPr>
          <w:rFonts w:ascii="標楷體" w:eastAsia="標楷體" w:hAnsi="標楷體"/>
          <w:color w:val="000000"/>
        </w:rPr>
      </w:pPr>
      <w:bookmarkStart w:id="3" w:name="_Hlk75364262"/>
      <w:r w:rsidRPr="003C5F9F">
        <w:rPr>
          <w:rFonts w:ascii="標楷體" w:eastAsia="標楷體" w:hAnsi="標楷體"/>
          <w:color w:val="000000"/>
          <w:szCs w:val="24"/>
        </w:rPr>
        <w:t>9.10.Oxaliplatin：（需符合藥品許可證登載之適應症）（89/7/1、91/10/1、93/8/1、98/2/1、98/3/1、98/7/1、102/9/1、102/12/1、109/12/1、110/5/1、110/6/1、110/7/1、111/11/1、113/4/1、113/6/1</w:t>
      </w:r>
      <w:r w:rsidRPr="00D927FE">
        <w:rPr>
          <w:rFonts w:ascii="標楷體" w:eastAsia="標楷體" w:hAnsi="標楷體" w:hint="eastAsia"/>
          <w:szCs w:val="24"/>
        </w:rPr>
        <w:t>、115/2/1</w:t>
      </w:r>
      <w:r w:rsidRPr="003C5F9F">
        <w:rPr>
          <w:rFonts w:ascii="標楷體" w:eastAsia="標楷體" w:hAnsi="標楷體"/>
          <w:color w:val="000000"/>
          <w:szCs w:val="24"/>
        </w:rPr>
        <w:t>)</w:t>
      </w:r>
    </w:p>
    <w:p w:rsidR="00167FEB" w:rsidRPr="00167FEB" w:rsidRDefault="00167FEB" w:rsidP="00167FEB">
      <w:pPr>
        <w:autoSpaceDE w:val="0"/>
        <w:spacing w:line="400" w:lineRule="exact"/>
        <w:ind w:left="850" w:hanging="284"/>
        <w:rPr>
          <w:rFonts w:ascii="標楷體" w:eastAsia="標楷體" w:hAnsi="標楷體"/>
          <w:color w:val="000000"/>
        </w:rPr>
      </w:pPr>
      <w:bookmarkStart w:id="4" w:name="_Hlk219901421"/>
      <w:r w:rsidRPr="00167FEB">
        <w:rPr>
          <w:rFonts w:ascii="標楷體" w:eastAsia="標楷體" w:hAnsi="標楷體"/>
          <w:color w:val="000000"/>
        </w:rPr>
        <w:t>1.和5-FU和folinic acid併用</w:t>
      </w:r>
    </w:p>
    <w:p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(1)治療轉移性結腸直腸癌，惟若再加用irinotecan (如Campto)則不予給付。(91/10/1)</w:t>
      </w:r>
    </w:p>
    <w:p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(2)作為第三期結腸癌(Duke`s C) 原發腫瘤完全切除手術後的輔助療法。(98/2/1)</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2.與fluoropyrimidine類藥物(如capecitabine、5-FU、UFUR，但不包含TS-1)併用，可用於局部晚期及復發/轉移性胃癌之治療。(須依藥品許可證登載之適應症使用)。(98/2/1、98/3/1、98/7/1、102/9/1、102/12/1、109/12/1）</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3.與5-fluorouracil、leucovorin及irinotecan併用(FOLFIRINOX)，作為轉移性胰臟癌之第一線治療。(110/5/1、110/6/1、110/7/1、111/11/1)</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4.與nivolumab及fluoropyrimidine（5-FU或capecitabine）併用於第一線治療晚期或轉移性且不具有HER2過度表現的胃癌病人，病人需符合免疫檢查點抑制劑之藥品給付規定。(113/4/1、113/6/1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hint="eastAsia"/>
          <w:color w:val="000000"/>
        </w:rPr>
        <w:t>5.</w:t>
      </w:r>
      <w:r w:rsidRPr="00167FEB">
        <w:rPr>
          <w:rFonts w:ascii="標楷體" w:eastAsia="標楷體" w:hAnsi="標楷體"/>
          <w:color w:val="000000"/>
        </w:rPr>
        <w:t>與nivolumab及fluoropyrimidine併用於</w:t>
      </w:r>
      <w:r w:rsidRPr="00167FEB">
        <w:rPr>
          <w:rFonts w:ascii="標楷體" w:eastAsia="標楷體" w:hAnsi="標楷體" w:hint="eastAsia"/>
          <w:color w:val="000000"/>
        </w:rPr>
        <w:t>無法接受化學放射性治療或手術切除等治癒性治療之晚期或轉移性食道鱗狀細胞癌成人病人的第一線治療</w:t>
      </w:r>
      <w:r w:rsidRPr="00167FEB">
        <w:rPr>
          <w:rFonts w:ascii="標楷體" w:eastAsia="標楷體" w:hAnsi="標楷體"/>
          <w:color w:val="000000"/>
        </w:rPr>
        <w:t>，病人需符合免疫檢查點抑制劑之藥品給付規定。(</w:t>
      </w:r>
      <w:r w:rsidRPr="00167FEB">
        <w:rPr>
          <w:rFonts w:ascii="標楷體" w:eastAsia="標楷體" w:hAnsi="標楷體" w:hint="eastAsia"/>
          <w:color w:val="000000"/>
        </w:rPr>
        <w:t>115/2/1</w:t>
      </w:r>
      <w:r w:rsidRPr="00167FEB">
        <w:rPr>
          <w:rFonts w:ascii="標楷體" w:eastAsia="標楷體" w:hAnsi="標楷體"/>
          <w:color w:val="000000"/>
        </w:rPr>
        <w:t>)</w:t>
      </w:r>
      <w:bookmarkEnd w:id="4"/>
    </w:p>
    <w:bookmarkEnd w:id="3"/>
    <w:p w:rsidR="00B96EA0" w:rsidRDefault="007D66B8" w:rsidP="005142EB">
      <w:pPr>
        <w:spacing w:line="400" w:lineRule="exact"/>
        <w:ind w:left="567" w:hanging="244"/>
        <w:rPr>
          <w:rFonts w:ascii="標楷體" w:eastAsia="標楷體" w:hAnsi="標楷體"/>
          <w:color w:val="000000"/>
        </w:rPr>
      </w:pPr>
      <w:r>
        <w:rPr>
          <w:rFonts w:ascii="標楷體" w:eastAsia="標楷體" w:hAnsi="標楷體"/>
          <w:color w:val="000000"/>
        </w:rPr>
        <w:lastRenderedPageBreak/>
        <w:t>9.11.Uracil-Tegafur：(如Ufur)(100/1/1)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1.限轉移性胃癌、轉移性直腸癌、轉移性結腸癌、轉移性乳癌之病患使用（89/10/1、97/12/1）。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2.頭頸部鱗狀上皮癌(93/4/1、98/3/1、99/10/1)。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3.與cisplatin併用治療轉移及末期肺癌。</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4.直腸癌、結腸癌第Ⅱ、Ⅲ期患者之術後輔助性治療，且使用期限不得超過2年(94/10/1、97/12/1)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5.用於病理分期為T2且腫瘤≧3cm之肺腺癌病人，作為手術後輔助治療，使用期限以二年為限。(100/1/1)</w:t>
      </w:r>
    </w:p>
    <w:p w:rsidR="00B96EA0" w:rsidRDefault="007D66B8" w:rsidP="005142EB">
      <w:pPr>
        <w:spacing w:line="400" w:lineRule="exact"/>
        <w:ind w:left="567" w:hanging="245"/>
        <w:rPr>
          <w:rFonts w:ascii="標楷體" w:eastAsia="標楷體" w:hAnsi="標楷體"/>
          <w:color w:val="000000"/>
        </w:rPr>
      </w:pPr>
      <w:bookmarkStart w:id="5" w:name="_Hlk77950822"/>
      <w:bookmarkStart w:id="6" w:name="_Hlk70079694"/>
      <w:r>
        <w:rPr>
          <w:rFonts w:ascii="標楷體" w:eastAsia="標楷體" w:hAnsi="標楷體"/>
          <w:color w:val="000000"/>
        </w:rPr>
        <w:t>9.12.Irinotecan(90/10/1、107/8/1、110/5/1、110/7/1、110/8/1、112/2/1</w:t>
      </w:r>
      <w:r w:rsidR="00290448">
        <w:rPr>
          <w:rFonts w:ascii="標楷體" w:eastAsia="標楷體" w:hAnsi="標楷體" w:hint="eastAsia"/>
          <w:color w:val="000000"/>
        </w:rPr>
        <w:t>、114/12/1</w:t>
      </w:r>
      <w:r>
        <w:rPr>
          <w:rFonts w:ascii="標楷體" w:eastAsia="標楷體" w:hAnsi="標楷體"/>
          <w:color w:val="000000"/>
        </w:rPr>
        <w:t>)</w:t>
      </w:r>
    </w:p>
    <w:p w:rsidR="00B96EA0" w:rsidRDefault="007D66B8" w:rsidP="005142EB">
      <w:pPr>
        <w:spacing w:line="400" w:lineRule="exact"/>
        <w:ind w:left="567" w:hanging="245"/>
      </w:pPr>
      <w:r>
        <w:rPr>
          <w:rFonts w:ascii="標楷體" w:eastAsia="標楷體" w:hAnsi="標楷體"/>
          <w:color w:val="000000"/>
        </w:rPr>
        <w:t>9.12.1.Irinotecan(如Campto injection)：（需符合藥品許可證登載之適應症）(90/10/1、93/8/1、110/5/1、110/7/1、110/8/1、112/2/1)</w:t>
      </w:r>
    </w:p>
    <w:p w:rsidR="00B96EA0" w:rsidRDefault="007D66B8" w:rsidP="005142EB">
      <w:pPr>
        <w:spacing w:line="400" w:lineRule="exact"/>
        <w:ind w:left="238" w:hanging="245"/>
        <w:rPr>
          <w:rFonts w:ascii="標楷體" w:eastAsia="標楷體" w:hAnsi="標楷體"/>
          <w:color w:val="000000"/>
        </w:rPr>
      </w:pPr>
      <w:r>
        <w:rPr>
          <w:rFonts w:ascii="標楷體" w:eastAsia="標楷體" w:hAnsi="標楷體"/>
          <w:color w:val="000000"/>
        </w:rPr>
        <w:t>     1.限轉移性大腸直腸癌之第一線治療藥物:</w:t>
      </w:r>
    </w:p>
    <w:p w:rsidR="00B96EA0" w:rsidRDefault="007D66B8" w:rsidP="005142EB">
      <w:pPr>
        <w:spacing w:line="400" w:lineRule="exact"/>
        <w:ind w:left="851" w:hanging="245"/>
      </w:pPr>
      <w:r>
        <w:rPr>
          <w:rFonts w:ascii="標楷體" w:eastAsia="標楷體" w:hAnsi="標楷體"/>
          <w:color w:val="000000"/>
        </w:rPr>
        <w:t>(1)與5-FU及</w:t>
      </w:r>
      <w:r>
        <w:rPr>
          <w:rFonts w:ascii="標楷體" w:eastAsia="標楷體" w:hAnsi="標楷體"/>
        </w:rPr>
        <w:t>folinic acid合併，使</w:t>
      </w:r>
      <w:r>
        <w:rPr>
          <w:rFonts w:ascii="標楷體" w:eastAsia="標楷體" w:hAnsi="標楷體"/>
          <w:color w:val="000000"/>
        </w:rPr>
        <w:t>用於未曾接受過化學治療之患者。</w:t>
      </w:r>
    </w:p>
    <w:p w:rsidR="00B96EA0" w:rsidRDefault="007D66B8" w:rsidP="005142EB">
      <w:pPr>
        <w:spacing w:line="400" w:lineRule="exact"/>
        <w:ind w:left="851" w:hanging="245"/>
        <w:rPr>
          <w:rFonts w:ascii="標楷體" w:eastAsia="標楷體" w:hAnsi="標楷體"/>
          <w:color w:val="000000"/>
        </w:rPr>
      </w:pPr>
      <w:r>
        <w:rPr>
          <w:rFonts w:ascii="標楷體" w:eastAsia="標楷體" w:hAnsi="標楷體"/>
          <w:color w:val="000000"/>
        </w:rPr>
        <w:t>(2)單獨使用於曾接受5-FU療程治療無效之患者。</w:t>
      </w:r>
    </w:p>
    <w:p w:rsidR="00B96EA0" w:rsidRDefault="007D66B8" w:rsidP="005142EB">
      <w:pPr>
        <w:spacing w:line="400" w:lineRule="exact"/>
        <w:ind w:left="812" w:hanging="245"/>
        <w:rPr>
          <w:rFonts w:ascii="標楷體" w:eastAsia="標楷體" w:hAnsi="標楷體"/>
          <w:color w:val="000000"/>
        </w:rPr>
      </w:pPr>
      <w:r>
        <w:rPr>
          <w:rFonts w:ascii="標楷體" w:eastAsia="標楷體" w:hAnsi="標楷體"/>
          <w:color w:val="000000"/>
        </w:rPr>
        <w:t>2.與5-fluorouracil、leucovorin及oxaliplatin併用(FOLFIRINOX)，做為轉移性胰臟癌之第一線治療(限用Irino、Irinotel、Campto、Irinotecan Injection Concentrate、Irican、Innocan、Irinotecan Injection)。(110/5/1、110/7/1、110/8/1、112/2/1)</w:t>
      </w:r>
    </w:p>
    <w:p w:rsidR="00270EF3" w:rsidRDefault="007D66B8" w:rsidP="00270EF3">
      <w:pPr>
        <w:spacing w:line="400" w:lineRule="exact"/>
        <w:ind w:left="567" w:hanging="244"/>
        <w:rPr>
          <w:rFonts w:ascii="標楷體" w:eastAsia="標楷體" w:hAnsi="標楷體"/>
          <w:color w:val="000000"/>
        </w:rPr>
      </w:pPr>
      <w:r>
        <w:rPr>
          <w:rFonts w:ascii="標楷體" w:eastAsia="標楷體" w:hAnsi="標楷體"/>
          <w:color w:val="000000"/>
        </w:rPr>
        <w:t>9.12.2.</w:t>
      </w:r>
      <w:bookmarkEnd w:id="5"/>
      <w:r w:rsidR="00270EF3">
        <w:rPr>
          <w:rFonts w:ascii="標楷體" w:eastAsia="標楷體" w:hAnsi="標楷體"/>
          <w:color w:val="000000"/>
        </w:rPr>
        <w:t>Irinotecan微脂體注射劑(如Onivyde)：(107/8/1</w:t>
      </w:r>
      <w:r w:rsidR="00270EF3">
        <w:rPr>
          <w:rFonts w:ascii="標楷體" w:eastAsia="標楷體" w:hAnsi="標楷體" w:hint="eastAsia"/>
          <w:color w:val="000000"/>
        </w:rPr>
        <w:t>、114/12/1</w:t>
      </w:r>
      <w:r w:rsidR="00270EF3">
        <w:rPr>
          <w:rFonts w:ascii="標楷體" w:eastAsia="標楷體" w:hAnsi="標楷體"/>
          <w:color w:val="000000"/>
        </w:rPr>
        <w:t>)</w:t>
      </w:r>
    </w:p>
    <w:p w:rsidR="00270EF3" w:rsidRDefault="00270EF3" w:rsidP="00270EF3">
      <w:pPr>
        <w:spacing w:line="400" w:lineRule="exact"/>
        <w:ind w:left="851" w:hanging="244"/>
        <w:rPr>
          <w:rFonts w:ascii="標楷體" w:eastAsia="標楷體" w:hAnsi="標楷體"/>
          <w:color w:val="000000"/>
        </w:rPr>
      </w:pPr>
      <w:r>
        <w:rPr>
          <w:rFonts w:ascii="標楷體" w:eastAsia="標楷體" w:hAnsi="標楷體"/>
          <w:color w:val="000000"/>
        </w:rPr>
        <w:t>1.與5-FU及leucovorin合併使用於曾接受過gemcitabine治療後復發或惡化之轉移性胰腺癌。</w:t>
      </w:r>
      <w:r w:rsidR="00290448">
        <w:rPr>
          <w:rFonts w:ascii="標楷體" w:eastAsia="標楷體" w:hAnsi="標楷體"/>
          <w:color w:val="000000"/>
        </w:rPr>
        <w:t>(107/8/1)</w:t>
      </w:r>
    </w:p>
    <w:p w:rsidR="00270EF3" w:rsidRDefault="00270EF3" w:rsidP="00270EF3">
      <w:pPr>
        <w:spacing w:line="400" w:lineRule="exact"/>
        <w:ind w:left="851" w:hanging="244"/>
        <w:rPr>
          <w:rFonts w:ascii="標楷體" w:eastAsia="標楷體" w:hAnsi="標楷體"/>
          <w:color w:val="000000"/>
        </w:rPr>
      </w:pPr>
      <w:r>
        <w:rPr>
          <w:rFonts w:ascii="標楷體" w:eastAsia="標楷體" w:hAnsi="標楷體" w:hint="eastAsia"/>
          <w:color w:val="000000"/>
        </w:rPr>
        <w:t>2.與o</w:t>
      </w:r>
      <w:r>
        <w:rPr>
          <w:rFonts w:ascii="標楷體" w:eastAsia="標楷體" w:hAnsi="標楷體"/>
          <w:color w:val="000000"/>
        </w:rPr>
        <w:t>xaliplatin</w:t>
      </w:r>
      <w:r>
        <w:rPr>
          <w:rFonts w:ascii="標楷體" w:eastAsia="標楷體" w:hAnsi="標楷體" w:hint="eastAsia"/>
          <w:color w:val="000000"/>
        </w:rPr>
        <w:t>、5</w:t>
      </w:r>
      <w:r>
        <w:rPr>
          <w:rFonts w:ascii="標楷體" w:eastAsia="標楷體" w:hAnsi="標楷體"/>
          <w:color w:val="000000"/>
        </w:rPr>
        <w:t>-FU</w:t>
      </w:r>
      <w:r>
        <w:rPr>
          <w:rFonts w:ascii="標楷體" w:eastAsia="標楷體" w:hAnsi="標楷體" w:hint="eastAsia"/>
          <w:color w:val="000000"/>
        </w:rPr>
        <w:t>和l</w:t>
      </w:r>
      <w:r>
        <w:rPr>
          <w:rFonts w:ascii="標楷體" w:eastAsia="標楷體" w:hAnsi="標楷體"/>
          <w:color w:val="000000"/>
        </w:rPr>
        <w:t>eucovorin</w:t>
      </w:r>
      <w:r>
        <w:rPr>
          <w:rFonts w:ascii="標楷體" w:eastAsia="標楷體" w:hAnsi="標楷體" w:hint="eastAsia"/>
          <w:color w:val="000000"/>
        </w:rPr>
        <w:t>併用，作為轉移性胰腺癌成人病人第一線治療。</w:t>
      </w:r>
      <w:r w:rsidR="00290448">
        <w:rPr>
          <w:rFonts w:ascii="標楷體" w:eastAsia="標楷體" w:hAnsi="標楷體"/>
          <w:color w:val="000000"/>
        </w:rPr>
        <w:t>(</w:t>
      </w:r>
      <w:r w:rsidR="00290448">
        <w:rPr>
          <w:rFonts w:ascii="標楷體" w:eastAsia="標楷體" w:hAnsi="標楷體" w:hint="eastAsia"/>
          <w:color w:val="000000"/>
        </w:rPr>
        <w:t>114/12/1</w:t>
      </w:r>
      <w:r w:rsidR="00290448">
        <w:rPr>
          <w:rFonts w:ascii="標楷體" w:eastAsia="標楷體" w:hAnsi="標楷體"/>
          <w:color w:val="000000"/>
        </w:rPr>
        <w:t>)</w:t>
      </w:r>
    </w:p>
    <w:p w:rsidR="00B96EA0" w:rsidRDefault="00270EF3" w:rsidP="00C26383">
      <w:pPr>
        <w:spacing w:line="400" w:lineRule="exact"/>
        <w:ind w:left="851" w:hanging="245"/>
        <w:rPr>
          <w:rFonts w:ascii="標楷體" w:eastAsia="標楷體" w:hAnsi="標楷體"/>
          <w:color w:val="000000"/>
        </w:rPr>
      </w:pPr>
      <w:r>
        <w:rPr>
          <w:rFonts w:ascii="標楷體" w:eastAsia="標楷體" w:hAnsi="標楷體" w:hint="eastAsia"/>
          <w:color w:val="000000"/>
        </w:rPr>
        <w:t>3</w:t>
      </w:r>
      <w:r>
        <w:rPr>
          <w:rFonts w:ascii="標楷體" w:eastAsia="標楷體" w:hAnsi="標楷體"/>
          <w:color w:val="000000"/>
        </w:rPr>
        <w:t>.需經事前審查核准後使用。</w:t>
      </w:r>
    </w:p>
    <w:bookmarkEnd w:id="6"/>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9.13.Aldesleukin(如Proleukin for Injection)：(90/10/1、93/8/1)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限轉移性腎細胞癌及惡性黑色素癌病患使用。</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9.14.Doxorubicin hydrochloride liposome injection(如Lipo-Dox、Caelyx)：(91/3/1、93/8/1、93/11/1、99/10/1)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限用於下列適應症:(99/10/1)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1.用於治療曾接受第一線含platinum及paclitaxel化學治療而失敗者或再復發之進行性或轉移性卵巢癌病人。(91/3/1)</w:t>
      </w:r>
    </w:p>
    <w:p w:rsidR="00B96EA0" w:rsidRDefault="007D66B8" w:rsidP="005142EB">
      <w:pPr>
        <w:spacing w:line="400" w:lineRule="exact"/>
        <w:ind w:left="811" w:hanging="245"/>
      </w:pPr>
      <w:r>
        <w:rPr>
          <w:rFonts w:ascii="標楷體" w:eastAsia="標楷體" w:hAnsi="標楷體"/>
          <w:color w:val="000000"/>
        </w:rPr>
        <w:t>2.用於治療CD4數量低下（&lt;200 CD4 lymphocyte/mm</w:t>
      </w:r>
      <w:r>
        <w:rPr>
          <w:rFonts w:ascii="標楷體" w:eastAsia="標楷體" w:hAnsi="標楷體"/>
          <w:color w:val="000000"/>
          <w:vertAlign w:val="superscript"/>
        </w:rPr>
        <w:t>3</w:t>
      </w:r>
      <w:r>
        <w:rPr>
          <w:rFonts w:ascii="標楷體" w:eastAsia="標楷體" w:hAnsi="標楷體"/>
          <w:color w:val="000000"/>
        </w:rPr>
        <w:t>）和粘膜、皮膚或內臟有病變的AIDS related Kaposi’s Sarcoma的病人。(91/3/1)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3.用於單一治療有心臟疾病風險考量之轉移性乳癌患者。(93/11/1)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lastRenderedPageBreak/>
        <w:t>9.15.Tretinoin（如Vesanoid Soft Gelatin）：（88/10/1）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限急性前髓性白血病使用。</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9.16.Topotecan（如Hycamtin）：（88/10/1、93/8/1、98/11/1、100/6/1）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9.16.1.Topotecan注射劑（88/10/1、93/8/1、98/11/1）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1.限卵巢癌及小細胞肺癌之第二線化學治療（第一線治療應包括白金化合物）。</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2.與cisplatin併用適用於治療經組織學檢查確定患有第IV-B期復發性或持續性子宮頸癌，且不適合以外科手術及（或）放射療法進行治療的患者。（98/11/1）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9.16.2.Topotecan口服劑型（100/6/1）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限用於小細胞肺癌之第二線化學治療（第一線治療應包括白金化合物）。</w:t>
      </w:r>
    </w:p>
    <w:p w:rsidR="00B96EA0" w:rsidRDefault="00167FEB" w:rsidP="005142EB">
      <w:pPr>
        <w:spacing w:line="400" w:lineRule="exact"/>
        <w:ind w:left="567" w:hanging="283"/>
        <w:rPr>
          <w:rFonts w:ascii="標楷體" w:eastAsia="標楷體" w:hAnsi="標楷體"/>
          <w:color w:val="000000"/>
        </w:rPr>
      </w:pPr>
      <w:r w:rsidRPr="003C5F9F">
        <w:rPr>
          <w:rFonts w:ascii="標楷體" w:eastAsia="標楷體" w:hAnsi="標楷體"/>
          <w:color w:val="000000"/>
          <w:szCs w:val="24"/>
        </w:rPr>
        <w:t>9.17.Capecitabine（如Xeloda）：（88/10/1、91/4/1、92/6/1、93/8/1、96/9/1、97/12/1、110/2/1、113/4/1、113/6/1</w:t>
      </w:r>
      <w:r w:rsidRPr="00167FEB">
        <w:rPr>
          <w:rFonts w:ascii="標楷體" w:eastAsia="標楷體" w:hAnsi="標楷體" w:hint="eastAsia"/>
          <w:szCs w:val="24"/>
        </w:rPr>
        <w:t>、115/2/1</w:t>
      </w:r>
      <w:r w:rsidRPr="003C5F9F">
        <w:rPr>
          <w:rFonts w:ascii="標楷體" w:eastAsia="標楷體" w:hAnsi="標楷體"/>
          <w:color w:val="000000"/>
          <w:szCs w:val="24"/>
        </w:rPr>
        <w:t>）</w:t>
      </w:r>
    </w:p>
    <w:p w:rsidR="00167FEB" w:rsidRPr="00167FEB" w:rsidRDefault="00167FEB" w:rsidP="00167FEB">
      <w:pPr>
        <w:spacing w:line="400" w:lineRule="exact"/>
        <w:ind w:left="811" w:hanging="245"/>
        <w:rPr>
          <w:rFonts w:ascii="標楷體" w:eastAsia="標楷體" w:hAnsi="標楷體"/>
          <w:color w:val="000000"/>
        </w:rPr>
      </w:pPr>
      <w:bookmarkStart w:id="7" w:name="_Hlk219901609"/>
      <w:r w:rsidRPr="00167FEB">
        <w:rPr>
          <w:rFonts w:ascii="標楷體" w:eastAsia="標楷體" w:hAnsi="標楷體"/>
          <w:color w:val="000000"/>
        </w:rPr>
        <w:t>1.Capecitabine與docetaxel併用於治療對anthracycline化學治療無效之局部晚期或轉移性乳癌病患。</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2.用於局部晚期或轉移性乳癌，需符合下列條件之一：(110/2/1)</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(1)Capecitabine單獨用於無法接受anthracycline治療者。</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(2)Capecitabine合併ixabepilone用於對taxane有抗藥性且無法接受anthracycline治療者。</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(3)Capecitabine單獨或合併ixabepilone用於對taxane及anthracycline治療無效者。</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3.治療轉移性結腸直腸癌的第一線用藥。(92/6/1)</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4.第三期結腸癌患者手術後的輔助性療法，以八個療程為限。（96/9/1）</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5.Capecitabine合併platinum可使用於晚期胃癌之第一線治療。(97/12/1)</w:t>
      </w:r>
    </w:p>
    <w:p w:rsidR="00B96EA0" w:rsidRDefault="00167FEB" w:rsidP="00167FEB">
      <w:pPr>
        <w:spacing w:line="400" w:lineRule="exact"/>
        <w:ind w:left="811" w:hanging="245"/>
      </w:pPr>
      <w:r w:rsidRPr="00167FEB">
        <w:rPr>
          <w:rFonts w:ascii="標楷體" w:eastAsia="標楷體" w:hAnsi="標楷體"/>
          <w:color w:val="000000"/>
        </w:rPr>
        <w:t>6.與nivolumab及oxaliplatin併用於第一線治療晚期或轉移性且不具有HER2過度表現的胃癌病人，病人需符合免疫檢查點抑制劑之藥品給付規定。(113/4/1、113/6/1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bookmarkEnd w:id="7"/>
    </w:p>
    <w:p w:rsidR="00926D01" w:rsidRDefault="007D66B8" w:rsidP="00926D01">
      <w:pPr>
        <w:spacing w:line="400" w:lineRule="exact"/>
        <w:ind w:left="672" w:hanging="386"/>
        <w:rPr>
          <w:rFonts w:ascii="標楷體" w:eastAsia="標楷體" w:hAnsi="標楷體"/>
          <w:color w:val="000000"/>
        </w:rPr>
      </w:pPr>
      <w:r>
        <w:rPr>
          <w:rFonts w:ascii="標楷體" w:eastAsia="標楷體" w:hAnsi="標楷體"/>
          <w:color w:val="000000"/>
        </w:rPr>
        <w:t>9.18.</w:t>
      </w:r>
      <w:r w:rsidR="00926D01" w:rsidRPr="00926D01">
        <w:rPr>
          <w:rFonts w:ascii="標楷體" w:eastAsia="標楷體" w:hAnsi="標楷體"/>
          <w:color w:val="000000"/>
        </w:rPr>
        <w:t xml:space="preserve"> </w:t>
      </w:r>
      <w:r w:rsidR="00926D01">
        <w:rPr>
          <w:rFonts w:ascii="標楷體" w:eastAsia="標楷體" w:hAnsi="標楷體"/>
          <w:color w:val="000000"/>
        </w:rPr>
        <w:t>Trastuzumab (如Herceptin)：(91/4/1、93/8/1、95/2/1、99/1/1、99/8/1、99/10/1、101/1/1、105/11/1、108/5/1、109/2/1、111/12/1、112/10/1、113/8/1、113/12/1、114/1/1、114/5/1</w:t>
      </w:r>
      <w:r w:rsidR="00926D01" w:rsidRPr="00EF2A43">
        <w:rPr>
          <w:rFonts w:ascii="標楷體" w:eastAsia="標楷體" w:hAnsi="標楷體"/>
          <w:color w:val="000000"/>
        </w:rPr>
        <w:t>、114/12/1</w:t>
      </w:r>
      <w:r w:rsidR="00926D01">
        <w:rPr>
          <w:rFonts w:ascii="標楷體" w:eastAsia="標楷體" w:hAnsi="標楷體"/>
          <w:color w:val="000000"/>
        </w:rPr>
        <w:t>)</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1.早期乳癌(99/1/1、99/8/1、99/10/1、101/1/1、111/12/1、112/10/1、113/8/1、113/12/1、114/1/1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外科手術前後、化學療法(術前輔助治療或輔助治療)治療後，具HER2過度表現(IHC3+或FISH+)，且具腋下淋巴結轉移但無遠處臟器轉移之早期乳癌患者，作為輔助性治療用藥：(99/8/1、99/10/1、101/1/1、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I.外科手術後達病理上緩解(pCR)，下列i.~iii.使用於外科手術前後之總療程合併計算，依藥品仿單記載以18個療程為上限：(113/8/1、113/12/1、114/1/1</w:t>
      </w:r>
      <w:r w:rsidRPr="00EF2A43">
        <w:rPr>
          <w:rFonts w:ascii="標楷體" w:eastAsia="標楷體" w:hAnsi="標楷體"/>
          <w:color w:val="000000"/>
        </w:rPr>
        <w:t>、</w:t>
      </w:r>
      <w:r w:rsidRPr="00EF2A43">
        <w:rPr>
          <w:rFonts w:ascii="標楷體" w:eastAsia="標楷體" w:hAnsi="標楷體"/>
          <w:color w:val="000000"/>
        </w:rPr>
        <w:lastRenderedPageBreak/>
        <w:t>114/12/1</w:t>
      </w:r>
      <w:r>
        <w:rPr>
          <w:rFonts w:ascii="標楷體" w:eastAsia="標楷體" w:hAnsi="標楷體"/>
          <w:color w:val="000000"/>
        </w:rPr>
        <w:t>)</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i.本藥品</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ii.pertuzumab與trastuzumab併用</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iii.pertuzumab與trastuzumab皮下注射複方製劑(如Phesgo)</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Ⅱ.若外科手術後無法達病理上緩解(non-pCR)，本藥品與trastuzumab emtansine使用於外科手術前後的總療程合併計算，依藥品仿單記載以全部18個療程為上限，其中trastuzumab emtansine以14個療程為上限。(113/8/1、113/12/1)</w:t>
      </w:r>
    </w:p>
    <w:p w:rsidR="00926D01" w:rsidRPr="00EF2A43"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(2)外科手術前後、化學療法(術前輔助治療或輔助治療)治療後，符合下列所有條件之早期乳癌患者：(111/12/1、112/10/1、113/8/1、113/12/1、114/1/1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Ⅰ.HER2過度表現(IHC 3+或FISH+)。</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Ⅱ.雌激素受體（ER)為陰性。</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Ⅲ.腫瘤大於2公分。須經乳房超音波或乳房X光攝影或核磁共振診斷。</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Ⅳ.且未發生腋下淋巴結轉移之早期乳癌患者，作為輔助性治療用藥。</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Ⅴ.依下列條件之一使用(113/8/1)：</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i.外科手術後達病理上緩解(pCR)，本藥品使用於外科手術前後以9個療程為上限。</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ii.若外科手術後無法達病理上緩解(non-pCR)，本藥品與trastuzumab emtansine使用於外科手術前後的總療程合併計算，以全部18個療程為上限，其中trastuzumab emtansine以14個療程為上限。</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2.轉移性乳癌</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(1)單獨使用於治療腫瘤細胞上有HER2過度表現(IHC3+或FISH+)，曾接受過一次以上化學治療之轉移性乳癌病人。(91/4/1、99/1/1)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(2)與paclitaxel或docetaxel併用，使用於未曾接受過化學治療之轉移性乳癌病患，且為HER2過度表現(IHC3+或FISH+)者。(93/8/1、95/2/1、99/1/1)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(3)轉移性乳癌且HER2過度表現之病人，僅限先前未使用過本藥品者方可使用。(99/1/1、108/5/1、113/12/1)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(4)若先前使用過docetaxel及pertuzumab與trastuzumab併用或docetaxel及pertuzumab與trastuzumab皮下注射複方製劑(如Phesgo)併用達18個月上限仍未惡化者，得再次申請本藥品。(108/5/1、113/12/1)</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3.轉移性胃癌(限IV 劑型)</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  Trastuzumab合併capecitabine (或5-fluorouracil)及cisplatin適用於未曾接受過化學治療之HER2過度表現(IHC3+或FISH+)轉移性胃腺癌(或胃食道接合處腺癌)的治療。(109/2/1)</w:t>
      </w:r>
    </w:p>
    <w:p w:rsidR="00B96EA0" w:rsidRDefault="00926D01" w:rsidP="00926D01">
      <w:pPr>
        <w:spacing w:line="400" w:lineRule="exact"/>
        <w:ind w:left="993" w:hanging="386"/>
        <w:rPr>
          <w:rFonts w:ascii="標楷體" w:eastAsia="標楷體" w:hAnsi="標楷體"/>
          <w:color w:val="000000"/>
        </w:rPr>
      </w:pPr>
      <w:r>
        <w:rPr>
          <w:rFonts w:ascii="標楷體" w:eastAsia="標楷體" w:hAnsi="標楷體"/>
          <w:color w:val="000000"/>
        </w:rPr>
        <w:t>4.經事前審查核准後使用，核准後早期乳癌</w:t>
      </w:r>
      <w:r w:rsidR="002A2E0D" w:rsidRPr="002A2E0D">
        <w:rPr>
          <w:rFonts w:ascii="標楷體" w:eastAsia="標楷體" w:hAnsi="標楷體" w:hint="eastAsia"/>
          <w:color w:val="000000"/>
        </w:rPr>
        <w:t>及轉移性胃癌</w:t>
      </w:r>
      <w:r>
        <w:rPr>
          <w:rFonts w:ascii="標楷體" w:eastAsia="標楷體" w:hAnsi="標楷體"/>
          <w:color w:val="000000"/>
        </w:rPr>
        <w:t>每24週、晚期乳癌每18週須檢附療效評估資料再次申請，若疾病有惡化情形即不應再行申請。（105/11/1、</w:t>
      </w:r>
      <w:r>
        <w:rPr>
          <w:rFonts w:ascii="標楷體" w:eastAsia="標楷體" w:hAnsi="標楷體"/>
          <w:color w:val="000000"/>
        </w:rPr>
        <w:lastRenderedPageBreak/>
        <w:t>114/5/1）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9.19.Estramustine sod. phosphate monohydrate(如Estracyt)：(91/4/1)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限晚期前列腺癌病患且符合下列條件之一者使用：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1.經荷爾蒙治療無效。</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2.經診斷對單獨使用荷爾蒙治療，具有預後療效不佳因素的初次治療病患。</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9.20.Rituximab注射劑(如Mabthera，不同劑型之適用範圍需符合藥品許可證登載之適應症)：用於抗癌瘤部分(91/4/1、93/1/1、95/3/1、97/2/1、102/1/1、103/2/1、103/9/1、104/6/1、106/9/1、111/6/1、113/2/1、113/12/1)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1.復發或對化學療效有抗性之低惡度B細胞非何杰金氏淋巴瘤。（91/4/1）</w:t>
      </w:r>
    </w:p>
    <w:p w:rsidR="00B96EA0" w:rsidRDefault="007D66B8" w:rsidP="005142EB">
      <w:pPr>
        <w:spacing w:line="400" w:lineRule="exact"/>
        <w:ind w:left="991" w:hanging="386"/>
      </w:pPr>
      <w:r>
        <w:rPr>
          <w:rFonts w:ascii="標楷體" w:eastAsia="標楷體" w:hAnsi="標楷體"/>
          <w:color w:val="000000"/>
        </w:rPr>
        <w:t>2.併用</w:t>
      </w:r>
      <w:r>
        <w:rPr>
          <w:rFonts w:ascii="標楷體" w:eastAsia="標楷體" w:hAnsi="標楷體"/>
          <w:szCs w:val="24"/>
        </w:rPr>
        <w:t>polatuzumab vedotin或</w:t>
      </w:r>
      <w:r>
        <w:rPr>
          <w:rFonts w:ascii="標楷體" w:eastAsia="標楷體" w:hAnsi="標楷體"/>
          <w:color w:val="000000"/>
        </w:rPr>
        <w:t>CHOP或其他化學療法，用於CD20抗原陽性之B瀰漫性大細胞非何杰金氏淋巴瘤之病患。(93/1/1、95/3/1、113/2/1)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3.併用CVP化學療法，用於未經治療之和緩性（組織型態為濾泡型）B細胞非何杰金氏淋巴瘤的病人。(95/3/1)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4.作為濾泡性淋巴瘤患者於接受含rituximab誘導化學治療後產生反應(達partial remission或complete remission)之病患，若在接受含rituximab誘導化學治療前有下列情形之一者，得接受rituximab維持治療，限用八劑，每三個月使用一劑，最多不超過二年。(97/2/1、104/6/1)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(1)有單一腫瘤直徑超過7公分者；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(2)有超過三顆腫瘤直徑超過3公分者；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(3)脾臟腫大，其長度超過16公分者；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(4)對vitalorgans造成擠壓者；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(5)周邊血中出現淋巴球增生超過5000/mm3者；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(6)出現任一系列血球低下者(platelet&lt;100,000/mm3，或Hb&lt;10gm/dL，或absolute neutrophil count&lt;1500/mm3)。</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5.慢性淋巴球性白血病：(103/2/1、111/6/1)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(1)Rai Stage Ⅲ/Ⅳ(或Binet C級)之CLL病人。若用於Rai StageⅠ/Ⅱ(或Binet A/B級)併有疾病相關免疫性症候(如自體免疫性溶血、免疫性血小板低下紫瘢症等)的病人時，需經過至少一種標準的烷化基劑治療無效或病情惡化者，且CD20陽性細胞須大於50%。（Rixathon不受「需經過一種標準的烷化基劑治療無效或病情惡化，且CD20陽性細胞須大於50%」限制，僅須符合具CD20陽性細胞即可使用，做為第一線用藥需與fludarabine及cyclophosphamide併用）(111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(2)與化學療法併用，做為復發或頑固性的CD20陽性慢性淋巴球性白血病病患的治療用藥，且CD20陽性細胞須大於50%。（Rixathon不受「CD20陽性細胞須大於50%」限制，僅須符合具CD20陽性細胞即可使用）(111/6/1)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(3)初次申請最多六個（月）療程，再次申請以三個療程為限。</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6.與類固醇併用，治療嗜中性白血球細胞質抗體(ANCA)陽性之肉芽腫性血管炎及顯微</w:t>
      </w:r>
      <w:r>
        <w:rPr>
          <w:rFonts w:ascii="標楷體" w:eastAsia="標楷體" w:hAnsi="標楷體"/>
          <w:color w:val="000000"/>
        </w:rPr>
        <w:lastRenderedPageBreak/>
        <w:t>多發性血管炎病人：(103/9/1)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(1)需經事前審查核准後使用，診斷需有病理報告確定及血清學檢驗結果。</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(2)初次發作之肉芽腫性血管炎及顯微多發性血管炎，經cyclophosphamide治療4週以上但療效不佳者。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(3)復發之肉芽腫性血管炎(GPA，或稱為韋格納肉芽腫症Wegener’s granulomatosis)及顯微多發性血管炎(MPA)，先前曾接受過cyclophosphamide治療者。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(4)對cyclophosphamide治療無法耐受且有具體事證，或具使用禁忌之肉芽腫性血管炎及顯微多發性血管炎。</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(5)每次申請，以治療4週之療程為限。復發時可再次申請。</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註：原發(初次發作)之肉芽腫性血管炎及顯微多發性血管炎，經cyclophosphamide治療4週以上但療效不佳者之定義為：</w:t>
      </w:r>
    </w:p>
    <w:p w:rsidR="00B96EA0" w:rsidRDefault="007D66B8" w:rsidP="005142EB">
      <w:pPr>
        <w:spacing w:line="400" w:lineRule="exact"/>
        <w:ind w:left="1130" w:hanging="7"/>
        <w:rPr>
          <w:rFonts w:ascii="標楷體" w:eastAsia="標楷體" w:hAnsi="標楷體"/>
          <w:color w:val="000000"/>
        </w:rPr>
      </w:pPr>
      <w:r>
        <w:rPr>
          <w:rFonts w:ascii="標楷體" w:eastAsia="標楷體" w:hAnsi="標楷體"/>
          <w:color w:val="000000"/>
        </w:rPr>
        <w:t>經cyclophosphamide治療4週以上，但至少有一項受侵犯的主要器官症狀未能改善，包括:</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A肺部</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B腎臟</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C神經系統</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D腸胃道系統</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申請時需檢附病歷及病理及影像資料等，經專科醫師事前審查同意後使用。</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7.合併bendamustine適用於先前未曾接受治療的CD20陽性、第III/IV期和緩性非何杰金氏淋巴瘤。(113/12/1)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8.合併bendamustine用於先前未曾接受治療且不適合自體幹細胞移植的第III/IV期被套細胞淋巴瘤。(113/12/1)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9.使用於1、4、5、6、7及8病人時，需經事前審查核准後使用。(102/1/1、103/2/1、103/9/1、113/12/1)</w:t>
      </w:r>
    </w:p>
    <w:p w:rsidR="00B96EA0" w:rsidRDefault="007D66B8" w:rsidP="005142EB">
      <w:pPr>
        <w:spacing w:line="400" w:lineRule="exact"/>
        <w:ind w:left="672" w:hanging="386"/>
      </w:pPr>
      <w:r>
        <w:rPr>
          <w:rFonts w:ascii="標楷體" w:eastAsia="標楷體" w:hAnsi="標楷體"/>
          <w:color w:val="000000"/>
        </w:rPr>
        <w:t>9.21.Fludarabine(如Fludara Oral, Film-Coated Tablet及Fludara Lyophilized IV Injection)：(92/12/1、93/3/1、94/10/1、99/10/1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1.用於B-細胞慢性淋巴性白血病（CLL）病患的起始治療及CLL與低惡性度B細胞非何杰金氏淋巴瘤(Indolent B-Cell NHL)病患，歷經至少一種標準內容的烷化基藥劑（alkylating agent）的治療方法都無效，或治療後雖有效但隨後疾病又繼續惡化的病人。</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2.以本品作為第一線治療，限用於(94/10/1)。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(1)Rai Stage Ⅲ/IV(或Binet C級)之CLL病人。若用於Rai Stage I/II(或Binet A/B級)併有疾病相關免疫性症候(如自體免疫性溶血、免疫性血小板低下紫瘢症等)的病人時，需經過至少一種標準的烷化基劑治療無效或病情惡化者。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r>
        <w:rPr>
          <w:rFonts w:ascii="標楷體" w:eastAsia="標楷體" w:hAnsi="標楷體"/>
          <w:color w:val="000000"/>
        </w:rPr>
        <w:lastRenderedPageBreak/>
        <w:t>(106/11/1)</w:t>
      </w:r>
    </w:p>
    <w:p w:rsidR="00B96EA0" w:rsidRDefault="007D66B8" w:rsidP="005142EB">
      <w:pPr>
        <w:spacing w:line="400" w:lineRule="exact"/>
        <w:ind w:left="672" w:hanging="386"/>
      </w:pPr>
      <w:r>
        <w:rPr>
          <w:rFonts w:ascii="標楷體" w:eastAsia="標楷體" w:hAnsi="標楷體"/>
          <w:color w:val="000000"/>
        </w:rPr>
        <w:t>9.22.Imatinib(如Glivec)：</w:t>
      </w:r>
      <w:r>
        <w:rPr>
          <w:rFonts w:ascii="標楷體" w:hAnsi="標楷體"/>
          <w:color w:val="000000"/>
        </w:rPr>
        <w:t>(91/5/1</w:t>
      </w:r>
      <w:r>
        <w:rPr>
          <w:rFonts w:ascii="標楷體" w:hAnsi="標楷體"/>
          <w:color w:val="000000"/>
        </w:rPr>
        <w:t>、</w:t>
      </w:r>
      <w:r>
        <w:rPr>
          <w:rFonts w:ascii="標楷體" w:hAnsi="標楷體"/>
          <w:color w:val="000000"/>
        </w:rPr>
        <w:t>93/7/1</w:t>
      </w:r>
      <w:r>
        <w:rPr>
          <w:rFonts w:ascii="標楷體" w:hAnsi="標楷體"/>
          <w:color w:val="000000"/>
        </w:rPr>
        <w:t>、</w:t>
      </w:r>
      <w:r>
        <w:rPr>
          <w:rFonts w:ascii="標楷體" w:hAnsi="標楷體"/>
          <w:color w:val="000000"/>
        </w:rPr>
        <w:t>97/8/1</w:t>
      </w:r>
      <w:r>
        <w:rPr>
          <w:rFonts w:ascii="標楷體" w:hAnsi="標楷體"/>
          <w:color w:val="000000"/>
        </w:rPr>
        <w:t>、</w:t>
      </w:r>
      <w:r>
        <w:rPr>
          <w:rFonts w:ascii="標楷體" w:hAnsi="標楷體"/>
          <w:color w:val="000000"/>
        </w:rPr>
        <w:t>99/6/1</w:t>
      </w:r>
      <w:r>
        <w:rPr>
          <w:rFonts w:ascii="標楷體" w:hAnsi="標楷體"/>
          <w:color w:val="000000"/>
        </w:rPr>
        <w:t>、</w:t>
      </w:r>
      <w:r>
        <w:rPr>
          <w:rFonts w:ascii="標楷體" w:hAnsi="標楷體"/>
          <w:color w:val="000000"/>
        </w:rPr>
        <w:t>100/2/1</w:t>
      </w:r>
      <w:r>
        <w:rPr>
          <w:rFonts w:ascii="標楷體" w:hAnsi="標楷體"/>
          <w:color w:val="000000"/>
        </w:rPr>
        <w:t>、</w:t>
      </w:r>
      <w:r>
        <w:rPr>
          <w:rFonts w:ascii="標楷體" w:hAnsi="標楷體"/>
          <w:color w:val="000000"/>
        </w:rPr>
        <w:t>102/9/1</w:t>
      </w:r>
      <w:r>
        <w:rPr>
          <w:rFonts w:ascii="標楷體" w:hAnsi="標楷體"/>
          <w:color w:val="000000"/>
        </w:rPr>
        <w:t>、</w:t>
      </w:r>
      <w:r>
        <w:rPr>
          <w:rFonts w:ascii="標楷體" w:hAnsi="標楷體"/>
          <w:color w:val="000000"/>
        </w:rPr>
        <w:t>113/6/1)</w:t>
      </w:r>
      <w:r>
        <w:rPr>
          <w:rFonts w:ascii="標楷體" w:eastAsia="標楷體" w:hAnsi="標楷體"/>
          <w:color w:val="000000"/>
        </w:rPr>
        <w:t>附表九之八</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1.治療正值急性轉化期(blast crisis)、加速期或經ALPHA-干擾素治療無效之慢性期的慢性骨髓性白血病(CML)患者使用。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2.用於治療初期診斷為慢性骨髓性白血病（CML）的病人。</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3.惡性胃腸道基質瘤(GIST)：</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(1)治療成年人無法手術切除或轉移的惡性胃腸道基質瘤。</w:t>
      </w:r>
    </w:p>
    <w:p w:rsidR="00B96EA0" w:rsidRDefault="007D66B8" w:rsidP="005142EB">
      <w:pPr>
        <w:spacing w:line="400" w:lineRule="exact"/>
        <w:ind w:left="1049" w:hanging="341"/>
      </w:pPr>
      <w:r>
        <w:rPr>
          <w:rFonts w:ascii="標楷體" w:eastAsia="標楷體" w:hAnsi="標楷體"/>
          <w:color w:val="000000"/>
        </w:rPr>
        <w:t>(2)作為成人胃腸道基質瘤完全切除後之術後輔助治療，符合下列一項條件可使用3年，須事前審查核准後使用。(100/2/1</w:t>
      </w:r>
      <w:r>
        <w:rPr>
          <w:rFonts w:ascii="標楷體" w:hAnsi="標楷體"/>
          <w:color w:val="000000"/>
        </w:rPr>
        <w:t>、</w:t>
      </w:r>
      <w:r>
        <w:rPr>
          <w:rFonts w:ascii="標楷體" w:hAnsi="標楷體"/>
          <w:color w:val="000000"/>
        </w:rPr>
        <w:t>102/9/1</w:t>
      </w:r>
      <w:r>
        <w:rPr>
          <w:rFonts w:ascii="標楷體" w:eastAsia="標楷體" w:hAnsi="標楷體"/>
          <w:color w:val="000000"/>
        </w:rPr>
        <w:t>)</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A.腫瘤大於10公分。</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B.有絲分裂指數&gt;10/50 HPF(high power field)。</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C.腫瘤大於5公分且有絲分裂指數&gt;5/50 HPF(high power field)。</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D.腫瘤破裂。</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4.治療初診斷為費城染色體陽性急性淋巴性白血病（Ph+ALL)且併用化療之成年人。(99/6/1)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5.未曾使用imatinib治療之成人復發性或難治性費城染色體陽性急性淋巴性白血病(Ph+ALL)之單一療法。(99/6/1)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6.下列適應症患者必須在第一線的藥物如hydroxyurea; corticosteroid等無效後，經事前審查核准才可使用，且每6個月需重新申請審查。(99/6/1)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(1)治療患有與血小板衍生生長因子受體（PDGFR)基因重組相關之骨髓發育不全症候群(MDS)/骨髓增生性疾病(MPD)之成人。</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(2)治療嗜伊紅性白血球增加症候群(HES)與/或慢性嗜伊紅性白血病(CEL)且有血小板衍生生長因子受體(PDGFR)基因重組之成人患者，且存在器官侵犯証據者。</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7.治療患有無法手術切除、復發性或轉移性且有血小板衍生生長因子受體(PDGFR)基因重組之隆突性皮膚纖維肉瘤(DFSP)之成人患者。(99/6/1)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8.1~7項規定內之疾病診斷或追蹤若需依據基因檢測報告，則需符合全民健康保險藥品給付規定之通則十二。(113/6/1)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9.23.Arsenic trioxide(如Asadin Inj.)：(91/8/1、92/9/1)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限用於急性前骨髓細胞白血病患者。</w:t>
      </w:r>
    </w:p>
    <w:p w:rsidR="00B96EA0" w:rsidRDefault="007D66B8" w:rsidP="005142EB">
      <w:pPr>
        <w:spacing w:line="400" w:lineRule="exact"/>
        <w:ind w:left="824" w:hanging="567"/>
        <w:rPr>
          <w:rFonts w:ascii="標楷體" w:eastAsia="標楷體" w:hAnsi="標楷體"/>
          <w:color w:val="000000"/>
        </w:rPr>
      </w:pPr>
      <w:r>
        <w:rPr>
          <w:rFonts w:ascii="標楷體" w:eastAsia="標楷體" w:hAnsi="標楷體"/>
          <w:color w:val="000000"/>
        </w:rPr>
        <w:t>9.24.Gefitinib(如Iressa):(93/11/1、96/8/1、96/11/1、100/6/1、101/5/1、101/10/1、103/5/1、106/11/1、 108/6/1、108/11/1、109/4/1、109/6/1、109/10/1、111/2/1、111/4/1、113/3/1、113/6/1、113/10/1)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(1)具有EGFR-TK基因突變之局部侵犯性或轉移性(即第ⅢB、ⅢC或第Ⅳ期)之肺腺</w:t>
      </w:r>
      <w:r>
        <w:rPr>
          <w:rFonts w:ascii="標楷體" w:eastAsia="標楷體" w:hAnsi="標楷體"/>
          <w:color w:val="000000"/>
        </w:rPr>
        <w:lastRenderedPageBreak/>
        <w:t>癌病患之第一線治療，需檢附EGFR基因檢測結果報告，且需符合全民健康保險藥品給付規定之通則十二。(100/6/1、108/6/1、108/11/1、113/6/1)</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(2)先前已使用過第一線含鉑化學治療，或70歲以上接受過第一線化學治療，但仍局部惡化或轉移之肺腺癌。(96/11/1、100/6/1、111/2/1)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2.使用注意事項(106/11/1、109/4/1、109/10/1、111/4/1、113/3/1）</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(1)用於第一線用藥：病歷應留存確實患有肺腺癌之病理或細胞檢查報告，及EGFR-TK基因突變檢測報告。(100/6/1、106/11/1)</w:t>
      </w:r>
    </w:p>
    <w:p w:rsidR="00B96EA0" w:rsidRDefault="007D66B8" w:rsidP="005142EB">
      <w:pPr>
        <w:spacing w:line="400" w:lineRule="exact"/>
        <w:ind w:left="1289" w:hanging="341"/>
      </w:pPr>
      <w:r>
        <w:rPr>
          <w:rFonts w:ascii="標楷體" w:eastAsia="標楷體" w:hAnsi="標楷體"/>
          <w:color w:val="000000"/>
        </w:rPr>
        <w:t>(2)</w:t>
      </w:r>
      <w:r>
        <w:rPr>
          <w:rFonts w:ascii="標楷體" w:eastAsia="標楷體" w:hAnsi="標楷體"/>
          <w:kern w:val="0"/>
          <w:szCs w:val="24"/>
        </w:rPr>
        <w:t>用於第二線以上用藥：病歷應留存確實患有肺腺癌之病理或細胞檢查報告，並附曾經接受第一線含鉑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(96/11/1、100/6/1、101/10/1、106/11/1)</w:t>
      </w:r>
    </w:p>
    <w:p w:rsidR="00B96EA0" w:rsidRDefault="007D66B8" w:rsidP="005142EB">
      <w:pPr>
        <w:spacing w:line="400" w:lineRule="exact"/>
        <w:ind w:left="1289" w:hanging="341"/>
      </w:pPr>
      <w:r>
        <w:rPr>
          <w:rFonts w:ascii="標楷體" w:eastAsia="標楷體" w:hAnsi="標楷體"/>
          <w:color w:val="000000"/>
        </w:rPr>
        <w:t>(3)</w:t>
      </w:r>
      <w:r>
        <w:rPr>
          <w:rFonts w:ascii="標楷體" w:eastAsia="標楷體" w:hAnsi="標楷體"/>
          <w:kern w:val="0"/>
          <w:szCs w:val="24"/>
        </w:rPr>
        <w:t>每次處方以4週為限，再次處方時需於病歷記錄治療後相關臨床資料，如每4週需追蹤胸部X光或電腦斷層等影像檢查</w:t>
      </w:r>
      <w:r>
        <w:rPr>
          <w:rFonts w:ascii="新細明體" w:hAnsi="新細明體"/>
          <w:kern w:val="0"/>
          <w:szCs w:val="24"/>
        </w:rPr>
        <w:t>，</w:t>
      </w:r>
      <w:r>
        <w:rPr>
          <w:rFonts w:ascii="標楷體" w:eastAsia="標楷體" w:hAnsi="標楷體"/>
          <w:kern w:val="0"/>
          <w:szCs w:val="24"/>
        </w:rPr>
        <w:t>每8至12週需進行完整療效評估（如胸部X光或電腦斷層）。(101/5/1、106/11/1)</w:t>
      </w:r>
    </w:p>
    <w:p w:rsidR="00B96EA0" w:rsidRDefault="007D66B8" w:rsidP="005142EB">
      <w:pPr>
        <w:spacing w:line="400" w:lineRule="exact"/>
        <w:ind w:left="1289" w:hanging="341"/>
      </w:pPr>
      <w:r>
        <w:rPr>
          <w:rFonts w:ascii="標楷體" w:eastAsia="標楷體" w:hAnsi="標楷體"/>
          <w:kern w:val="0"/>
        </w:rPr>
        <w:t>(4)本藥品與erlotinib及afatinib不得併用。(96/8/1、103/5/1</w:t>
      </w:r>
      <w:r>
        <w:rPr>
          <w:rFonts w:ascii="標楷體" w:eastAsia="標楷體" w:hAnsi="標楷體"/>
        </w:rPr>
        <w:t>、109/4/1</w:t>
      </w:r>
      <w:r>
        <w:rPr>
          <w:rFonts w:ascii="標楷體" w:eastAsia="標楷體" w:hAnsi="標楷體"/>
          <w:kern w:val="0"/>
        </w:rPr>
        <w:t>)</w:t>
      </w:r>
    </w:p>
    <w:p w:rsidR="00B96EA0" w:rsidRDefault="007D66B8" w:rsidP="005142EB">
      <w:pPr>
        <w:spacing w:line="400" w:lineRule="exact"/>
        <w:ind w:left="1289" w:hanging="341"/>
        <w:rPr>
          <w:rFonts w:ascii="標楷體" w:eastAsia="標楷體" w:hAnsi="標楷體"/>
          <w:kern w:val="0"/>
        </w:rPr>
      </w:pPr>
      <w:r>
        <w:rPr>
          <w:rFonts w:ascii="標楷體" w:eastAsia="標楷體" w:hAnsi="標楷體"/>
          <w:kern w:val="0"/>
        </w:rPr>
        <w:t>(5)本藥品於第一線使用時，與osimertinib、dacomitinib及bevacizumab併用erlotinib之治療組合僅得擇一使用，除因耐受性不良，不得互換。(109/6/1、109/10/1、111/4/1、113/3/1、113/10/1)</w:t>
      </w:r>
    </w:p>
    <w:p w:rsidR="00B96EA0" w:rsidRDefault="007D66B8" w:rsidP="005142EB">
      <w:pPr>
        <w:spacing w:line="400" w:lineRule="exact"/>
        <w:ind w:left="1654" w:hanging="336"/>
      </w:pPr>
      <w:r>
        <w:rPr>
          <w:rFonts w:ascii="標楷體" w:eastAsia="標楷體" w:hAnsi="標楷體"/>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654" w:hanging="336"/>
        <w:rPr>
          <w:rFonts w:ascii="標楷體" w:eastAsia="標楷體" w:hAnsi="標楷體"/>
        </w:rPr>
      </w:pPr>
      <w:r>
        <w:rPr>
          <w:rFonts w:ascii="標楷體" w:eastAsia="標楷體" w:hAnsi="標楷體"/>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654" w:hanging="336"/>
        <w:rPr>
          <w:rFonts w:ascii="標楷體" w:eastAsia="標楷體" w:hAnsi="標楷體"/>
        </w:rPr>
      </w:pPr>
      <w:r>
        <w:rPr>
          <w:rFonts w:ascii="標楷體" w:eastAsia="標楷體" w:hAnsi="標楷體"/>
        </w:rPr>
        <w:t>Ⅲ.如需更換使用bevacizumab併用erlotinib之治療組合，必須符合bevacizumab第一線使用於具有EGFR Exon 21 L858R突變且腦轉移之無法手術切除的轉移性（第Ⅳ期）非鱗狀非小細胞肺癌肺腺癌之限制。(113/3/1)</w:t>
      </w:r>
    </w:p>
    <w:p w:rsidR="00B96EA0" w:rsidRDefault="007D66B8" w:rsidP="005142EB">
      <w:pPr>
        <w:spacing w:line="400" w:lineRule="exact"/>
        <w:ind w:left="672" w:hanging="386"/>
        <w:rPr>
          <w:rFonts w:ascii="標楷體" w:eastAsia="標楷體" w:hAnsi="標楷體"/>
          <w:color w:val="000000"/>
        </w:rPr>
      </w:pPr>
      <w:bookmarkStart w:id="8" w:name="_Hlk113894926"/>
      <w:r>
        <w:rPr>
          <w:rFonts w:ascii="標楷體" w:eastAsia="標楷體" w:hAnsi="標楷體"/>
          <w:color w:val="000000"/>
        </w:rPr>
        <w:t>9.25.Temozolomide(如Temodal)：(94/3/1、97/1/1、98/9/1、111/9/1)附表八之二</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1.經手術或放射線治療後復發之下列病人：</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(1)退行性星狀細胞瘤(AA-anaplastic astrocytoma)</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(2)多形神經膠母細胞瘤(GBM-Glioblastoma multiforme)</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(3)退行性寡樹突膠質細胞瘤(anaplastic oligodendroglioma)(98/9/1)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2.新診斷的多形神經膠母細胞瘤，與放射線治療同步進行，然後作為輔助性治療。（97/1/1）</w:t>
      </w:r>
    </w:p>
    <w:p w:rsidR="00B96EA0" w:rsidRDefault="007D66B8" w:rsidP="005142EB">
      <w:pPr>
        <w:spacing w:line="400" w:lineRule="exact"/>
        <w:ind w:left="811" w:hanging="245"/>
      </w:pPr>
      <w:r>
        <w:rPr>
          <w:rFonts w:ascii="標楷體" w:eastAsia="標楷體" w:hAnsi="標楷體"/>
          <w:color w:val="000000"/>
        </w:rPr>
        <w:t>3.需經事前審查核准後使用，每日最大劑量200mg/m</w:t>
      </w:r>
      <w:r>
        <w:rPr>
          <w:rFonts w:ascii="標楷體" w:eastAsia="標楷體" w:hAnsi="標楷體"/>
          <w:color w:val="000000"/>
          <w:vertAlign w:val="superscript"/>
        </w:rPr>
        <w:t>2</w:t>
      </w:r>
      <w:r>
        <w:rPr>
          <w:rFonts w:ascii="標楷體" w:eastAsia="標楷體" w:hAnsi="標楷體"/>
          <w:color w:val="000000"/>
        </w:rPr>
        <w:t>。每次申請事前審查之療程以三個月為限，再次申請必須提出客觀證據（如：影像學）證實無惡化，才可繼續使用。(98/9/1、111/9/1)</w:t>
      </w:r>
      <w:bookmarkEnd w:id="8"/>
    </w:p>
    <w:p w:rsidR="002F2B55" w:rsidRPr="00367DBE" w:rsidRDefault="002F2B55" w:rsidP="002F2B55">
      <w:pPr>
        <w:spacing w:line="400" w:lineRule="exact"/>
        <w:ind w:left="317" w:hanging="386"/>
        <w:rPr>
          <w:rFonts w:ascii="標楷體" w:eastAsia="標楷體" w:hAnsi="標楷體"/>
          <w:szCs w:val="24"/>
        </w:rPr>
      </w:pPr>
      <w:r w:rsidRPr="00367DBE">
        <w:rPr>
          <w:rFonts w:ascii="標楷體" w:eastAsia="標楷體" w:hAnsi="標楷體"/>
          <w:szCs w:val="24"/>
        </w:rPr>
        <w:t>9.26.</w:t>
      </w:r>
      <w:r w:rsidRPr="00367DBE">
        <w:rPr>
          <w:rFonts w:ascii="標楷體" w:eastAsia="標楷體" w:hAnsi="標楷體"/>
          <w:kern w:val="0"/>
          <w:szCs w:val="24"/>
        </w:rPr>
        <w:t>P</w:t>
      </w:r>
      <w:r w:rsidRPr="00367DBE">
        <w:rPr>
          <w:rFonts w:ascii="標楷體" w:eastAsia="標楷體" w:hAnsi="標楷體"/>
          <w:szCs w:val="24"/>
        </w:rPr>
        <w:t>emetrexed(如Alimta)：(</w:t>
      </w:r>
      <w:r w:rsidRPr="00367DBE">
        <w:rPr>
          <w:rFonts w:ascii="標楷體" w:eastAsia="標楷體" w:hAnsi="標楷體" w:hint="eastAsia"/>
          <w:szCs w:val="24"/>
        </w:rPr>
        <w:t>95/3/1、95/7/1、97/11/1、98/9/1、103/4/1、103/9/1、106/11/1、111/2/1、114/6/1、114/8/1、1</w:t>
      </w:r>
      <w:r w:rsidRPr="00367DBE">
        <w:rPr>
          <w:rFonts w:ascii="標楷體" w:eastAsia="標楷體" w:hAnsi="標楷體"/>
          <w:szCs w:val="24"/>
        </w:rPr>
        <w:t>14/</w:t>
      </w:r>
      <w:r w:rsidRPr="00367DBE">
        <w:rPr>
          <w:rFonts w:ascii="標楷體" w:eastAsia="標楷體" w:hAnsi="標楷體" w:hint="eastAsia"/>
          <w:szCs w:val="24"/>
        </w:rPr>
        <w:t>10</w:t>
      </w:r>
      <w:r w:rsidRPr="00367DBE">
        <w:rPr>
          <w:rFonts w:ascii="標楷體" w:eastAsia="標楷體" w:hAnsi="標楷體"/>
          <w:szCs w:val="24"/>
        </w:rPr>
        <w:t>/1)</w:t>
      </w:r>
    </w:p>
    <w:p w:rsidR="002F2B55" w:rsidRPr="00367DBE" w:rsidRDefault="002F2B55" w:rsidP="002F2B55">
      <w:pPr>
        <w:pStyle w:val="a9"/>
        <w:spacing w:line="400" w:lineRule="exact"/>
        <w:ind w:leftChars="118" w:left="283"/>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.限用於</w:t>
      </w:r>
    </w:p>
    <w:p w:rsidR="002F2B55" w:rsidRPr="00367DBE" w:rsidRDefault="002F2B55" w:rsidP="002F2B55">
      <w:pPr>
        <w:pStyle w:val="a9"/>
        <w:spacing w:line="400" w:lineRule="exact"/>
        <w:ind w:leftChars="195" w:left="708" w:hangingChars="100" w:hanging="24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1)與cisplatin併用於惡性肋膜間質細胞瘤。</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2)以含鉑之化學療法治療或70歲以上接受過第一線化學治療，但仍失敗之局部晚期或轉移性非小細胞肺癌病患(顯著鱗狀細胞組織型除外)之單一藥物治療。(95/7/1、97/11/1、98/9/1、111/2/1)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3)與含鉑類之化學療法併用，作為治療局部晚期或轉移性非小細胞肺癌(顯著鱗狀細胞組織型除外)之第一線化療用藥，且限用於ECOG為0~1之病患。(98/9/1)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rPr>
        <w:t>(4)</w:t>
      </w:r>
      <w:r w:rsidRPr="00367DBE">
        <w:rPr>
          <w:rFonts w:ascii="標楷體" w:eastAsia="標楷體" w:hAnsi="標楷體" w:hint="eastAsia"/>
        </w:rPr>
        <w:t>pemetrexed(限使用Pexeda、Apeta或Pemetrexed Sandoz)與pembrolizumab與含鉑類之化學療法併用於轉移性，不具有EGFR/ALK/ROS-1腫瘤基因異常的非鱗狀非小細胞肺癌的第一線治療，患者需符合免疫檢查點抑制劑之藥品給付規定。(114/6/1、114/8/1)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5)</w:t>
      </w:r>
      <w:r w:rsidRPr="00367DBE">
        <w:rPr>
          <w:rFonts w:ascii="標楷體" w:eastAsia="標楷體" w:hAnsi="標楷體" w:hint="eastAsia"/>
        </w:rPr>
        <w:t>與amivantamab及carboplatin併用於罹患帶有表皮生長因子受體(EGFR) exon 20插入突變之局部晚期或轉移性非小細胞肺癌(NSCLC)的成人病人，作為第一線治療。</w:t>
      </w:r>
      <w:r w:rsidRPr="00367DBE">
        <w:rPr>
          <w:rFonts w:ascii="標楷體" w:eastAsia="標楷體" w:hAnsi="標楷體"/>
        </w:rPr>
        <w:t>(</w:t>
      </w:r>
      <w:r w:rsidRPr="00367DBE">
        <w:rPr>
          <w:rFonts w:ascii="標楷體" w:eastAsia="標楷體" w:hAnsi="標楷體" w:hint="eastAsia"/>
        </w:rPr>
        <w:t>114</w:t>
      </w:r>
      <w:r w:rsidRPr="00367DBE">
        <w:rPr>
          <w:rFonts w:ascii="標楷體" w:eastAsia="標楷體" w:hAnsi="標楷體"/>
        </w:rPr>
        <w:t>/</w:t>
      </w:r>
      <w:r w:rsidRPr="00367DBE">
        <w:rPr>
          <w:rFonts w:ascii="標楷體" w:eastAsia="標楷體" w:hAnsi="標楷體" w:hint="eastAsia"/>
        </w:rPr>
        <w:t>10</w:t>
      </w:r>
      <w:r w:rsidRPr="00367DBE">
        <w:rPr>
          <w:rFonts w:ascii="標楷體" w:eastAsia="標楷體" w:hAnsi="標楷體"/>
        </w:rPr>
        <w:t>/1)</w:t>
      </w:r>
    </w:p>
    <w:p w:rsidR="00B96EA0" w:rsidRDefault="002F2B55" w:rsidP="002F2B55">
      <w:pPr>
        <w:spacing w:line="400" w:lineRule="exact"/>
        <w:ind w:left="811" w:hanging="245"/>
      </w:pPr>
      <w:r w:rsidRPr="00367DBE">
        <w:rPr>
          <w:rFonts w:ascii="標楷體" w:eastAsia="標楷體" w:hAnsi="標楷體" w:hint="eastAsia"/>
          <w:szCs w:val="24"/>
        </w:rPr>
        <w:t>2</w:t>
      </w:r>
      <w:r w:rsidRPr="00367DBE">
        <w:rPr>
          <w:rFonts w:ascii="標楷體" w:eastAsia="標楷體" w:hAnsi="標楷體"/>
          <w:szCs w:val="24"/>
        </w:rPr>
        <w:t>.每4個療程需進行療效評估，病歷應留存評估紀錄，無疾病惡化方可繼續使用。(103/4/1、103/9/1、106/11/1)</w:t>
      </w:r>
    </w:p>
    <w:p w:rsidR="00B96EA0" w:rsidRDefault="00126115" w:rsidP="005142EB">
      <w:pPr>
        <w:spacing w:line="400" w:lineRule="exact"/>
        <w:ind w:left="283"/>
        <w:rPr>
          <w:rFonts w:ascii="標楷體" w:eastAsia="標楷體" w:hAnsi="標楷體"/>
        </w:rPr>
      </w:pPr>
      <w:r w:rsidRPr="00126115">
        <w:rPr>
          <w:rFonts w:ascii="標楷體" w:eastAsia="標楷體" w:hAnsi="標楷體" w:hint="eastAsia"/>
        </w:rPr>
        <w:t>9.27.Cetuximab(如Erbitux)：(96/3/1、98/7/1、98/8/1、99/10/1、101/12/1、104/11/1、106/1/1、106/4/1、107/6/1、110/6/1、111/2/1、112/12/1、113/6/1、115/2/1)</w:t>
      </w:r>
    </w:p>
    <w:p w:rsidR="00126115" w:rsidRPr="00126115" w:rsidRDefault="007D66B8" w:rsidP="00126115">
      <w:pPr>
        <w:spacing w:line="400" w:lineRule="exact"/>
        <w:ind w:left="851" w:hanging="284"/>
        <w:rPr>
          <w:rFonts w:ascii="標楷體" w:eastAsia="標楷體" w:hAnsi="標楷體"/>
        </w:rPr>
      </w:pPr>
      <w:r>
        <w:rPr>
          <w:rFonts w:ascii="標楷體" w:eastAsia="標楷體" w:hAnsi="標楷體"/>
        </w:rPr>
        <w:t>1.</w:t>
      </w:r>
      <w:r w:rsidR="00126115" w:rsidRPr="00126115">
        <w:rPr>
          <w:rFonts w:ascii="標楷體" w:eastAsia="標楷體" w:hAnsi="標楷體"/>
        </w:rPr>
        <w:t>直腸結腸癌治療部分：</w:t>
      </w:r>
    </w:p>
    <w:p w:rsidR="00126115" w:rsidRPr="00126115" w:rsidRDefault="00126115" w:rsidP="00126115">
      <w:pPr>
        <w:spacing w:line="400" w:lineRule="exact"/>
        <w:ind w:left="993" w:hanging="341"/>
        <w:rPr>
          <w:rFonts w:ascii="標楷體" w:eastAsia="標楷體" w:hAnsi="標楷體"/>
        </w:rPr>
      </w:pPr>
      <w:r w:rsidRPr="00126115">
        <w:rPr>
          <w:rFonts w:ascii="標楷體" w:eastAsia="標楷體" w:hAnsi="標楷體"/>
        </w:rPr>
        <w:t>(1)與FOLFIRI（Folinic acid/ 5-fluorouracil/irinotecan）或FOLFOX（Folinic acid/ 5-fluorouracil/oxaliplatin）合併使用於治療RAS原生型(wild-type)之轉移性直腸結腸癌病人之第一線治療。需檢附All-RAS基因突變分析檢測報告，且需符合全民健康保險藥品給付規定之通則十二。(101/12/1、104/11/1、106/1/1、110/6/1、113/6/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t>Ⅰ.本藥品須經事前審查核准後使用，每次申請之療程以18週為限，再次申請必須提出客觀證據(如：影像學)證實無惡化，才可繼續使用。</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t>Ⅱ.Cetuximab與panitumumab二者僅能擇一使用。 (101/12/1、106/1/1、107/6/1、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lastRenderedPageBreak/>
        <w:t>Ⅲ.本藥品不得與bevacizumab併用。</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t>Ⅳ.經手術完全切除(R0切除)且查無轉移病灶者不得申請給付。(115/2/1)</w:t>
      </w:r>
    </w:p>
    <w:p w:rsidR="00126115" w:rsidRPr="00126115" w:rsidRDefault="00126115" w:rsidP="00126115">
      <w:pPr>
        <w:spacing w:line="400" w:lineRule="exact"/>
        <w:ind w:left="850" w:hanging="341"/>
        <w:rPr>
          <w:rFonts w:ascii="標楷體" w:eastAsia="標楷體" w:hAnsi="標楷體"/>
        </w:rPr>
      </w:pPr>
      <w:r w:rsidRPr="00126115">
        <w:rPr>
          <w:rFonts w:ascii="標楷體" w:eastAsia="標楷體" w:hAnsi="標楷體"/>
        </w:rPr>
        <w:t xml:space="preserve"> (2)與irinotecan合併使用，治療已接受過含5-fluorouracil、irinotecan及oxaliplatin二線以上之細胞毒性治療失敗、具有表皮生長因子受體(EGFR)表現型且K-RAS基因沒有突變的轉移性直腸結腸癌的病人，且於</w:t>
      </w:r>
      <w:r w:rsidRPr="00126115">
        <w:rPr>
          <w:rFonts w:ascii="標楷體" w:eastAsia="標楷體" w:hAnsi="標楷體" w:hint="eastAsia"/>
        </w:rPr>
        <w:t>1</w:t>
      </w:r>
      <w:r w:rsidRPr="00126115">
        <w:rPr>
          <w:rFonts w:ascii="標楷體" w:eastAsia="標楷體" w:hAnsi="標楷體"/>
        </w:rPr>
        <w:t>15年</w:t>
      </w:r>
      <w:r w:rsidRPr="00126115">
        <w:rPr>
          <w:rFonts w:ascii="標楷體" w:eastAsia="標楷體" w:hAnsi="標楷體" w:hint="eastAsia"/>
        </w:rPr>
        <w:t>1</w:t>
      </w:r>
      <w:r w:rsidRPr="00126115">
        <w:rPr>
          <w:rFonts w:ascii="標楷體" w:eastAsia="標楷體" w:hAnsi="標楷體"/>
        </w:rPr>
        <w:t>月</w:t>
      </w:r>
      <w:r w:rsidRPr="00126115">
        <w:rPr>
          <w:rFonts w:ascii="標楷體" w:eastAsia="標楷體" w:hAnsi="標楷體" w:hint="eastAsia"/>
        </w:rPr>
        <w:t>3</w:t>
      </w:r>
      <w:r w:rsidRPr="00126115">
        <w:rPr>
          <w:rFonts w:ascii="標楷體" w:eastAsia="標楷體" w:hAnsi="標楷體"/>
        </w:rPr>
        <w:t>1日前經審核同意用藥，後續評估符合續用申請條件者。需檢附All-RAS基因突變分析檢測報告，且需符合全民健康保險藥品給付規定之通則十二。(98/8/1、110/6/1、113/6/1、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Ⅰ.本藥品須經事前審查核准後使用，每次申請之療程以9週為限，再次申請必須提出客觀證據（如：影像學）證實無惡化，才可繼續使用。</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Ⅱ.使用總療程18週為上限。</w:t>
      </w:r>
    </w:p>
    <w:p w:rsidR="00126115" w:rsidRPr="00126115" w:rsidRDefault="00126115" w:rsidP="00126115">
      <w:pPr>
        <w:spacing w:line="400" w:lineRule="exact"/>
        <w:ind w:left="851" w:hanging="284"/>
        <w:rPr>
          <w:rFonts w:ascii="標楷體" w:eastAsia="標楷體" w:hAnsi="標楷體"/>
        </w:rPr>
      </w:pPr>
      <w:r w:rsidRPr="00126115">
        <w:rPr>
          <w:rFonts w:ascii="標楷體" w:eastAsia="標楷體" w:hAnsi="標楷體"/>
        </w:rPr>
        <w:t>2.口咽癌、下咽癌及喉癌治療部分：(98/7/1、99/10/1、111/2/1、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(1)限與放射線療法合併使用於局部晚期之口咽癌、下咽癌及喉癌病人，且符合下列條件之一：</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Ⅰ.70歲以上(111/2/1)；</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Ⅱ.Ccr＜50mL/min；</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Ⅲ.聽力障礙者(聽力障礙定義為500Hz、1000Hz、2000Hz平均聽力損失大於25分貝)；</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Ⅳ.無法耐受platinum-based化學治療。</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(2)須經事前審查核准後使用，每位病人每12週申請一次，需無疾病惡化情形方得繼續使用。(98/7/1、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851" w:hanging="284"/>
        <w:rPr>
          <w:rFonts w:ascii="標楷體" w:eastAsia="標楷體" w:hAnsi="標楷體"/>
        </w:rPr>
      </w:pPr>
      <w:r w:rsidRPr="00126115">
        <w:rPr>
          <w:rFonts w:ascii="標楷體" w:eastAsia="標楷體" w:hAnsi="標楷體"/>
        </w:rPr>
        <w:t>3.頭頸癌部分(106/1/1、106/4/1、112/12/1、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(1)限無法接受局部治療之復發及/或轉移性頭頸部鱗狀細胞癌，且未曾申報cetuximab之病人使用。</w:t>
      </w:r>
    </w:p>
    <w:p w:rsidR="00B96EA0" w:rsidRDefault="00126115" w:rsidP="00126115">
      <w:pPr>
        <w:spacing w:line="400" w:lineRule="exact"/>
        <w:ind w:left="1134" w:hanging="342"/>
      </w:pPr>
      <w:r w:rsidRPr="00126115">
        <w:rPr>
          <w:rFonts w:ascii="標楷體" w:eastAsia="標楷體" w:hAnsi="標楷體"/>
        </w:rPr>
        <w:t>(2)須經事前審查核准後使用，每位病人每12週申請一次，需無疾病惡化情形方得繼續使用。(106/4/1、</w:t>
      </w:r>
      <w:r w:rsidRPr="00126115">
        <w:rPr>
          <w:rFonts w:ascii="標楷體" w:eastAsia="標楷體" w:hAnsi="標楷體" w:hint="eastAsia"/>
        </w:rPr>
        <w:t>1</w:t>
      </w:r>
      <w:r w:rsidRPr="00126115">
        <w:rPr>
          <w:rFonts w:ascii="標楷體" w:eastAsia="標楷體" w:hAnsi="標楷體"/>
        </w:rPr>
        <w:t>15/2/1)</w:t>
      </w:r>
    </w:p>
    <w:p w:rsidR="00B96EA0" w:rsidRDefault="007D66B8" w:rsidP="005142EB">
      <w:pPr>
        <w:spacing w:line="400" w:lineRule="exact"/>
        <w:ind w:left="910" w:hanging="579"/>
        <w:rPr>
          <w:rFonts w:ascii="標楷體" w:eastAsia="標楷體" w:hAnsi="標楷體"/>
          <w:color w:val="000000"/>
        </w:rPr>
      </w:pPr>
      <w:bookmarkStart w:id="9" w:name="_Hlk91258567"/>
      <w:r>
        <w:rPr>
          <w:rFonts w:ascii="標楷體" w:eastAsia="標楷體" w:hAnsi="標楷體"/>
          <w:color w:val="000000"/>
        </w:rPr>
        <w:t>9.28.Bortezomib（如Velcade）：（96/6/1、98/2/1、99/3/1、99/9/1、100/10/1、101/6/1、105/5/1、109/4/1、109/6/1、111/1/1、112/4/1）附表九之三</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1.合併其他癌症治療藥品使用於多發性骨髓瘤病人：(99/3/1、100/10/1、101/6/1、109/4/1、109/6/1、111/1/1、112/4/1)</w:t>
      </w:r>
    </w:p>
    <w:p w:rsidR="00B96EA0" w:rsidRDefault="007D66B8" w:rsidP="005142EB">
      <w:pPr>
        <w:spacing w:line="400" w:lineRule="exact"/>
        <w:ind w:left="1134" w:hanging="341"/>
      </w:pPr>
      <w:r>
        <w:rPr>
          <w:rFonts w:ascii="標楷體" w:eastAsia="標楷體" w:hAnsi="標楷體"/>
          <w:color w:val="000000"/>
        </w:rPr>
        <w:t>(1)</w:t>
      </w:r>
      <w:r>
        <w:t xml:space="preserve"> </w:t>
      </w:r>
      <w:r>
        <w:rPr>
          <w:rFonts w:ascii="標楷體" w:eastAsia="標楷體" w:hAnsi="標楷體"/>
          <w:color w:val="000000"/>
        </w:rPr>
        <w:t>每人終生以16個療程為上限。(99/9/1、109/4/1、109/6/1、111/1/1、112/4/1）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(2)需經事前申請後使用，每次申請4個療程。（101/6/1）</w:t>
      </w:r>
    </w:p>
    <w:p w:rsidR="00B96EA0" w:rsidRDefault="007D66B8" w:rsidP="005142EB">
      <w:pPr>
        <w:spacing w:line="400" w:lineRule="exact"/>
        <w:ind w:left="1134" w:hanging="341"/>
      </w:pPr>
      <w:r>
        <w:rPr>
          <w:rFonts w:ascii="標楷體" w:eastAsia="標楷體" w:hAnsi="標楷體"/>
          <w:color w:val="000000"/>
        </w:rPr>
        <w:t>(3)</w:t>
      </w:r>
      <w:r>
        <w:t xml:space="preserve"> </w:t>
      </w:r>
      <w:r>
        <w:rPr>
          <w:rFonts w:ascii="標楷體" w:eastAsia="標楷體" w:hAnsi="標楷體"/>
          <w:color w:val="000000"/>
        </w:rPr>
        <w:t>開始治療時病患須同時符合下列Ⅰ.與Ⅱ.的條件：（112/4/1）</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Ⅰ.骨髓漿細胞(plasma cells)比例≧10%，或是經切片確認且有≧1顆的</w:t>
      </w:r>
      <w:r>
        <w:rPr>
          <w:rFonts w:ascii="標楷體" w:eastAsia="標楷體" w:hAnsi="標楷體"/>
          <w:color w:val="000000"/>
        </w:rPr>
        <w:lastRenderedPageBreak/>
        <w:t>plasmacytoma。</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Ⅱ.出現下列任一臨床症狀：</w:t>
      </w:r>
    </w:p>
    <w:p w:rsidR="00B96EA0" w:rsidRDefault="007D66B8" w:rsidP="005142EB">
      <w:pPr>
        <w:spacing w:line="400" w:lineRule="exact"/>
        <w:ind w:left="1373" w:hanging="341"/>
      </w:pPr>
      <w:r>
        <w:rPr>
          <w:rFonts w:ascii="新細明體" w:hAnsi="新細明體" w:cs="新細明體"/>
          <w:color w:val="000000"/>
        </w:rPr>
        <w:t>ⅰ</w:t>
      </w:r>
      <w:r>
        <w:rPr>
          <w:rFonts w:ascii="標楷體" w:eastAsia="標楷體" w:hAnsi="標楷體"/>
          <w:color w:val="000000"/>
        </w:rPr>
        <w:t>.腎功能不全：serum creatinine＞2.0mg/dL或estimated GFR (eGFR)＜40 ml/min，且無其他原因可以解釋。</w:t>
      </w:r>
    </w:p>
    <w:p w:rsidR="00B96EA0" w:rsidRDefault="007D66B8" w:rsidP="005142EB">
      <w:pPr>
        <w:spacing w:line="400" w:lineRule="exact"/>
        <w:ind w:left="1373" w:hanging="341"/>
      </w:pPr>
      <w:r>
        <w:rPr>
          <w:rFonts w:ascii="新細明體" w:hAnsi="新細明體" w:cs="新細明體"/>
          <w:color w:val="000000"/>
        </w:rPr>
        <w:t>ⅱ</w:t>
      </w:r>
      <w:r>
        <w:rPr>
          <w:rFonts w:ascii="標楷體" w:eastAsia="標楷體" w:hAnsi="標楷體"/>
          <w:color w:val="000000"/>
        </w:rPr>
        <w:t>.高血鈣(corrected serum calcium＞11.0 mg/dL 或 2.75 mmol/L)。</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iii.貧血(Hemoglobin＜10 gm/dL且無其他原因可以解釋)。</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iv.影像檢查確認之osteolytic bone lesion(s)。</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v.骨髓漿細胞(plasma cells)比例≧60%。</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vi.Serum free light-chain ratio≧100。</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(4)使用4個療程後，必須確定藥物使用後paraprotein (M-protein)未上升 (即表示為response或stable status)，或對部分non-secretory type MM病人以骨髓檢查plasma cell之比率為療效依據，方可繼續使用。（101/6/1、109/4/1）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(5)若病患於前線療程符合前項規定(4)之療效而醫師決定可暫時停藥，則後續療程可保留，於疾病復發時，再行申請使用。（101/6/1、109/4/1）</w:t>
      </w:r>
    </w:p>
    <w:p w:rsidR="00B96EA0" w:rsidRDefault="007D66B8" w:rsidP="005142EB">
      <w:pPr>
        <w:spacing w:line="400" w:lineRule="exact"/>
        <w:ind w:left="1134" w:hanging="341"/>
      </w:pPr>
      <w:r>
        <w:rPr>
          <w:rFonts w:ascii="標楷體" w:eastAsia="標楷體" w:hAnsi="標楷體"/>
          <w:color w:val="000000"/>
        </w:rPr>
        <w:t>(6)</w:t>
      </w:r>
      <w:r>
        <w:t xml:space="preserve"> </w:t>
      </w:r>
      <w:r>
        <w:rPr>
          <w:rFonts w:ascii="標楷體" w:eastAsia="標楷體" w:hAnsi="標楷體"/>
          <w:color w:val="000000"/>
        </w:rPr>
        <w:t>112年3月31日以前已核定用藥之病人，得經事前審查核准後，使用至總療程上限（即終生16個療程）或使用期間發生疾病惡化為止。（112/4/1）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2.被套細胞淋巴瘤（Mantle Cell Lymphoma, MCL）病人：(98/2/1、105/5/1)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(1)每人以8個療程為上限。(99/9/1)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(2)每日最大劑量1.5mg/m2/day；每個療程第1,4,8,11日給藥。</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(3)第一線使用過復發者，不得申請再次使用。(105/5/1)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(4)需經事前審查核准後使用。</w:t>
      </w:r>
      <w:bookmarkEnd w:id="9"/>
    </w:p>
    <w:p w:rsidR="00B96EA0" w:rsidRDefault="007D66B8" w:rsidP="005142EB">
      <w:pPr>
        <w:spacing w:line="400" w:lineRule="exact"/>
        <w:ind w:left="851" w:hanging="567"/>
      </w:pPr>
      <w:r>
        <w:rPr>
          <w:rFonts w:ascii="標楷體" w:eastAsia="標楷體" w:hAnsi="標楷體"/>
          <w:color w:val="000000"/>
        </w:rPr>
        <w:t>9.29.</w:t>
      </w:r>
      <w:r>
        <w:t xml:space="preserve"> </w:t>
      </w:r>
      <w:r>
        <w:rPr>
          <w:rFonts w:ascii="標楷體" w:eastAsia="標楷體" w:hAnsi="標楷體"/>
          <w:kern w:val="0"/>
          <w:szCs w:val="24"/>
        </w:rPr>
        <w:t>Erlotinib（如Tarceva）：（96/6/1、96/8/1、97/6/1、101/5/1、101/10/1、102/4/1、102/11/1、103/5/1、106/11/1、108/6/1、108/11/1</w:t>
      </w:r>
      <w:r>
        <w:rPr>
          <w:rFonts w:ascii="標楷體" w:eastAsia="標楷體" w:hAnsi="標楷體"/>
        </w:rPr>
        <w:t>、109/4/1、109/6/1、109/10/1、111/2/1</w:t>
      </w:r>
      <w:r>
        <w:rPr>
          <w:rFonts w:ascii="新細明體" w:hAnsi="新細明體"/>
        </w:rPr>
        <w:t>、</w:t>
      </w:r>
      <w:r>
        <w:rPr>
          <w:rFonts w:ascii="標楷體" w:eastAsia="標楷體" w:hAnsi="標楷體"/>
        </w:rPr>
        <w:t>111/4/1</w:t>
      </w:r>
      <w:r>
        <w:rPr>
          <w:rFonts w:ascii="標楷體" w:eastAsia="標楷體" w:hAnsi="標楷體"/>
          <w:color w:val="000000"/>
        </w:rPr>
        <w:t>、113/3/1、113/6/1、113/9/1、113/10/1、114/3/1、114/4/1</w:t>
      </w:r>
      <w:r>
        <w:rPr>
          <w:rFonts w:ascii="標楷體" w:eastAsia="標楷體" w:hAnsi="標楷體"/>
          <w:kern w:val="0"/>
          <w:szCs w:val="24"/>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適用於具有EGFR-TK突變之局部侵犯性或轉移性(即第ⅢB、ⅢC或第Ⅳ期)之肺腺癌病患之第一線治療，需檢附EGFR基因檢測結果報告，且需符合全民健康保險藥品給付規定之通則十二。(102/11/1、108/6/1、108/11/1、113/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(2)已接受4個週期platinum類第一線化學療法後，腫瘤範圍穩定(stable disease，不含partial response或complete response)之局部晚期或轉移性肺腺癌的維持療法。(102/4/1)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(3)先前已使用過platinum類第一線化學治療，或70歲以上接受過第一線化學治療，但仍局部惡化或轉移之腺性非小細胞肺癌之第二線用藥。（97/6/1、111/2/1）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(4)先前已使用過platinum類及docetaxel或paclitaxel化學治療後，但仍局部惡化或轉移之非小細胞肺癌之第三線用藥。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2.Erlotinib與bevacizumab(除Zirabev以外)併用，作為無法手術切除的轉移性（第Ⅳ期）且帶有表皮生長因子受體(EGFR) Exon 21 L858R活性化突變之腦轉移非鱗狀非小細胞肺癌病患的第一線治療。(113/3/1、113/9/1、114/3/1、114/4/1）</w:t>
      </w:r>
    </w:p>
    <w:p w:rsidR="00B96EA0" w:rsidRDefault="007D66B8" w:rsidP="005142EB">
      <w:pPr>
        <w:spacing w:line="400" w:lineRule="exact"/>
        <w:ind w:left="811" w:hanging="245"/>
      </w:pPr>
      <w:r>
        <w:rPr>
          <w:rFonts w:ascii="標楷體" w:eastAsia="標楷體" w:hAnsi="標楷體"/>
          <w:color w:val="000000"/>
        </w:rPr>
        <w:t>3.使用注意事項(106/11/1</w:t>
      </w:r>
      <w:r>
        <w:rPr>
          <w:rFonts w:ascii="標楷體" w:eastAsia="標楷體" w:hAnsi="標楷體"/>
        </w:rPr>
        <w:t>、109/4/1、109/10/1</w:t>
      </w:r>
      <w:r>
        <w:rPr>
          <w:rFonts w:ascii="新細明體" w:hAnsi="新細明體"/>
        </w:rPr>
        <w:t>、</w:t>
      </w:r>
      <w:r>
        <w:rPr>
          <w:rFonts w:ascii="標楷體" w:eastAsia="標楷體" w:hAnsi="標楷體"/>
        </w:rPr>
        <w:t>111/4/1</w:t>
      </w:r>
      <w:r>
        <w:rPr>
          <w:rFonts w:ascii="標楷體" w:eastAsia="標楷體" w:hAnsi="標楷體"/>
          <w:color w:val="000000"/>
        </w:rPr>
        <w:t>）</w:t>
      </w:r>
    </w:p>
    <w:p w:rsidR="00B96EA0" w:rsidRDefault="007D66B8" w:rsidP="005142EB">
      <w:pPr>
        <w:spacing w:line="400" w:lineRule="exact"/>
        <w:ind w:left="1049" w:hanging="341"/>
      </w:pPr>
      <w:r>
        <w:rPr>
          <w:rFonts w:ascii="標楷體" w:eastAsia="標楷體" w:hAnsi="標楷體"/>
          <w:kern w:val="0"/>
          <w:szCs w:val="24"/>
        </w:rPr>
        <w:t>(1)用於已接受platinum類第一線化學療法後，病情穩定之維持療法：病歷應留存確實患有肺腺癌之病理或細胞檢查報告，並附已接受4個週期platinum類第一線化學療法後，腫瘤範圍穩定(stable disease，不含partial response或complete response)之影像診斷證明（如胸部X光、電腦斷層或其他可作為評估的影像）。(102/4/1、106/11/1)</w:t>
      </w:r>
    </w:p>
    <w:p w:rsidR="00B96EA0" w:rsidRDefault="007D66B8" w:rsidP="005142EB">
      <w:pPr>
        <w:spacing w:line="400" w:lineRule="exact"/>
        <w:ind w:left="1049" w:hanging="341"/>
      </w:pPr>
      <w:r>
        <w:rPr>
          <w:rFonts w:ascii="標楷體" w:eastAsia="標楷體" w:hAnsi="標楷體"/>
          <w:color w:val="000000"/>
        </w:rPr>
        <w:t>(2)</w:t>
      </w:r>
      <w:r>
        <w:rPr>
          <w:rFonts w:ascii="標楷體" w:eastAsia="標楷體" w:hAnsi="標楷體"/>
          <w:kern w:val="0"/>
          <w:szCs w:val="24"/>
        </w:rPr>
        <w:t>用於第二線用藥：病歷應留存確實患有非小細胞肺癌之病理或細胞檢查報告，並附曾經接受platinum類第一線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97/6/1、106/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用於第三線用藥：病歷應留存確實患有非小細胞肺癌之病理或細胞檢查報告，並附曾經接受第一線及第二線化學藥物如platinum(cisplatin或carboplatin)與taxane(paclitaxel或docetaxel)治療之證明，及目前又有疾病惡化之影像診斷證明（如胸部X光、電腦斷層或其他可作為評估的影像），此影像證明以可測量（measurable）的病灶為優先，如沒有可以測量的病灶，則可評估（evaluable）的病灶亦可採用。（97/6/1、106/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(4)每次處方以4週為限，再次處方時需於病歷記錄治療後相關臨床資料，如每4週需追蹤胸部X光或電腦斷層等影像檢查，每8至12週需進行完整療效評估（如胸部X光或電腦斷層）。(101/5/1、106/11/1)</w:t>
      </w:r>
    </w:p>
    <w:p w:rsidR="00B96EA0" w:rsidRDefault="007D66B8" w:rsidP="005142EB">
      <w:pPr>
        <w:spacing w:line="400" w:lineRule="exact"/>
        <w:ind w:left="1049" w:hanging="341"/>
      </w:pPr>
      <w:r>
        <w:rPr>
          <w:rFonts w:ascii="標楷體" w:eastAsia="標楷體" w:hAnsi="標楷體"/>
          <w:color w:val="000000"/>
        </w:rPr>
        <w:t>(5)本藥品與gefitinib及afatinib不得併用。(103/5/1</w:t>
      </w:r>
      <w:r>
        <w:rPr>
          <w:rFonts w:ascii="標楷體" w:eastAsia="標楷體" w:hAnsi="標楷體"/>
        </w:rPr>
        <w:t>、109/4/1</w:t>
      </w:r>
      <w:r>
        <w:rPr>
          <w:rFonts w:ascii="標楷體" w:eastAsia="標楷體" w:hAnsi="標楷體"/>
          <w:color w:val="000000"/>
        </w:rPr>
        <w:t>)</w:t>
      </w:r>
    </w:p>
    <w:p w:rsidR="00B96EA0" w:rsidRDefault="007D66B8" w:rsidP="005142EB">
      <w:pPr>
        <w:spacing w:line="400" w:lineRule="exact"/>
        <w:ind w:left="1049" w:hanging="341"/>
      </w:pPr>
      <w:r>
        <w:rPr>
          <w:rFonts w:ascii="標楷體" w:eastAsia="標楷體" w:hAnsi="標楷體"/>
        </w:rPr>
        <w:t>(6)本藥品於第一線使用時，與osimertinib及dacomitinib僅得擇一使用，除因耐受性不良，不得互換。(109/6/1、109/10/1、111/4/1、113/10/1)</w:t>
      </w:r>
    </w:p>
    <w:p w:rsidR="00B96EA0" w:rsidRDefault="007D66B8" w:rsidP="005142EB">
      <w:pPr>
        <w:spacing w:line="400" w:lineRule="exact"/>
        <w:ind w:left="1414" w:hanging="336"/>
      </w:pPr>
      <w:r>
        <w:rPr>
          <w:rFonts w:ascii="標楷體" w:eastAsia="標楷體" w:hAnsi="標楷體"/>
          <w:color w:val="000000"/>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t>備註1：非小細胞肺癌病患的第二線治療用藥之定義為：病患需先經第一線含鉑化學治療，或70歲(含)以上接受過第一線化學治療後，因疾病惡化，此時所給予之治療即為第二線用藥。（97/6/1）</w:t>
      </w:r>
    </w:p>
    <w:p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lastRenderedPageBreak/>
        <w:t>備註2：非小細胞肺癌病患的第三線治療用藥之定義為：病患需先經第一線化學藥物治療後，因疾病惡化，再經第二線不同的化學藥物治療之後，若疾病再度惡化，此時所給予之治療即為第三線用藥。</w:t>
      </w:r>
    </w:p>
    <w:p w:rsidR="00B96EA0" w:rsidRDefault="00642BBE" w:rsidP="005142EB">
      <w:pPr>
        <w:spacing w:line="400" w:lineRule="exact"/>
        <w:ind w:left="709" w:hanging="353"/>
        <w:rPr>
          <w:rFonts w:ascii="標楷體" w:eastAsia="標楷體" w:hAnsi="標楷體"/>
          <w:color w:val="000000"/>
        </w:rPr>
      </w:pPr>
      <w:r>
        <w:rPr>
          <w:rFonts w:ascii="標楷體" w:eastAsia="標楷體" w:hAnsi="標楷體"/>
          <w:color w:val="000000"/>
        </w:rPr>
        <w:t>9.30.Dasatinib(如Sprycel)：(98/1/1、102/4/1、104/12/1、110/5/1、113/6/1</w:t>
      </w:r>
      <w:r>
        <w:rPr>
          <w:rFonts w:ascii="標楷體" w:eastAsia="標楷體" w:hAnsi="標楷體" w:hint="eastAsia"/>
          <w:color w:val="000000"/>
        </w:rPr>
        <w:t>、115/2/1</w:t>
      </w:r>
      <w:r>
        <w:rPr>
          <w:rFonts w:ascii="標楷體" w:eastAsia="標楷體" w:hAnsi="標楷體"/>
          <w:color w:val="000000"/>
        </w:rPr>
        <w:t>)</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限用於</w:t>
      </w:r>
    </w:p>
    <w:p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1.第一線使用(102/4/1、104/12/1、110/5/1)：</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(1)治療新診斷的費城染色體陽性之慢性期慢性骨髓性白血病的成人。</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(2)併用化療適用於新診斷費城染色體陽性急性淋巴性白血病(Ph+ ALL)之1歲以上兒童病人，無疾病惡化時的維持治療限使用2年。(110/5/1)</w:t>
      </w:r>
    </w:p>
    <w:p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2.第二線使用(104/12/1)：</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(1)治療患有慢性、加速或急性期慢性骨髓性白血病，對先前經imatinib 400mg(含)以上治療後有抗藥性或無耐受性的成人。</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(2)治療患有費城染色體陽性急性淋巴性白血病，且對先前經imatinib 400mg(含)以上治療後有抗藥性或無耐受性的成人。</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(3)需檢送病歷及對imatinib耐受性不良或無效的證明(104/12/1)。</w:t>
      </w:r>
    </w:p>
    <w:p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3.治療患有慢性期費城染色體陽性慢性骨髓性白血病(Ph+ CML) 之1歲以上的兒童病人。(110/5/1)</w:t>
      </w:r>
    </w:p>
    <w:p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rsidR="00B96EA0" w:rsidRDefault="00642BBE" w:rsidP="00642BBE">
      <w:pPr>
        <w:spacing w:line="400" w:lineRule="exact"/>
        <w:ind w:left="851" w:hanging="211"/>
        <w:rPr>
          <w:rFonts w:ascii="標楷體" w:eastAsia="標楷體" w:hAnsi="標楷體"/>
          <w:color w:val="000000"/>
        </w:rPr>
      </w:pPr>
      <w:r>
        <w:rPr>
          <w:rFonts w:ascii="標楷體" w:eastAsia="標楷體" w:hAnsi="標楷體" w:hint="eastAsia"/>
          <w:color w:val="000000"/>
        </w:rPr>
        <w:t>5.</w:t>
      </w:r>
      <w:r w:rsidRPr="001D0398">
        <w:rPr>
          <w:rFonts w:ascii="標楷體" w:eastAsia="標楷體" w:hAnsi="標楷體" w:hint="eastAsia"/>
          <w:color w:val="000000"/>
        </w:rPr>
        <w:t>Dasatinib、nilotinib與bosutinib不得合併使用。(115/2/1)</w:t>
      </w:r>
    </w:p>
    <w:p w:rsidR="00B96EA0" w:rsidRDefault="007D66B8" w:rsidP="005142EB">
      <w:pPr>
        <w:spacing w:line="400" w:lineRule="exact"/>
        <w:ind w:left="709" w:hanging="341"/>
      </w:pPr>
      <w:r>
        <w:rPr>
          <w:rFonts w:ascii="標楷體" w:eastAsia="標楷體" w:hAnsi="標楷體"/>
        </w:rPr>
        <w:t>9.31.</w:t>
      </w:r>
      <w:r>
        <w:t xml:space="preserve"> </w:t>
      </w:r>
      <w:r>
        <w:rPr>
          <w:rFonts w:ascii="標楷體" w:eastAsia="標楷體" w:hAnsi="標楷體"/>
        </w:rPr>
        <w:t>Sunitinib（如Sutent）：（98/2/1、98/5/1、99/1/1、99/2/1、101/5/1、102/1/1、104/12/1、110/12/1、112/3/1）</w:t>
      </w:r>
    </w:p>
    <w:p w:rsidR="00B96EA0" w:rsidRDefault="007D66B8" w:rsidP="005142EB">
      <w:pPr>
        <w:spacing w:line="400" w:lineRule="exact"/>
        <w:ind w:left="993" w:hanging="341"/>
        <w:rPr>
          <w:rFonts w:ascii="標楷體" w:eastAsia="標楷體" w:hAnsi="標楷體"/>
        </w:rPr>
      </w:pPr>
      <w:r>
        <w:rPr>
          <w:rFonts w:ascii="標楷體" w:eastAsia="標楷體" w:hAnsi="標楷體"/>
        </w:rPr>
        <w:t>1.腸胃道間質腫瘤：</w:t>
      </w:r>
    </w:p>
    <w:p w:rsidR="00B96EA0" w:rsidRDefault="007D66B8" w:rsidP="005142EB">
      <w:pPr>
        <w:spacing w:line="400" w:lineRule="exact"/>
        <w:ind w:left="1049" w:hanging="341"/>
        <w:rPr>
          <w:rFonts w:ascii="標楷體" w:eastAsia="標楷體" w:hAnsi="標楷體"/>
        </w:rPr>
      </w:pPr>
      <w:r>
        <w:rPr>
          <w:rFonts w:ascii="標楷體" w:eastAsia="標楷體" w:hAnsi="標楷體"/>
        </w:rPr>
        <w:t>(1)限用於以imatinib治療期間出現疾病惡化或對該藥出現不能忍受之腸胃道間質腫瘤(99/2/1)。</w:t>
      </w:r>
    </w:p>
    <w:p w:rsidR="00B96EA0" w:rsidRDefault="007D66B8" w:rsidP="005142EB">
      <w:pPr>
        <w:spacing w:line="400" w:lineRule="exact"/>
        <w:ind w:left="1049" w:hanging="341"/>
        <w:rPr>
          <w:rFonts w:ascii="標楷體" w:eastAsia="標楷體" w:hAnsi="標楷體"/>
        </w:rPr>
      </w:pPr>
      <w:r>
        <w:rPr>
          <w:rFonts w:ascii="標楷體" w:eastAsia="標楷體" w:hAnsi="標楷體"/>
        </w:rPr>
        <w:t>(2)若使用本藥品出現疾病惡化或無法忍受其副作用，不得替換使用imatinib治療(99/2/1)。</w:t>
      </w:r>
    </w:p>
    <w:p w:rsidR="00B96EA0" w:rsidRDefault="007D66B8" w:rsidP="005142EB">
      <w:pPr>
        <w:spacing w:line="400" w:lineRule="exact"/>
        <w:ind w:left="1049" w:hanging="341"/>
        <w:rPr>
          <w:rFonts w:ascii="標楷體" w:eastAsia="標楷體" w:hAnsi="標楷體"/>
        </w:rPr>
      </w:pPr>
      <w:r>
        <w:rPr>
          <w:rFonts w:ascii="標楷體" w:eastAsia="標楷體" w:hAnsi="標楷體"/>
        </w:rPr>
        <w:t>(3)需經事前審查核准後使用，送審時須檢送病歷及對imatinib耐受性不良或無效之證明。（98/5/1）(99/2/1)</w:t>
      </w:r>
    </w:p>
    <w:p w:rsidR="00B96EA0" w:rsidRDefault="007D66B8" w:rsidP="005142EB">
      <w:pPr>
        <w:spacing w:line="400" w:lineRule="exact"/>
        <w:ind w:left="1049" w:hanging="341"/>
      </w:pPr>
      <w:r>
        <w:rPr>
          <w:rFonts w:ascii="標楷體" w:eastAsia="標楷體" w:hAnsi="標楷體"/>
        </w:rPr>
        <w:t>2.</w:t>
      </w:r>
      <w:r>
        <w:t xml:space="preserve"> </w:t>
      </w:r>
      <w:r>
        <w:rPr>
          <w:rFonts w:ascii="標楷體" w:eastAsia="標楷體" w:hAnsi="標楷體"/>
        </w:rPr>
        <w:t>晚期腎細胞癌：（99/1/1、110/12/1、112/3/1）</w:t>
      </w:r>
    </w:p>
    <w:p w:rsidR="00B96EA0" w:rsidRDefault="007D66B8" w:rsidP="005142EB">
      <w:pPr>
        <w:spacing w:line="400" w:lineRule="exact"/>
        <w:ind w:left="1049" w:hanging="341"/>
      </w:pPr>
      <w:r>
        <w:rPr>
          <w:rFonts w:ascii="標楷體" w:eastAsia="標楷體" w:hAnsi="標楷體"/>
        </w:rPr>
        <w:t>(1)</w:t>
      </w:r>
      <w:r>
        <w:t xml:space="preserve"> </w:t>
      </w:r>
      <w:r>
        <w:rPr>
          <w:rFonts w:ascii="標楷體" w:eastAsia="標楷體" w:hAnsi="標楷體"/>
        </w:rPr>
        <w:t>可用於第一線治療晚期或轉移性腎細胞癌。（112/3/1）</w:t>
      </w:r>
    </w:p>
    <w:p w:rsidR="00B96EA0" w:rsidRDefault="007D66B8" w:rsidP="005142EB">
      <w:pPr>
        <w:spacing w:line="400" w:lineRule="exact"/>
        <w:ind w:left="1049" w:hanging="341"/>
        <w:rPr>
          <w:rFonts w:ascii="標楷體" w:eastAsia="標楷體" w:hAnsi="標楷體"/>
        </w:rPr>
      </w:pPr>
      <w:r>
        <w:rPr>
          <w:rFonts w:ascii="標楷體" w:eastAsia="標楷體" w:hAnsi="標楷體"/>
        </w:rPr>
        <w:t>(2)無效後則不給付temsirolimus。（110/12/1）</w:t>
      </w:r>
    </w:p>
    <w:p w:rsidR="00B96EA0" w:rsidRDefault="007D66B8" w:rsidP="005142EB">
      <w:pPr>
        <w:spacing w:line="400" w:lineRule="exact"/>
        <w:ind w:left="1049" w:hanging="341"/>
        <w:rPr>
          <w:rFonts w:ascii="標楷體" w:eastAsia="標楷體" w:hAnsi="標楷體"/>
        </w:rPr>
      </w:pPr>
      <w:r>
        <w:rPr>
          <w:rFonts w:ascii="標楷體" w:eastAsia="標楷體" w:hAnsi="標楷體"/>
        </w:rPr>
        <w:t>(3)需檢送影像資料，每三個月評估一次。(104/12/1)</w:t>
      </w:r>
    </w:p>
    <w:p w:rsidR="00B96EA0" w:rsidRDefault="007D66B8" w:rsidP="005142EB">
      <w:pPr>
        <w:spacing w:line="400" w:lineRule="exact"/>
        <w:ind w:left="1049" w:hanging="341"/>
        <w:rPr>
          <w:rFonts w:ascii="標楷體" w:eastAsia="標楷體" w:hAnsi="標楷體"/>
        </w:rPr>
      </w:pPr>
      <w:r>
        <w:rPr>
          <w:rFonts w:ascii="標楷體" w:eastAsia="標楷體" w:hAnsi="標楷體"/>
        </w:rPr>
        <w:t>(4)病人若對藥物產生耐受性不佳（intolerance），則以原來藥物減量為原則，若嚴重耐受性不佳，可以換其他TKI。</w:t>
      </w:r>
    </w:p>
    <w:p w:rsidR="00B96EA0" w:rsidRDefault="007D66B8" w:rsidP="005142EB">
      <w:pPr>
        <w:spacing w:line="400" w:lineRule="exact"/>
        <w:ind w:left="1049" w:hanging="341"/>
        <w:rPr>
          <w:rFonts w:ascii="標楷體" w:eastAsia="標楷體" w:hAnsi="標楷體"/>
        </w:rPr>
      </w:pPr>
      <w:r>
        <w:rPr>
          <w:rFonts w:ascii="標楷體" w:eastAsia="標楷體" w:hAnsi="標楷體"/>
        </w:rPr>
        <w:lastRenderedPageBreak/>
        <w:t>3.進展性，無法切除或轉移性分化良好之胰臟神經內分泌腫瘤的成人病患，須同時符合下列條件：(101/5/1）</w:t>
      </w:r>
    </w:p>
    <w:p w:rsidR="00B96EA0" w:rsidRDefault="007D66B8" w:rsidP="005142EB">
      <w:pPr>
        <w:spacing w:line="400" w:lineRule="exact"/>
        <w:ind w:left="1049" w:hanging="341"/>
        <w:rPr>
          <w:rFonts w:ascii="標楷體" w:eastAsia="標楷體" w:hAnsi="標楷體"/>
        </w:rPr>
      </w:pPr>
      <w:r>
        <w:rPr>
          <w:rFonts w:ascii="標楷體" w:eastAsia="標楷體" w:hAnsi="標楷體"/>
        </w:rPr>
        <w:t>(1)符合WHO 2010分類方式之G1 or G2胰臟神經內分泌瘤。</w:t>
      </w:r>
    </w:p>
    <w:p w:rsidR="00B96EA0" w:rsidRDefault="007D66B8" w:rsidP="005142EB">
      <w:pPr>
        <w:spacing w:line="400" w:lineRule="exact"/>
        <w:ind w:left="1049" w:hanging="341"/>
        <w:rPr>
          <w:rFonts w:ascii="標楷體" w:eastAsia="標楷體" w:hAnsi="標楷體"/>
        </w:rPr>
      </w:pPr>
      <w:r>
        <w:rPr>
          <w:rFonts w:ascii="標楷體" w:eastAsia="標楷體" w:hAnsi="標楷體"/>
        </w:rPr>
        <w:t>(2)於一年內影像檢查證實有明顯惡化者。</w:t>
      </w:r>
    </w:p>
    <w:p w:rsidR="00B96EA0" w:rsidRDefault="007D66B8" w:rsidP="005142EB">
      <w:pPr>
        <w:spacing w:line="400" w:lineRule="exact"/>
        <w:ind w:left="1049" w:hanging="341"/>
        <w:rPr>
          <w:rFonts w:ascii="標楷體" w:eastAsia="標楷體" w:hAnsi="標楷體"/>
        </w:rPr>
      </w:pPr>
      <w:r>
        <w:rPr>
          <w:rFonts w:ascii="標楷體" w:eastAsia="標楷體" w:hAnsi="標楷體"/>
        </w:rPr>
        <w:t>(3)不可合併使用化學治療或相關標靶藥物。（102/1/1）</w:t>
      </w:r>
    </w:p>
    <w:p w:rsidR="00B96EA0" w:rsidRDefault="007D66B8" w:rsidP="005142EB">
      <w:pPr>
        <w:spacing w:line="400" w:lineRule="exact"/>
        <w:ind w:left="1049" w:hanging="341"/>
      </w:pPr>
      <w:r>
        <w:rPr>
          <w:rFonts w:ascii="標楷體" w:eastAsia="標楷體" w:hAnsi="標楷體"/>
        </w:rPr>
        <w:t>(4)經事前專案審查核准後使用，且需每3個月評估一次。</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w:t>
      </w:r>
      <w:r w:rsidR="00642BBE" w:rsidRPr="00642BBE">
        <w:rPr>
          <w:rFonts w:ascii="標楷體" w:eastAsia="標楷體" w:hAnsi="標楷體"/>
          <w:color w:val="000000"/>
        </w:rPr>
        <w:t xml:space="preserve"> </w:t>
      </w:r>
      <w:r w:rsidR="00642BBE">
        <w:rPr>
          <w:rFonts w:ascii="標楷體" w:eastAsia="標楷體" w:hAnsi="標楷體"/>
          <w:color w:val="000000"/>
        </w:rPr>
        <w:t>Nilotinib：（98/6/1、99/1/1、101/7/1、113/6/1</w:t>
      </w:r>
      <w:r w:rsidR="00642BBE">
        <w:rPr>
          <w:rFonts w:ascii="標楷體" w:eastAsia="標楷體" w:hAnsi="標楷體" w:hint="eastAsia"/>
          <w:color w:val="000000"/>
        </w:rPr>
        <w:t>、1</w:t>
      </w:r>
      <w:r w:rsidR="00642BBE">
        <w:rPr>
          <w:rFonts w:ascii="標楷體" w:eastAsia="標楷體" w:hAnsi="標楷體"/>
          <w:color w:val="000000"/>
        </w:rPr>
        <w:t>15/2/1）附表九之六</w:t>
      </w:r>
    </w:p>
    <w:p w:rsidR="00B96EA0" w:rsidRDefault="00A3054C" w:rsidP="005142EB">
      <w:pPr>
        <w:spacing w:line="400" w:lineRule="exact"/>
        <w:ind w:left="672" w:hanging="386"/>
        <w:rPr>
          <w:rFonts w:ascii="標楷體" w:eastAsia="標楷體" w:hAnsi="標楷體"/>
          <w:color w:val="000000"/>
        </w:rPr>
      </w:pPr>
      <w:r>
        <w:rPr>
          <w:rFonts w:ascii="標楷體" w:eastAsia="標楷體" w:hAnsi="標楷體"/>
          <w:color w:val="000000"/>
        </w:rPr>
        <w:t>9.32.1.Nilotinib 200mg(如Tasigna 200mg)（98/6/1、99/1/1、104/12/1、113/6/1</w:t>
      </w:r>
      <w:r>
        <w:rPr>
          <w:rFonts w:ascii="標楷體" w:eastAsia="標楷體" w:hAnsi="標楷體" w:hint="eastAsia"/>
          <w:color w:val="000000"/>
        </w:rPr>
        <w:t>、1</w:t>
      </w:r>
      <w:r>
        <w:rPr>
          <w:rFonts w:ascii="標楷體" w:eastAsia="標楷體" w:hAnsi="標楷體"/>
          <w:color w:val="000000"/>
        </w:rPr>
        <w:t>15/2/1）</w:t>
      </w:r>
    </w:p>
    <w:p w:rsidR="00A3054C" w:rsidRDefault="007D66B8" w:rsidP="00A3054C">
      <w:pPr>
        <w:spacing w:line="400" w:lineRule="exact"/>
        <w:ind w:left="811" w:hanging="245"/>
        <w:rPr>
          <w:rFonts w:ascii="標楷體" w:eastAsia="標楷體" w:hAnsi="標楷體"/>
          <w:color w:val="000000"/>
        </w:rPr>
      </w:pPr>
      <w:r>
        <w:rPr>
          <w:rFonts w:ascii="標楷體" w:eastAsia="標楷體" w:hAnsi="標楷體"/>
          <w:color w:val="000000"/>
        </w:rPr>
        <w:t>1.</w:t>
      </w:r>
      <w:r w:rsidR="00A3054C" w:rsidRPr="00A3054C">
        <w:rPr>
          <w:rFonts w:ascii="標楷體" w:eastAsia="標楷體" w:hAnsi="標楷體"/>
          <w:color w:val="000000"/>
        </w:rPr>
        <w:t xml:space="preserve"> </w:t>
      </w:r>
      <w:r w:rsidR="00A3054C">
        <w:rPr>
          <w:rFonts w:ascii="標楷體" w:eastAsia="標楷體" w:hAnsi="標楷體"/>
          <w:color w:val="000000"/>
        </w:rPr>
        <w:t>限用於治療對imatinib 400MG(含)以上耐受性不良或治療無效的「慢性期或加速期費城染色體(Philadelphia chromosome)陽性的慢性骨髓性白血病(CML)成年患者」。</w:t>
      </w:r>
    </w:p>
    <w:p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2.必須檢附耐受性不良或治療無效的證明。(104/12/1)</w:t>
      </w:r>
    </w:p>
    <w:p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3.Nilotinib</w:t>
      </w:r>
      <w:r>
        <w:rPr>
          <w:rFonts w:ascii="標楷體" w:eastAsia="標楷體" w:hAnsi="標楷體" w:hint="eastAsia"/>
          <w:color w:val="000000"/>
        </w:rPr>
        <w:t>、</w:t>
      </w:r>
      <w:r>
        <w:rPr>
          <w:rFonts w:ascii="標楷體" w:eastAsia="標楷體" w:hAnsi="標楷體"/>
          <w:color w:val="000000"/>
        </w:rPr>
        <w:t>dasatini</w:t>
      </w:r>
      <w:r>
        <w:rPr>
          <w:rFonts w:ascii="標楷體" w:eastAsia="標楷體" w:hAnsi="標楷體" w:hint="eastAsia"/>
          <w:color w:val="000000"/>
        </w:rPr>
        <w:t>b與</w:t>
      </w:r>
      <w:r w:rsidRPr="001D0398">
        <w:rPr>
          <w:rFonts w:ascii="標楷體" w:eastAsia="標楷體" w:hAnsi="標楷體" w:hint="eastAsia"/>
          <w:color w:val="000000"/>
        </w:rPr>
        <w:t>bosutinib不得合併使用。（98/6/1、99/1/1、104/12/1、115/2/1)</w:t>
      </w:r>
    </w:p>
    <w:p w:rsidR="00B96EA0"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4.1~2項規定內之疾病診斷或追蹤若需依據基因檢測報告，則需符合全民健康保險藥品給付規定之通則十二。(113/6/1)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9.32.2.Nilotinib 150mg(如Tasigna 150mg)：(101/7/1、104/12/1、113/6/1)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1.限用於新確診之慢性期費城染色體陽性的慢性骨髓性白血病。(104/12/1)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9.33.Thalidomide（如Thado）：(98/7/1)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治療新診斷多發性骨髓瘤。使用時須和prednisolone及oral melphalan併用，或和骨髓移植併用，或和palmidronate併用於骨髓移植後之治療。</w:t>
      </w:r>
    </w:p>
    <w:p w:rsidR="00B96EA0" w:rsidRDefault="007D66B8" w:rsidP="005142EB">
      <w:pPr>
        <w:spacing w:line="400" w:lineRule="exact"/>
        <w:ind w:left="672" w:hanging="386"/>
      </w:pPr>
      <w:r>
        <w:rPr>
          <w:rFonts w:ascii="標楷體" w:eastAsia="標楷體" w:hAnsi="標楷體"/>
          <w:color w:val="000000"/>
        </w:rPr>
        <w:t>9.34.Sorafenib(如Nexavar)：(98/10/1、100/6/1、101/8/1、104/12/1、105/11/1、106/1/1、107/7/1、108/6/1、108/12/1、109/1/1、112/8/1、114/2/1、114/6/1)</w:t>
      </w:r>
    </w:p>
    <w:p w:rsidR="00B96EA0" w:rsidRDefault="007D66B8" w:rsidP="005142EB">
      <w:pPr>
        <w:spacing w:line="400" w:lineRule="exact"/>
        <w:ind w:left="811" w:hanging="245"/>
      </w:pPr>
      <w:r>
        <w:rPr>
          <w:rFonts w:ascii="標楷體" w:eastAsia="標楷體" w:hAnsi="標楷體"/>
          <w:color w:val="000000"/>
          <w:lang w:val="it-IT"/>
        </w:rPr>
        <w:t>1.</w:t>
      </w:r>
      <w:r>
        <w:rPr>
          <w:rFonts w:ascii="標楷體" w:eastAsia="標楷體" w:hAnsi="標楷體"/>
          <w:color w:val="000000"/>
        </w:rPr>
        <w:t>晚期腎細胞癌部分</w:t>
      </w:r>
      <w:r>
        <w:rPr>
          <w:rFonts w:ascii="標楷體" w:eastAsia="標楷體" w:hAnsi="標楷體"/>
          <w:color w:val="000000"/>
          <w:lang w:val="it-IT"/>
        </w:rPr>
        <w:t>：</w:t>
      </w:r>
    </w:p>
    <w:p w:rsidR="00B96EA0" w:rsidRDefault="007D66B8" w:rsidP="005142EB">
      <w:pPr>
        <w:spacing w:line="400" w:lineRule="exact"/>
        <w:ind w:left="1049" w:hanging="341"/>
      </w:pPr>
      <w:r>
        <w:rPr>
          <w:rFonts w:ascii="標楷體" w:eastAsia="標楷體" w:hAnsi="標楷體"/>
          <w:color w:val="000000"/>
          <w:lang w:val="it-IT"/>
        </w:rPr>
        <w:t>(1)</w:t>
      </w:r>
      <w:r>
        <w:rPr>
          <w:rFonts w:ascii="標楷體" w:eastAsia="標楷體" w:hAnsi="標楷體"/>
          <w:color w:val="000000"/>
        </w:rPr>
        <w:t>晚期腎細胞癌且已接受</w:t>
      </w:r>
      <w:r>
        <w:rPr>
          <w:rFonts w:ascii="標楷體" w:eastAsia="標楷體" w:hAnsi="標楷體"/>
          <w:color w:val="000000"/>
          <w:lang w:val="it-IT"/>
        </w:rPr>
        <w:t>interferon-alpha</w:t>
      </w:r>
      <w:r>
        <w:rPr>
          <w:rFonts w:ascii="標楷體" w:eastAsia="標楷體" w:hAnsi="標楷體"/>
          <w:color w:val="000000"/>
        </w:rPr>
        <w:t>或</w:t>
      </w:r>
      <w:r>
        <w:rPr>
          <w:rFonts w:ascii="標楷體" w:eastAsia="標楷體" w:hAnsi="標楷體"/>
          <w:color w:val="000000"/>
          <w:lang w:val="it-IT"/>
        </w:rPr>
        <w:t>interleukin-2</w:t>
      </w:r>
      <w:r>
        <w:rPr>
          <w:rFonts w:ascii="標楷體" w:eastAsia="標楷體" w:hAnsi="標楷體"/>
          <w:color w:val="000000"/>
        </w:rPr>
        <w:t>治療失敗</w:t>
      </w:r>
      <w:r>
        <w:rPr>
          <w:rFonts w:ascii="標楷體" w:eastAsia="標楷體" w:hAnsi="標楷體"/>
          <w:color w:val="000000"/>
          <w:lang w:val="it-IT"/>
        </w:rPr>
        <w:t>，</w:t>
      </w:r>
      <w:r>
        <w:rPr>
          <w:rFonts w:ascii="標楷體" w:eastAsia="標楷體" w:hAnsi="標楷體"/>
          <w:color w:val="000000"/>
        </w:rPr>
        <w:t>或不適合以上兩種藥物治療之病患。不適合以上兩種藥物治療之病患，須符合cytokine禁忌症者得直接使用sorafenib。但須列舉出所符合之禁忌症及檢附相關證明。(100/6/1)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(2)無效後則不給付temsirolimus。(108/12/1)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(3)需檢送影像資料，每3個月評估一次。(104/12/1)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2.晚期肝細胞癌部分：(101/8/1、105/11/1、108/6/1、109/1/1、112/8/1、114/2/1、114/6/1)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lastRenderedPageBreak/>
        <w:t>Ⅰ.肝外轉移（遠端轉移或肝外淋巴結侵犯）。</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Ⅱ.大血管侵犯（腫瘤侵犯主門靜脈或侵犯左/右靜脈第一或第二分支）</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III.經導管動脈化學藥物栓塞治療（Transcatheter arterial chemo embolization,T.A.C.E.）失敗者，需提供患者於12個月內&gt;=3次局部治療之記錄。</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(2)需經事前審查核准後使用，初次申請之療程以3個月為限，之後每3個月評估一次。送審時需檢送影像資料，無疾病惡化方可繼續使用。(101/8/1、114/6/1)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(3)每日至多處方4粒。</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(4)Sorafenib、lenvatinib、atezolizumab併用bevacizumab、tremelimumab併用durvalumab僅得擇一給付，不得互換。(109/1/1、112/8/1、114/2/1)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3.用於放射性碘治療無效之局部晚期或轉移性的進行性(progressive)分化型甲狀腺癌(RAI-RDTC)：(106/1/1)</w:t>
      </w:r>
    </w:p>
    <w:p w:rsidR="00B96EA0" w:rsidRDefault="007D66B8" w:rsidP="005142EB">
      <w:pPr>
        <w:spacing w:line="400" w:lineRule="exact"/>
        <w:ind w:left="1133" w:hanging="425"/>
        <w:rPr>
          <w:rFonts w:ascii="標楷體" w:eastAsia="標楷體" w:hAnsi="標楷體"/>
          <w:color w:val="000000"/>
        </w:rPr>
      </w:pPr>
      <w:r>
        <w:rPr>
          <w:rFonts w:ascii="標楷體" w:eastAsia="標楷體" w:hAnsi="標楷體"/>
          <w:color w:val="000000"/>
        </w:rPr>
        <w:t>(1)放射性碘治療無效之局部晚期或轉移性的進行性(progressive)分化型甲狀腺癌。</w:t>
      </w:r>
    </w:p>
    <w:p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(2)需經事前審查核准後使用，每次申請之療程以3個月為限，送審時需檢送影像資料，每3個月評估一次。</w:t>
      </w:r>
    </w:p>
    <w:p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(3)Sorafenib與lenvatinib不得合併使用。(107/7/1)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9.35.carmustine植入劑(如Gliadel Wafer)：(100/2/1)附表八之四</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1.作為復發性多形神經膠母細胞瘤病人的手術輔助，且不得與temozolomide併用。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2.需經事前審查核准後使用。</w:t>
      </w:r>
    </w:p>
    <w:p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9.36.Everolimus：（100/2/1、102/1/1）附表九之九</w:t>
      </w:r>
    </w:p>
    <w:p w:rsidR="008A162B" w:rsidRPr="00FC226B" w:rsidRDefault="008A162B" w:rsidP="008A162B">
      <w:pPr>
        <w:spacing w:line="400" w:lineRule="exact"/>
        <w:ind w:leftChars="118" w:left="1133" w:hangingChars="354" w:hanging="850"/>
        <w:rPr>
          <w:rFonts w:ascii="標楷體" w:eastAsia="標楷體" w:hAnsi="標楷體"/>
          <w:szCs w:val="24"/>
        </w:rPr>
      </w:pPr>
      <w:r w:rsidRPr="00FC226B">
        <w:rPr>
          <w:rFonts w:ascii="標楷體" w:eastAsia="標楷體" w:hAnsi="標楷體"/>
          <w:szCs w:val="24"/>
        </w:rPr>
        <w:t>9.36.1.Everolimus 5mg及10mg(如Afinitor 5mg及10mg)：（100/2/1、102/1/1、104/9/1、104/12/1、106/3/1、108/10/1、109/4/1</w:t>
      </w:r>
      <w:r w:rsidRPr="00FC226B">
        <w:rPr>
          <w:rFonts w:ascii="標楷體" w:eastAsia="標楷體" w:hAnsi="標楷體" w:hint="eastAsia"/>
          <w:szCs w:val="24"/>
        </w:rPr>
        <w:t>、114/12/1</w:t>
      </w:r>
      <w:r w:rsidRPr="00FC226B">
        <w:rPr>
          <w:rFonts w:ascii="標楷體" w:eastAsia="標楷體" w:hAnsi="標楷體"/>
          <w:szCs w:val="24"/>
        </w:rPr>
        <w:t>）</w:t>
      </w:r>
    </w:p>
    <w:p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1.治療經VEGF-targeted療法無效後之晚期腎細胞癌患者。</w:t>
      </w:r>
    </w:p>
    <w:p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2.使用於胰臟神經內分泌腫瘤成人病患，需同時符合下列條件：（102/1/1）</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(1)無法切除或轉移的成人胰臟內分泌腫瘤，其分化程度為良好或中度，或WHO 2010年分類為G1、G2者。</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(3)不可合併使用化學藥物或其他標靶藥物。</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(4)除因病人使用本品後，發生嚴重不良反應或耐受不良之情形外，本品與sunitinib不得轉換使用。</w:t>
      </w:r>
    </w:p>
    <w:p w:rsidR="008A162B" w:rsidRPr="00FC226B" w:rsidRDefault="008A162B" w:rsidP="008A162B">
      <w:pPr>
        <w:spacing w:line="400" w:lineRule="exact"/>
        <w:ind w:left="991" w:hanging="425"/>
        <w:rPr>
          <w:szCs w:val="24"/>
        </w:rPr>
      </w:pPr>
      <w:r w:rsidRPr="00FC226B">
        <w:rPr>
          <w:rFonts w:ascii="標楷體" w:eastAsia="標楷體" w:hAnsi="標楷體"/>
          <w:szCs w:val="24"/>
        </w:rPr>
        <w:t>3.使用於無法切除、局部晚期或轉移之胃腸道或肺部來源之非功能性神經內分泌腫瘤成人病患，需同時符合下列條件：（108/10/1）</w:t>
      </w:r>
    </w:p>
    <w:p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(1)腫瘤分化程度為良好者。</w:t>
      </w:r>
    </w:p>
    <w:p w:rsidR="008A162B" w:rsidRPr="00FC226B" w:rsidRDefault="008A162B" w:rsidP="008A162B">
      <w:pPr>
        <w:spacing w:line="400" w:lineRule="exact"/>
        <w:ind w:left="1134" w:hanging="42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lastRenderedPageBreak/>
        <w:t>(3)不可合併使用化學藥物或其他標靶藥物。</w:t>
      </w:r>
    </w:p>
    <w:p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4.與</w:t>
      </w:r>
      <w:r w:rsidRPr="00FC226B">
        <w:rPr>
          <w:rFonts w:ascii="標楷體" w:eastAsia="標楷體" w:hAnsi="標楷體"/>
          <w:szCs w:val="24"/>
        </w:rPr>
        <w:t>exemestane</w:t>
      </w:r>
      <w:r w:rsidRPr="00FC226B">
        <w:rPr>
          <w:rFonts w:ascii="標楷體" w:eastAsia="標楷體" w:hAnsi="標楷體" w:hint="eastAsia"/>
          <w:szCs w:val="24"/>
        </w:rPr>
        <w:t>併用，作為先前已使用過非類固醇類之芳香環酶抑制劑治療無效，而未曾使用</w:t>
      </w:r>
      <w:r w:rsidRPr="00FC226B">
        <w:rPr>
          <w:rFonts w:ascii="標楷體" w:eastAsia="標楷體" w:hAnsi="標楷體"/>
          <w:szCs w:val="24"/>
        </w:rPr>
        <w:t>exemestane</w:t>
      </w:r>
      <w:r w:rsidRPr="00FC226B">
        <w:rPr>
          <w:rFonts w:ascii="標楷體" w:eastAsia="標楷體" w:hAnsi="標楷體" w:hint="eastAsia"/>
          <w:szCs w:val="24"/>
        </w:rPr>
        <w:t>之荷爾蒙接受體陽性、</w:t>
      </w:r>
      <w:r w:rsidRPr="00FC226B">
        <w:rPr>
          <w:rFonts w:ascii="標楷體" w:eastAsia="標楷體" w:hAnsi="標楷體"/>
          <w:szCs w:val="24"/>
        </w:rPr>
        <w:t>HER2</w:t>
      </w:r>
      <w:r w:rsidRPr="00FC226B">
        <w:rPr>
          <w:rFonts w:ascii="標楷體" w:eastAsia="標楷體" w:hAnsi="標楷體" w:hint="eastAsia"/>
          <w:szCs w:val="24"/>
        </w:rPr>
        <w:t>受體陰性且尚未出現器官轉移危急症狀</w:t>
      </w:r>
      <w:r w:rsidRPr="00FC226B">
        <w:rPr>
          <w:rFonts w:ascii="標楷體" w:eastAsia="標楷體" w:hAnsi="標楷體"/>
          <w:szCs w:val="24"/>
        </w:rPr>
        <w:t xml:space="preserve"> (visceral crisis)</w:t>
      </w:r>
      <w:r w:rsidRPr="00FC226B">
        <w:rPr>
          <w:rFonts w:ascii="標楷體" w:eastAsia="標楷體" w:hAnsi="標楷體" w:hint="eastAsia"/>
          <w:szCs w:val="24"/>
        </w:rPr>
        <w:t>之轉移性乳癌病人的治療。本品與</w:t>
      </w:r>
      <w:r w:rsidRPr="00FC226B">
        <w:rPr>
          <w:rFonts w:ascii="標楷體" w:eastAsia="標楷體" w:hAnsi="標楷體"/>
          <w:szCs w:val="24"/>
        </w:rPr>
        <w:t>tucidinostat</w:t>
      </w:r>
      <w:r w:rsidRPr="00FC226B">
        <w:rPr>
          <w:rFonts w:ascii="標楷體" w:eastAsia="標楷體" w:hAnsi="標楷體" w:hint="eastAsia"/>
          <w:szCs w:val="24"/>
        </w:rPr>
        <w:t>僅得擇一使用，除因耐受性不良，不得互換；且使用本品無效後，不得申請</w:t>
      </w:r>
      <w:r w:rsidRPr="00FC226B">
        <w:rPr>
          <w:rFonts w:ascii="標楷體" w:eastAsia="標楷體" w:hAnsi="標楷體"/>
          <w:szCs w:val="24"/>
        </w:rPr>
        <w:t xml:space="preserve"> CDK4/6 </w:t>
      </w:r>
      <w:r w:rsidRPr="00FC226B">
        <w:rPr>
          <w:rFonts w:ascii="標楷體" w:eastAsia="標楷體" w:hAnsi="標楷體" w:hint="eastAsia"/>
          <w:szCs w:val="24"/>
        </w:rPr>
        <w:t>抑制劑藥品（</w:t>
      </w:r>
      <w:r w:rsidRPr="00FC226B">
        <w:rPr>
          <w:rFonts w:ascii="標楷體" w:eastAsia="標楷體" w:hAnsi="標楷體"/>
          <w:szCs w:val="24"/>
        </w:rPr>
        <w:t>104/9/1</w:t>
      </w:r>
      <w:r w:rsidRPr="00FC226B">
        <w:rPr>
          <w:rFonts w:ascii="標楷體" w:eastAsia="標楷體" w:hAnsi="標楷體" w:hint="eastAsia"/>
          <w:szCs w:val="24"/>
        </w:rPr>
        <w:t>、</w:t>
      </w:r>
      <w:r w:rsidRPr="00FC226B">
        <w:rPr>
          <w:rFonts w:ascii="標楷體" w:eastAsia="標楷體" w:hAnsi="標楷體"/>
          <w:szCs w:val="24"/>
        </w:rPr>
        <w:t>109/4/1</w:t>
      </w:r>
      <w:r w:rsidRPr="00FC226B">
        <w:rPr>
          <w:rFonts w:ascii="標楷體" w:eastAsia="標楷體" w:hAnsi="標楷體" w:hint="eastAsia"/>
          <w:szCs w:val="24"/>
        </w:rPr>
        <w:t>、114/12/1</w:t>
      </w:r>
      <w:r w:rsidRPr="00FC226B">
        <w:rPr>
          <w:rFonts w:ascii="標楷體" w:eastAsia="標楷體" w:hAnsi="標楷體"/>
          <w:szCs w:val="24"/>
        </w:rPr>
        <w:t>）</w:t>
      </w:r>
    </w:p>
    <w:p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5.除晚期腎細胞癌之外，其他疾病需經事前審查核准後使用，每次申請之療程以3個月為限。初次申請時需檢送病理報告及影像報告，之後每3個月申請一次，再次申請時需檢附影像資料及前次治療結果評估資料證實無惡化，才可繼續使用。(104/12/1、108/10/1)</w:t>
      </w:r>
    </w:p>
    <w:p w:rsidR="00B96EA0" w:rsidRDefault="008A162B" w:rsidP="008A162B">
      <w:pPr>
        <w:spacing w:line="400" w:lineRule="exact"/>
        <w:ind w:left="811" w:hanging="245"/>
      </w:pPr>
      <w:r w:rsidRPr="00FC226B">
        <w:rPr>
          <w:rFonts w:ascii="標楷體" w:eastAsia="標楷體" w:hAnsi="標楷體" w:hint="eastAsia"/>
          <w:szCs w:val="24"/>
        </w:rPr>
        <w:t>6.限每日最大劑量為10mg。（108/10/1）</w:t>
      </w:r>
    </w:p>
    <w:p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9.36.2.Everolimus 2.5mg及5mg(如Votubia)：（102/1/1、106/4/1、111/2/1）</w:t>
      </w:r>
    </w:p>
    <w:p w:rsidR="00B96EA0" w:rsidRDefault="007D66B8" w:rsidP="005142EB">
      <w:pPr>
        <w:spacing w:line="400" w:lineRule="exact"/>
        <w:ind w:left="811" w:hanging="245"/>
        <w:rPr>
          <w:rFonts w:ascii="標楷體" w:eastAsia="標楷體" w:hAnsi="標楷體"/>
          <w:szCs w:val="24"/>
        </w:rPr>
      </w:pPr>
      <w:r>
        <w:rPr>
          <w:rFonts w:ascii="標楷體" w:eastAsia="標楷體" w:hAnsi="標楷體"/>
          <w:szCs w:val="24"/>
        </w:rPr>
        <w:t>1.治療患有結節性硬化症(tuberous sclerosis)之腦室管膜下巨細胞星狀瘤(SEGA: subependymal giant cell astrocytoma)：</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(1)限併有水腦症狀或其他顯著神經學症狀，且經神經外科專科醫師評估不適合接受或無法以外科切除手術的患者使用。</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(2)需經事前審查核准後使用，每次申請之療程以6個月為限，申請時需檢送影像檢查資料。</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(3)申請續用時，除需檢送治療前後之影像資料，且再經神經外科專科醫師評估，其仍不適合接受或無法以外科切除手術者，始得續用。</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(4)用藥後，若病情無法持續改善或疾病已惡化，則不予同意使用。</w:t>
      </w:r>
    </w:p>
    <w:p w:rsidR="00B96EA0" w:rsidRDefault="007D66B8" w:rsidP="005142EB">
      <w:pPr>
        <w:spacing w:line="400" w:lineRule="exact"/>
        <w:ind w:left="809" w:hanging="245"/>
        <w:rPr>
          <w:rFonts w:ascii="標楷體" w:eastAsia="標楷體" w:hAnsi="標楷體"/>
          <w:szCs w:val="24"/>
        </w:rPr>
      </w:pPr>
      <w:r>
        <w:rPr>
          <w:rFonts w:ascii="標楷體" w:eastAsia="標楷體" w:hAnsi="標楷體"/>
          <w:szCs w:val="24"/>
        </w:rPr>
        <w:t>2.結節性硬化症併有腎血管肌脂肪瘤之成年病患，且需符合以下條件(106/4/1、111/2/1)：</w:t>
      </w:r>
    </w:p>
    <w:p w:rsidR="00B96EA0" w:rsidRDefault="007D66B8" w:rsidP="005142EB">
      <w:pPr>
        <w:spacing w:line="400" w:lineRule="exact"/>
        <w:ind w:left="1133" w:hanging="425"/>
      </w:pPr>
      <w:r>
        <w:rPr>
          <w:rFonts w:ascii="標楷體" w:eastAsia="標楷體" w:hAnsi="標楷體"/>
          <w:szCs w:val="24"/>
        </w:rPr>
        <w:t>(1)</w:t>
      </w:r>
      <w:r>
        <w:t xml:space="preserve"> </w:t>
      </w:r>
      <w:r>
        <w:rPr>
          <w:rFonts w:ascii="標楷體" w:eastAsia="標楷體" w:hAnsi="標楷體"/>
          <w:szCs w:val="24"/>
        </w:rPr>
        <w:t>限18歲以上病人，其腎血管肌脂肪瘤最長直徑已達4cm(含)以上且仍有持續進展之證據，且曾有發生臨床上有意義之出血或確認病灶有血管瘤(aneurysm)直徑</w:t>
      </w:r>
      <w:r>
        <w:rPr>
          <w:rFonts w:ascii="Times New Roman" w:eastAsia="標楷體" w:hAnsi="Times New Roman"/>
          <w:szCs w:val="24"/>
        </w:rPr>
        <w:t>≥</w:t>
      </w:r>
      <w:r>
        <w:rPr>
          <w:rFonts w:ascii="標楷體" w:eastAsia="標楷體" w:hAnsi="標楷體"/>
          <w:szCs w:val="24"/>
        </w:rPr>
        <w:t>5mm者，病灶不只一處，且經腎臟或泌尿專科醫師評估無法以外科手術或動脈栓塞治療，或經動脈栓塞治療或外科手術後無效或復發者(111/2/1)。</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(2)需經事前審查核准後使用，每次申請之療程以6個月為限，申請時需檢送影像檢查(CT或MRI)資料。</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使用後需每24週評估一次，申請續用時，除檢送治療前之影像資料，需檢送治療後(第24週、48週、72週…等)之影像檢查資料，若腫瘤總體積較治療前降低30%(含)以上，且無新增直徑1公分以上的腫瘤或grade2(含)以上腫瘤出血併發症，始得申請續用。(註：腫瘤出血併發症分級(grading)定義依Common Terminology Criteria for Adverse Events(CTCAE), version4.0.)</w:t>
      </w:r>
    </w:p>
    <w:p w:rsidR="00B96EA0" w:rsidRDefault="007D66B8" w:rsidP="005142EB">
      <w:pPr>
        <w:spacing w:line="400" w:lineRule="exact"/>
        <w:ind w:left="1133" w:hanging="425"/>
      </w:pPr>
      <w:r>
        <w:rPr>
          <w:rFonts w:ascii="標楷體" w:eastAsia="標楷體" w:hAnsi="標楷體"/>
          <w:szCs w:val="24"/>
        </w:rPr>
        <w:t>(4)限每日最大劑量為10mg。</w:t>
      </w:r>
    </w:p>
    <w:p w:rsidR="0011658A" w:rsidRPr="00417740" w:rsidRDefault="0011658A" w:rsidP="0011658A">
      <w:pPr>
        <w:spacing w:line="400" w:lineRule="exact"/>
        <w:ind w:left="824" w:hanging="567"/>
        <w:rPr>
          <w:rFonts w:ascii="標楷體" w:eastAsia="標楷體" w:hAnsi="標楷體"/>
        </w:rPr>
      </w:pPr>
      <w:bookmarkStart w:id="10" w:name="_Hlk209192660"/>
      <w:r w:rsidRPr="00417740">
        <w:rPr>
          <w:rFonts w:ascii="標楷體" w:eastAsia="標楷體" w:hAnsi="標楷體"/>
          <w:color w:val="000000"/>
        </w:rPr>
        <w:t>9.37.</w:t>
      </w:r>
      <w:r w:rsidRPr="00417740">
        <w:rPr>
          <w:rFonts w:ascii="標楷體" w:eastAsia="標楷體" w:hAnsi="標楷體"/>
        </w:rPr>
        <w:t xml:space="preserve"> </w:t>
      </w:r>
      <w:r w:rsidRPr="00417740">
        <w:rPr>
          <w:rFonts w:ascii="標楷體" w:eastAsia="標楷體" w:hAnsi="標楷體"/>
          <w:color w:val="000000"/>
        </w:rPr>
        <w:t>Bevacizumab(如Avastin)：（100/6/1、101/05/1、106/4/1、108/3/1、109/6/1、</w:t>
      </w:r>
      <w:r w:rsidRPr="00417740">
        <w:rPr>
          <w:rFonts w:ascii="標楷體" w:eastAsia="標楷體" w:hAnsi="標楷體"/>
          <w:color w:val="000000"/>
        </w:rPr>
        <w:lastRenderedPageBreak/>
        <w:t>112/8/1、113/3/1、113/6/1、113/9/1、114/3/1、114/6/1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1.轉移性大腸或直腸癌：</w:t>
      </w:r>
    </w:p>
    <w:p w:rsidR="0011658A" w:rsidRPr="00417740" w:rsidRDefault="0011658A" w:rsidP="0011658A">
      <w:pPr>
        <w:spacing w:line="400" w:lineRule="exact"/>
        <w:ind w:left="1134" w:hanging="425"/>
        <w:rPr>
          <w:rFonts w:ascii="標楷體" w:eastAsia="標楷體" w:hAnsi="標楷體"/>
          <w:color w:val="000000"/>
        </w:rPr>
      </w:pPr>
      <w:r w:rsidRPr="00417740">
        <w:rPr>
          <w:rFonts w:ascii="標楷體" w:eastAsia="標楷體" w:hAnsi="標楷體"/>
          <w:color w:val="000000"/>
        </w:rPr>
        <w:t>(1)Bevacizumab與FOLFIRI（Folinicacid/5-fluorouracil/irinotecan）或FOLFOX（Folinicacid/5-fluorouracil/oxaliplatin）或5-fluorouracil/leucovorin的化學療法合併使用，作為轉移性大腸或直腸癌患者的第一線治療。(108/3/1)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Ⅰ.使用總療程以36週為上限(106/4/1)。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Ⅱ.須經事前審查核准後使用，每次申請事前審查之療程以18週為限，再次申請必須提出客觀證據（如：影像學）證實無惡化，才可繼續使用。(106/4/1)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Ⅲ.本藥品不得與cetuximab、panitumumab併用。(108/3/1、113/3/1)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(2)Bevacizumab(除Zirabev及Abevmy以外)與含有5-fluorouracil/leucovorin/oxaliplatin的化學療法合併使用，作為先前接受過以 fluoropyrimidine為基礎的化學療法併用cetuximab或panitumumab無效且未曾接受過bevacizumab治療，RAS基因沒有突變的轉移性大腸或直腸癌病人的第二線治療。(114/3/1)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Ⅰ.需檢附依全民健康保險醫療服務給付項目及支付標準伴隨式診斷編號30104B規定之認證實驗室檢驗之All-RAS基因突變分析檢測報告。</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Ⅱ.使用總療程以24週為上限。</w:t>
      </w:r>
    </w:p>
    <w:p w:rsidR="0011658A" w:rsidRPr="00417740" w:rsidRDefault="0011658A" w:rsidP="0011658A">
      <w:pPr>
        <w:spacing w:line="400" w:lineRule="exact"/>
        <w:ind w:left="1843" w:hanging="499"/>
        <w:rPr>
          <w:rFonts w:ascii="標楷體" w:eastAsia="標楷體" w:hAnsi="標楷體"/>
          <w:color w:val="000000"/>
        </w:rPr>
      </w:pPr>
      <w:r w:rsidRPr="00417740">
        <w:rPr>
          <w:rFonts w:ascii="標楷體" w:eastAsia="標楷體" w:hAnsi="標楷體"/>
          <w:color w:val="000000"/>
        </w:rPr>
        <w:t>Ⅲ.須經事前審查核准後使用，每次申請事前審查之療程以12週為限，再次申請必須提出客觀證據（如：RECIST criteria）證實無惡化，才可繼續使用。</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Ⅳ.使用劑量：限5mg/kg，每兩週一次。</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2.惡性神經膠質瘤(WHO第4級)-神經膠母細胞瘤：</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(1)單獨使用可用於治療曾接受標準放射線治療且含temozolomide在內之化學藥物治療失敗之多型性神經膠母細胞瘤(Glioblastoma multiforme)復發之成人患者。(101/05/1)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(2)須經事前審查核准後使用，每次申請事前審查之療程以12週為限，再次申請必須提出客觀證據（如：影像學）證實無惡化，才可繼續使用。</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3.卵巢上皮細胞、輸卵管或原發性腹膜癌：(109/6/1、113/3/1、113/9/1、114/3/1、114/6/1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1133" w:hanging="425"/>
        <w:rPr>
          <w:rFonts w:ascii="標楷體" w:eastAsia="標楷體" w:hAnsi="標楷體"/>
        </w:rPr>
      </w:pPr>
      <w:r w:rsidRPr="00417740">
        <w:rPr>
          <w:rFonts w:ascii="標楷體" w:eastAsia="標楷體" w:hAnsi="標楷體"/>
          <w:color w:val="000000"/>
        </w:rPr>
        <w:t>(1)</w:t>
      </w:r>
      <w:r w:rsidRPr="00417740">
        <w:rPr>
          <w:rFonts w:ascii="標楷體" w:eastAsia="標楷體" w:hAnsi="標楷體"/>
        </w:rPr>
        <w:t xml:space="preserve"> </w:t>
      </w:r>
      <w:r w:rsidRPr="00417740">
        <w:rPr>
          <w:rFonts w:ascii="標楷體" w:eastAsia="標楷體" w:hAnsi="標楷體"/>
          <w:color w:val="000000"/>
        </w:rPr>
        <w:t>Bevacizumab（除Zirabev以外）與carboplatin 及paclitaxel合併使用，接著單獨使用bevacizumab（除Zirabev以外）治療，作為第四期卵巢上皮細胞、輸卵管或原發性腹膜癌病人接受初次手術切除後之第一線治療之維持治療。(113/3/1、113/9/1、114/3/1、114/4/1、114/6/1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Ⅰ.初次申請為手術後一個月後起與化學治療併用5個療程。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Ⅱ.第二次申請時為接續單獨使用bevacizumab維持性治療9個療程。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Ⅲ.第三次申請時為接續單獨使用bevacizumab維持性治療8個療程。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lastRenderedPageBreak/>
        <w:t>Ⅳ.每人以總共給付22個療程為上限。若病情惡化或停藥後再復發即不得再次申請。</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(2)Bevacizumab與carboplatin 及paclitaxel合併使用，作為曾接受過第一線含鉑類藥物(Platinum-based)化學治療間隔6-12個月內再復發之治療。接著單獨使用bevacizumab治療，作為含鉑藥物具感受性之治療。</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Ⅰ.若前曾申請bevacizumab 使用於卵巢上皮細胞、輸卵管或原發性腹膜癌作為第一線治療者不可再次使用。(113/3/1)</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Ⅱ.初次申請為5個療程，後續每次申請為5個療程，總申請療程以15個療程為上限。(113/3/1)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限使用Alymsys、Abevmy、Vegzelma或Mvasi)與olaparib併用適用於晚期高度惡性上皮卵巢癌、輸卵管腫瘤或原發性腹膜癌，且對第一線含鉑化療合併bevacizumab有反應（完全反應或部分反應）之成年病人做為維持治療，患者需符合olaparib給付規定，限用兩年。bevacizumab以15個月的療程為上限。(114/6/1、114/8/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(4)須經事前審查核准後使用，再次申請必須提出客觀證據（如：影像學）證實無惡化，才可繼續使用。</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(5)FIGO Stage IV disease具germline or somatic BRCA 1/2致病性或疑似致病性突變者，若已經申請niraparib用於第一線化學治療後維持性治療時不得另外申請bevacizumab併用，除因niraparib耐受性不良，在維持性治療可再換成bevacizumab（除Zirabev以外）單獨使用，總申請療程以17個療程為上限。(113/3/1、113/9/1、114/3/1、114/6/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4.持續性、復發性或轉移性之子宮頸癌：(109/6/1、113/3/1)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(1)Bevacizumab與cisplatin及paclitaxel合併使用，可用於持續性、復發性或轉移性之子宮頸癌。</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(2)Bevacizumab與paclitaxel及topotecan合併使用，作為無法接受含鉑類藥物治療患者之持續性、復發性或轉移性之子宮頸癌。</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(3)須經事前審查核准後使用，每次申請事前審查之療程以15週為限，再次申請必須提出客觀證據（如：影像學）證實無惡化，才可繼續使用。(113/3/1)</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5.晚期、轉移性或復發性非鱗狀非小細胞肺癌(除Zirabev及Abevmy以外)：(113/3/1、113/6/1、113/9/1、114/3/1)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 erlotinib併用，作為無法手術切除的轉移性(第Ⅳ期)且帶有表皮生長因子受體(EGFR) Exon 21 L858R 活化性突變之腦轉移非鱗狀非小細胞肺癌病患的第一線治療。</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Ⅰ.每次申請之療程以 12 週為限。</w:t>
      </w:r>
    </w:p>
    <w:p w:rsidR="0011658A" w:rsidRPr="00417740" w:rsidRDefault="0011658A" w:rsidP="0011658A">
      <w:pPr>
        <w:spacing w:line="400" w:lineRule="exact"/>
        <w:ind w:left="1654" w:hanging="336"/>
        <w:rPr>
          <w:rFonts w:ascii="標楷體" w:eastAsia="標楷體" w:hAnsi="標楷體"/>
        </w:rPr>
      </w:pPr>
      <w:r w:rsidRPr="00417740">
        <w:rPr>
          <w:rFonts w:ascii="標楷體" w:eastAsia="標楷體" w:hAnsi="標楷體"/>
          <w:color w:val="000000"/>
        </w:rPr>
        <w:t>Ⅱ.初次申請時需檢附表皮生長因子受體(EGFR) Exon 21 L858R 活化性突變檢</w:t>
      </w:r>
      <w:r w:rsidRPr="00417740">
        <w:rPr>
          <w:rFonts w:ascii="標楷體" w:eastAsia="標楷體" w:hAnsi="標楷體"/>
          <w:color w:val="000000"/>
        </w:rPr>
        <w:lastRenderedPageBreak/>
        <w:t>測報告，且需符合全民健康保險藥品給付規定之通則十二。</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Ⅲ.再次申請必須提出客觀證據（如：影像學）證實無惡化，才可繼續使用。</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(3)Bevacizumab併用erlotinib於第一線治療時，該治療組合與gefitinib、afatinib 僅得擇一使用，除因耐受性不良，不得互換。</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(4)使用劑量：限7.5mg/kg，每三週1次。</w:t>
      </w:r>
    </w:p>
    <w:p w:rsidR="0011658A" w:rsidRPr="00417740" w:rsidRDefault="0011658A" w:rsidP="00301C39">
      <w:pPr>
        <w:spacing w:line="400" w:lineRule="exact"/>
        <w:ind w:left="851" w:hanging="245"/>
        <w:rPr>
          <w:rFonts w:ascii="標楷體" w:eastAsia="標楷體" w:hAnsi="標楷體"/>
          <w:color w:val="000000"/>
        </w:rPr>
      </w:pPr>
      <w:r w:rsidRPr="00417740">
        <w:rPr>
          <w:rFonts w:ascii="標楷體" w:eastAsia="標楷體" w:hAnsi="標楷體"/>
          <w:color w:val="000000"/>
        </w:rPr>
        <w:t>6.與atezolizumab併用適用於未曾使用過全身性治療用藥之轉移性或無法手術切除且不適合局部治療或局部治療失敗之Child-Pugh A class晚期肝細胞癌，患者需符合atezolizumab之藥品給付規定。(112/8/1)</w:t>
      </w:r>
    </w:p>
    <w:p w:rsidR="00B96EA0" w:rsidRDefault="0011658A" w:rsidP="0011658A">
      <w:pPr>
        <w:spacing w:line="400" w:lineRule="exact"/>
        <w:ind w:left="851" w:hanging="245"/>
      </w:pPr>
      <w:r w:rsidRPr="00417740">
        <w:rPr>
          <w:rFonts w:ascii="標楷體" w:eastAsia="標楷體" w:hAnsi="標楷體"/>
          <w:color w:val="000000"/>
        </w:rPr>
        <w:t>7.</w:t>
      </w:r>
      <w:r w:rsidRPr="00DB43BE">
        <w:rPr>
          <w:rFonts w:ascii="標楷體" w:eastAsia="標楷體" w:hAnsi="標楷體"/>
          <w:color w:val="000000"/>
        </w:rPr>
        <w:t xml:space="preserve"> </w:t>
      </w:r>
      <w:r w:rsidRPr="00417740">
        <w:rPr>
          <w:rFonts w:ascii="標楷體" w:eastAsia="標楷體" w:hAnsi="標楷體"/>
          <w:color w:val="000000"/>
        </w:rPr>
        <w:t>Bevacizumab(限使用Alymsys、Avastin、Abevmy、Vegzelma或Mvasi)與atezolizumab及carboplatin、paclitaxel併用於轉移性非鱗狀非小細胞肺癌第一線治療，患者需符合免疫檢查點抑制劑之藥品給付規定。(114/6/1、114/8/1)</w:t>
      </w:r>
      <w:bookmarkEnd w:id="10"/>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9.38.Temsirolimus(如Torisel)：（101/1/1）附表九之十一</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1.需經事前審查核准後使用，每次給付3個月藥量，送審時需檢送影像資料，每3個月評估一次。</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(1)治療不限細胞型的高風險晚期腎細胞癌。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(2)需具有下列六個風險因子中至少3個以上因子：</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I.距離初次診斷出腎細胞癌之時間未達一年</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w:t>
      </w:r>
      <w:r>
        <w:rPr>
          <w:rFonts w:ascii="標楷體" w:eastAsia="標楷體" w:hAnsi="標楷體"/>
          <w:color w:val="000000"/>
        </w:rPr>
        <w:tab/>
        <w:t>Karnofsky Performance scale介於60至70之間</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III.血色素低於正常值12gm/dL</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IV.矯正後血鈣值超過10mg/dL</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w:t>
      </w:r>
      <w:r>
        <w:rPr>
          <w:rFonts w:ascii="標楷體" w:eastAsia="標楷體" w:hAnsi="標楷體"/>
          <w:color w:val="000000"/>
        </w:rPr>
        <w:tab/>
        <w:t>乳酸脫氫酶(lactate dehydrogenase)超過1.5倍正常值上限</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VI.超過一個以上的器官有轉移病灶。</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(3)無效後則不給付其他酪胺酸激酶阻斷劑TKI。</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2.病人若對藥物產生耐受性不佳（intolerance），則以原來藥物減量為原則，若嚴重耐受性不佳，可以換其他酪胺酸激酶阻斷劑（tyrosine kinase inhibitor, TKI）。</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9.39.Flutamide；buserelin：（90/8/1、101/7/1）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1.晚期（包括T3、淋巴腺轉移、器官轉移）之腫瘤。</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2.攝護腺癌病人接受根除性攝護腺切除手術治療後，PSA逐漸升高有局部復發或遠處轉移之情況。</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3.癌症臨床期別為T2、T3，準備接受根除性攝護腺切除手術治療或其他定效治療，包括irradiation之前為求tumor volume reduction，作為neoadjuvant治療之目的。</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9.40.Bicalutamide：（89/10/1、101/7/1）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限用於與LHRH類似劑療法或手術去勢療法併用於進展性攝護腺癌。</w:t>
      </w:r>
    </w:p>
    <w:p w:rsidR="00B96EA0" w:rsidRDefault="007D66B8" w:rsidP="005142EB">
      <w:pPr>
        <w:spacing w:line="400" w:lineRule="exact"/>
        <w:ind w:left="851" w:hanging="598"/>
        <w:rPr>
          <w:rFonts w:ascii="標楷體" w:eastAsia="標楷體" w:hAnsi="標楷體"/>
          <w:color w:val="000000"/>
        </w:rPr>
      </w:pPr>
      <w:r>
        <w:rPr>
          <w:rFonts w:ascii="標楷體" w:eastAsia="標楷體" w:hAnsi="標楷體"/>
          <w:color w:val="000000"/>
        </w:rPr>
        <w:t>9.41.Pazopanib（如Votrient）：（101/8/1、104/4/1、106/3/1、110/12/1、112/10/1）附表九之十三</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lastRenderedPageBreak/>
        <w:t>1.腎細胞癌：（106/3/1、110/12/1）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(1)可用於第一線治療晚期或轉移性腎細胞癌，其病理上為亮細胞癌(clear cell renal carcinoma)。</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(2)本品使用無效後，不得申請使用temsirolimus。（110/12/1）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(3)需檢送影像資料，每三個月評估一次。(106/3/1)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(4)病人若對藥物產生耐受性不佳（intolerance），則以原來藥物減量為原則，若嚴重耐受性不佳，可以換其他TKI。</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2.軟組織肉瘤：（104/4/1、112/10/1）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(1)用於治療先前曾接受化療失敗的晚期軟組織肉瘤(STS)患者。其病情若能接受手術治療者，須先經手術治療。</w:t>
      </w:r>
    </w:p>
    <w:p w:rsidR="00B96EA0" w:rsidRDefault="007D66B8" w:rsidP="005142EB">
      <w:pPr>
        <w:spacing w:line="400" w:lineRule="exact"/>
        <w:ind w:left="993" w:hanging="367"/>
      </w:pPr>
      <w:r>
        <w:rPr>
          <w:rFonts w:ascii="標楷體" w:eastAsia="標楷體" w:hAnsi="標楷體"/>
          <w:color w:val="000000"/>
        </w:rPr>
        <w:t>(2)須排除胃腸道基質瘤、脂肪惡性肉瘤、橫紋肌惡性肉瘤、軟骨惡性肉瘤、骨性惡性肉瘤、依文氏(Ewing</w:t>
      </w:r>
      <w:r>
        <w:rPr>
          <w:rFonts w:eastAsia="標楷體" w:cs="Calibri"/>
          <w:color w:val="000000"/>
        </w:rPr>
        <w:t>’</w:t>
      </w:r>
      <w:r>
        <w:rPr>
          <w:rFonts w:ascii="標楷體" w:eastAsia="標楷體" w:hAnsi="標楷體"/>
          <w:color w:val="000000"/>
        </w:rPr>
        <w:t>s sarcoma)惡性肉瘤、原發性神經外胚層腫瘤(primitive neuroectodermal tumor)或突起性表皮纖維惡性腫瘤(dermatofibrosarcoma protuberance)的患者。（104/4/1、112/10/1）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(3)須經事前審查核准後使用，每次申請療程以三個月為限，每三個月需再次申請。(須檢附影像學報告)</w:t>
      </w:r>
    </w:p>
    <w:p w:rsidR="00B96EA0" w:rsidRDefault="007D66B8" w:rsidP="005142EB">
      <w:pPr>
        <w:spacing w:line="400" w:lineRule="exact"/>
        <w:ind w:left="672" w:hanging="386"/>
      </w:pPr>
      <w:r>
        <w:rPr>
          <w:rFonts w:ascii="標楷體" w:eastAsia="標楷體" w:hAnsi="標楷體"/>
          <w:bCs/>
          <w:color w:val="000000"/>
        </w:rPr>
        <w:t>9.42.Bendamustine（如Innomustine）</w:t>
      </w:r>
      <w:r>
        <w:rPr>
          <w:rFonts w:ascii="新細明體" w:hAnsi="新細明體"/>
          <w:bCs/>
          <w:color w:val="000000"/>
        </w:rPr>
        <w:t>：</w:t>
      </w:r>
      <w:r>
        <w:rPr>
          <w:rFonts w:ascii="標楷體" w:eastAsia="標楷體" w:hAnsi="標楷體"/>
          <w:bCs/>
          <w:color w:val="000000"/>
        </w:rPr>
        <w:t>(101/10/1、103/2/1、108/10/1、113/2/1)</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1.以本品作為第一線治療，限用於Binet C級之慢性淋巴性白血病病人(CLL)或Binet B級併有免疫性症候(如自體免疫性溶血、免疫性血小板低下紫瘢症等)相關疾病之CLL病人。</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2.用於B-細胞慢性淋巴性白血病（CLL）病患Binet B及C之第二線治療，在經歷至少一種標準內容的烷化基藥劑（alkylating agent）治療方法無效，或治療後雖有效但隨後疾病又繼續惡化進展的病人。</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3.曾接受至少一種化療之和緩性非何杰金氏淋巴瘤，六個月內曾以rituximab治療失敗之單一治療。(103/2/1)</w:t>
      </w:r>
    </w:p>
    <w:p w:rsidR="00B96EA0" w:rsidRDefault="007D66B8" w:rsidP="005142EB">
      <w:pPr>
        <w:spacing w:line="400" w:lineRule="exact"/>
        <w:ind w:left="811" w:hanging="245"/>
      </w:pPr>
      <w:r>
        <w:rPr>
          <w:rFonts w:ascii="標楷體" w:eastAsia="標楷體" w:hAnsi="標楷體"/>
          <w:bCs/>
          <w:color w:val="000000"/>
        </w:rPr>
        <w:t>4.</w:t>
      </w:r>
      <w:r>
        <w:t xml:space="preserve"> </w:t>
      </w:r>
      <w:r>
        <w:rPr>
          <w:rFonts w:ascii="標楷體" w:eastAsia="標楷體" w:hAnsi="標楷體"/>
          <w:bCs/>
          <w:color w:val="000000"/>
        </w:rPr>
        <w:t>合併rituximab適用於先前未曾接受治療的CD20陽性、第III/IV期和緩性非何杰金氏淋巴瘤。(108/10/1)</w:t>
      </w:r>
    </w:p>
    <w:p w:rsidR="00B96EA0" w:rsidRDefault="007D66B8" w:rsidP="005142EB">
      <w:pPr>
        <w:spacing w:line="400" w:lineRule="exact"/>
        <w:ind w:left="811" w:hanging="245"/>
      </w:pPr>
      <w:r>
        <w:rPr>
          <w:rFonts w:ascii="標楷體" w:eastAsia="標楷體" w:hAnsi="標楷體"/>
          <w:bCs/>
          <w:color w:val="000000"/>
        </w:rPr>
        <w:t>5.</w:t>
      </w:r>
      <w:r>
        <w:t xml:space="preserve"> </w:t>
      </w:r>
      <w:r>
        <w:rPr>
          <w:rFonts w:ascii="標楷體" w:eastAsia="標楷體" w:hAnsi="標楷體"/>
          <w:bCs/>
          <w:color w:val="000000"/>
        </w:rPr>
        <w:t>合併rituximab用於先前未曾接受治療且不適合自體幹細胞移植的第III/IV期被套細胞淋巴瘤。(108/10/1)</w:t>
      </w:r>
    </w:p>
    <w:p w:rsidR="00B96EA0" w:rsidRDefault="007D66B8" w:rsidP="005142EB">
      <w:pPr>
        <w:spacing w:line="400" w:lineRule="exact"/>
        <w:ind w:left="811" w:hanging="245"/>
      </w:pPr>
      <w:r>
        <w:rPr>
          <w:rFonts w:ascii="標楷體" w:eastAsia="標楷體" w:hAnsi="標楷體"/>
          <w:bCs/>
          <w:color w:val="000000"/>
        </w:rPr>
        <w:t>6.</w:t>
      </w:r>
      <w:r>
        <w:rPr>
          <w:rFonts w:ascii="標楷體" w:eastAsia="標楷體" w:hAnsi="標楷體"/>
          <w:szCs w:val="24"/>
        </w:rPr>
        <w:t>可與polatuzumab vedotin和rituximab併用，適用於第三線治療復發型(relapsed)或難治型(refractory)且未曾接受及不適合接受造血幹細胞移植的瀰漫性大型B細胞淋巴瘤（DLBCL）成年病人，患者需符合polatuzumab vedotin之藥品給付規定。(113/2/1)</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7.不得與fludarabine合併使用。(103/2/1)</w:t>
      </w:r>
    </w:p>
    <w:p w:rsidR="00B96EA0" w:rsidRDefault="007D66B8" w:rsidP="005142EB">
      <w:pPr>
        <w:spacing w:line="400" w:lineRule="exact"/>
        <w:ind w:left="811" w:hanging="245"/>
      </w:pPr>
      <w:r>
        <w:rPr>
          <w:rFonts w:ascii="標楷體" w:eastAsia="標楷體" w:hAnsi="標楷體"/>
          <w:bCs/>
          <w:color w:val="000000"/>
        </w:rPr>
        <w:t>8.須經事前審查核准後使用，每次申請最多六個（月）療程</w:t>
      </w:r>
      <w:r>
        <w:rPr>
          <w:rFonts w:ascii="標楷體" w:eastAsia="標楷體" w:hAnsi="標楷體"/>
          <w:szCs w:val="24"/>
        </w:rPr>
        <w:t>；若為依前述第6項與polatuzumab vedotin和rituximab併用時</w:t>
      </w:r>
      <w:r>
        <w:rPr>
          <w:rFonts w:ascii="新細明體" w:hAnsi="新細明體"/>
          <w:szCs w:val="24"/>
        </w:rPr>
        <w:t>，</w:t>
      </w:r>
      <w:r>
        <w:rPr>
          <w:rFonts w:ascii="標楷體" w:eastAsia="標楷體" w:hAnsi="標楷體"/>
          <w:szCs w:val="24"/>
        </w:rPr>
        <w:t>每次申請最多3個療程</w:t>
      </w:r>
      <w:r>
        <w:rPr>
          <w:rFonts w:ascii="新細明體" w:hAnsi="新細明體"/>
          <w:szCs w:val="24"/>
        </w:rPr>
        <w:t>，</w:t>
      </w:r>
      <w:r>
        <w:rPr>
          <w:rFonts w:ascii="標楷體" w:eastAsia="標楷體" w:hAnsi="標楷體"/>
          <w:szCs w:val="24"/>
        </w:rPr>
        <w:t>且最多給付6個</w:t>
      </w:r>
      <w:r>
        <w:rPr>
          <w:rFonts w:ascii="標楷體" w:eastAsia="標楷體" w:hAnsi="標楷體"/>
          <w:szCs w:val="24"/>
        </w:rPr>
        <w:lastRenderedPageBreak/>
        <w:t>療程</w:t>
      </w:r>
      <w:r>
        <w:rPr>
          <w:rFonts w:ascii="新細明體" w:hAnsi="新細明體"/>
          <w:szCs w:val="24"/>
        </w:rPr>
        <w:t>。</w:t>
      </w:r>
      <w:r>
        <w:rPr>
          <w:rFonts w:ascii="標楷體" w:eastAsia="標楷體" w:hAnsi="標楷體"/>
          <w:szCs w:val="24"/>
        </w:rPr>
        <w:t>(101/10/1、113/2/1)</w:t>
      </w:r>
      <w:r>
        <w:rPr>
          <w:rFonts w:ascii="標楷體" w:eastAsia="標楷體" w:hAnsi="標楷體"/>
          <w:bCs/>
          <w:color w:val="000000"/>
          <w:szCs w:val="24"/>
        </w:rPr>
        <w:t>。</w:t>
      </w:r>
    </w:p>
    <w:p w:rsidR="007D29C5" w:rsidRDefault="007D29C5" w:rsidP="007D29C5">
      <w:pPr>
        <w:spacing w:line="400" w:lineRule="exact"/>
      </w:pPr>
      <w:bookmarkStart w:id="11" w:name="_Hlk225181580"/>
      <w:r>
        <w:rPr>
          <w:rFonts w:ascii="標楷體" w:eastAsia="標楷體" w:hAnsi="標楷體" w:hint="eastAsia"/>
          <w:color w:val="000000"/>
          <w:szCs w:val="24"/>
        </w:rPr>
        <w:t>9.43.Lenalidomide(如Revlimid)：（101/12/1、106/10/1、109/2/1、109/8/1、112/4/1、114</w:t>
      </w:r>
      <w:r>
        <w:rPr>
          <w:rFonts w:ascii="標楷體" w:eastAsia="標楷體" w:hAnsi="標楷體" w:hint="eastAsia"/>
          <w:szCs w:val="24"/>
        </w:rPr>
        <w:t>/10/1、115/3/1、115/4/1</w:t>
      </w:r>
      <w:r>
        <w:rPr>
          <w:rFonts w:ascii="標楷體" w:eastAsia="標楷體" w:hAnsi="標楷體" w:hint="eastAsia"/>
          <w:color w:val="000000"/>
          <w:szCs w:val="24"/>
        </w:rPr>
        <w:t>）</w:t>
      </w:r>
    </w:p>
    <w:p w:rsidR="007D29C5" w:rsidRDefault="007D29C5" w:rsidP="007D29C5">
      <w:pPr>
        <w:spacing w:line="400" w:lineRule="exact"/>
        <w:ind w:left="283"/>
        <w:rPr>
          <w:rFonts w:ascii="標楷體" w:eastAsia="標楷體" w:hAnsi="標楷體"/>
          <w:color w:val="000000"/>
          <w:szCs w:val="24"/>
        </w:rPr>
      </w:pPr>
      <w:r>
        <w:rPr>
          <w:rFonts w:ascii="標楷體" w:eastAsia="標楷體" w:hAnsi="標楷體" w:hint="eastAsia"/>
          <w:color w:val="000000"/>
          <w:szCs w:val="24"/>
        </w:rPr>
        <w:t>1.多發性骨髓瘤：</w:t>
      </w:r>
    </w:p>
    <w:p w:rsidR="007D29C5" w:rsidRDefault="007D29C5" w:rsidP="007D29C5">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(1)先前尚未接受過任何治療且不適用造血幹細胞移植的多發性骨髓瘤患者可使用lenalidomide併用dexamethasone作為第一線治療。開始治療時病患須同時符合下列I與Ⅱ的條件：（109/2/1、109/8/1、112/4/1）</w:t>
      </w:r>
    </w:p>
    <w:p w:rsidR="007D29C5" w:rsidRDefault="007D29C5" w:rsidP="007D29C5">
      <w:pPr>
        <w:spacing w:line="400" w:lineRule="exact"/>
        <w:ind w:left="991" w:hanging="360"/>
      </w:pPr>
      <w:r>
        <w:rPr>
          <w:rFonts w:ascii="標楷體" w:eastAsia="標楷體" w:hAnsi="標楷體" w:hint="eastAsia"/>
          <w:color w:val="000000"/>
          <w:szCs w:val="24"/>
        </w:rPr>
        <w:t>Ⅰ.</w:t>
      </w:r>
      <w:r>
        <w:rPr>
          <w:rFonts w:ascii="標楷體" w:eastAsia="標楷體" w:hAnsi="標楷體" w:hint="eastAsia"/>
          <w:szCs w:val="24"/>
        </w:rPr>
        <w:t>骨髓漿細胞(plasma cells)比例≧10%，或是經切片確認且有≧1顆的plasmacytoma。（112/4/1）</w:t>
      </w:r>
    </w:p>
    <w:p w:rsidR="007D29C5" w:rsidRDefault="007D29C5" w:rsidP="007D29C5">
      <w:pPr>
        <w:spacing w:line="400" w:lineRule="exact"/>
        <w:ind w:left="991" w:hanging="360"/>
      </w:pPr>
      <w:r>
        <w:rPr>
          <w:rFonts w:ascii="標楷體" w:eastAsia="標楷體" w:hAnsi="標楷體" w:hint="eastAsia"/>
          <w:color w:val="000000"/>
          <w:szCs w:val="24"/>
        </w:rPr>
        <w:t>Ⅱ.</w:t>
      </w:r>
      <w:r>
        <w:rPr>
          <w:rFonts w:ascii="標楷體" w:eastAsia="標楷體" w:hAnsi="標楷體" w:hint="eastAsia"/>
          <w:szCs w:val="24"/>
        </w:rPr>
        <w:t>出現下列任一臨床症狀：（112/4/1）</w:t>
      </w:r>
    </w:p>
    <w:p w:rsidR="007D29C5" w:rsidRDefault="007D29C5" w:rsidP="007D29C5">
      <w:pPr>
        <w:spacing w:line="400" w:lineRule="exact"/>
        <w:ind w:left="1080" w:hanging="360"/>
      </w:pPr>
      <w:r>
        <w:rPr>
          <w:rFonts w:ascii="新細明體" w:hAnsi="新細明體" w:hint="eastAsia"/>
          <w:color w:val="000000"/>
          <w:szCs w:val="24"/>
        </w:rPr>
        <w:t>ⅰ</w:t>
      </w:r>
      <w:r>
        <w:rPr>
          <w:rFonts w:ascii="標楷體" w:eastAsia="標楷體" w:hAnsi="標楷體" w:hint="eastAsia"/>
          <w:color w:val="000000"/>
          <w:szCs w:val="24"/>
        </w:rPr>
        <w:t>.</w:t>
      </w:r>
      <w:r>
        <w:rPr>
          <w:rFonts w:ascii="標楷體" w:eastAsia="標楷體" w:hAnsi="標楷體" w:hint="eastAsia"/>
          <w:szCs w:val="24"/>
        </w:rPr>
        <w:t>腎功能不全：serum creatinine＞2.0mg/dL或estimated GFR (eGFR)＜40 ml/min，且無其他原因可以解釋。</w:t>
      </w:r>
    </w:p>
    <w:p w:rsidR="007D29C5" w:rsidRDefault="007D29C5" w:rsidP="007D29C5">
      <w:pPr>
        <w:spacing w:line="400" w:lineRule="exact"/>
        <w:ind w:left="1080" w:hanging="360"/>
      </w:pPr>
      <w:r>
        <w:rPr>
          <w:rFonts w:ascii="新細明體" w:hAnsi="新細明體" w:hint="eastAsia"/>
          <w:color w:val="000000"/>
          <w:szCs w:val="24"/>
        </w:rPr>
        <w:t>ⅱ.</w:t>
      </w:r>
      <w:r>
        <w:rPr>
          <w:rFonts w:ascii="標楷體" w:eastAsia="標楷體" w:hAnsi="標楷體" w:hint="eastAsia"/>
          <w:szCs w:val="24"/>
        </w:rPr>
        <w:t>高血鈣(corrected serum calcium＞11.0 mg/dL或2.75 mmol/L)。</w:t>
      </w:r>
    </w:p>
    <w:p w:rsidR="007D29C5" w:rsidRDefault="007D29C5" w:rsidP="007D29C5">
      <w:pPr>
        <w:spacing w:line="400" w:lineRule="exact"/>
        <w:ind w:left="1080" w:hanging="360"/>
      </w:pPr>
      <w:r>
        <w:rPr>
          <w:rFonts w:ascii="新細明體" w:hAnsi="新細明體" w:hint="eastAsia"/>
          <w:color w:val="000000"/>
          <w:szCs w:val="24"/>
        </w:rPr>
        <w:t>ⅲ.</w:t>
      </w:r>
      <w:r>
        <w:rPr>
          <w:rFonts w:ascii="標楷體" w:eastAsia="標楷體" w:hAnsi="標楷體" w:hint="eastAsia"/>
          <w:szCs w:val="24"/>
        </w:rPr>
        <w:t>貧血(Hemoglobin＜10 gm/dL 且無其他原因可以解釋)。</w:t>
      </w:r>
    </w:p>
    <w:p w:rsidR="007D29C5" w:rsidRDefault="007D29C5" w:rsidP="007D29C5">
      <w:pPr>
        <w:spacing w:line="400" w:lineRule="exact"/>
        <w:ind w:left="1080" w:hanging="360"/>
      </w:pPr>
      <w:r>
        <w:rPr>
          <w:rFonts w:ascii="新細明體" w:hAnsi="新細明體" w:hint="eastAsia"/>
          <w:color w:val="000000"/>
          <w:szCs w:val="24"/>
        </w:rPr>
        <w:t>ⅳ.</w:t>
      </w:r>
      <w:r>
        <w:rPr>
          <w:rFonts w:ascii="標楷體" w:eastAsia="標楷體" w:hAnsi="標楷體" w:hint="eastAsia"/>
          <w:szCs w:val="24"/>
        </w:rPr>
        <w:t>影像檢查確認之osteolytic bone lesion(s)。</w:t>
      </w:r>
    </w:p>
    <w:p w:rsidR="007D29C5" w:rsidRDefault="007D29C5" w:rsidP="007D29C5">
      <w:pPr>
        <w:spacing w:line="400" w:lineRule="exact"/>
        <w:ind w:left="1080" w:hanging="360"/>
      </w:pPr>
      <w:r>
        <w:rPr>
          <w:rFonts w:ascii="新細明體" w:hAnsi="新細明體" w:hint="eastAsia"/>
          <w:szCs w:val="24"/>
        </w:rPr>
        <w:t>ⅴ</w:t>
      </w:r>
      <w:r>
        <w:rPr>
          <w:rFonts w:ascii="標楷體" w:eastAsia="標楷體" w:hAnsi="標楷體" w:hint="eastAsia"/>
          <w:szCs w:val="24"/>
        </w:rPr>
        <w:t>.骨髓漿細胞(plasma cells)比例≧60%</w:t>
      </w:r>
    </w:p>
    <w:p w:rsidR="007D29C5" w:rsidRDefault="007D29C5" w:rsidP="007D29C5">
      <w:pPr>
        <w:spacing w:line="400" w:lineRule="exact"/>
        <w:ind w:left="1080" w:hanging="360"/>
      </w:pPr>
      <w:r>
        <w:rPr>
          <w:rFonts w:ascii="新細明體" w:hAnsi="新細明體" w:hint="eastAsia"/>
          <w:szCs w:val="24"/>
        </w:rPr>
        <w:t>ⅵ.</w:t>
      </w:r>
      <w:r>
        <w:rPr>
          <w:rFonts w:ascii="標楷體" w:eastAsia="標楷體" w:hAnsi="標楷體" w:hint="eastAsia"/>
          <w:szCs w:val="24"/>
        </w:rPr>
        <w:t>Serum free light-chain ratio≧100。</w:t>
      </w:r>
    </w:p>
    <w:p w:rsidR="007D29C5" w:rsidRDefault="007D29C5" w:rsidP="007D29C5">
      <w:pPr>
        <w:spacing w:line="400" w:lineRule="exact"/>
        <w:ind w:left="991" w:hanging="360"/>
        <w:rPr>
          <w:rFonts w:ascii="標楷體" w:eastAsia="標楷體" w:hAnsi="標楷體"/>
          <w:color w:val="000000"/>
          <w:szCs w:val="24"/>
        </w:rPr>
      </w:pPr>
      <w:r>
        <w:rPr>
          <w:rFonts w:ascii="標楷體" w:eastAsia="標楷體" w:hAnsi="標楷體" w:hint="eastAsia"/>
          <w:color w:val="000000"/>
          <w:szCs w:val="24"/>
        </w:rPr>
        <w:t>Ⅲ.每4個療程重新申請時，須重新評估是否適合接受造血幹細胞移植。若經重新評估為已適合接受造血幹細胞移植者，即須停止Rd之治療。（112/4/1）</w:t>
      </w:r>
    </w:p>
    <w:p w:rsidR="007D29C5" w:rsidRDefault="007D29C5" w:rsidP="007D29C5">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(2)與dexamethasone合併使用於先前已接受至少一種治療失敗之多發性骨髓瘤患者，且需同時符合下列I與Ⅱ的條件：（101/12/1、112/4/1）</w:t>
      </w:r>
    </w:p>
    <w:p w:rsidR="007D29C5" w:rsidRDefault="007D29C5" w:rsidP="007D29C5">
      <w:pPr>
        <w:spacing w:line="400" w:lineRule="exact"/>
        <w:ind w:left="991" w:hanging="360"/>
        <w:rPr>
          <w:rFonts w:ascii="標楷體" w:eastAsia="標楷體" w:hAnsi="標楷體"/>
          <w:color w:val="000000"/>
          <w:szCs w:val="24"/>
        </w:rPr>
      </w:pPr>
      <w:r>
        <w:rPr>
          <w:rFonts w:ascii="標楷體" w:eastAsia="標楷體" w:hAnsi="標楷體" w:hint="eastAsia"/>
          <w:color w:val="000000"/>
          <w:szCs w:val="24"/>
        </w:rPr>
        <w:t>Ⅰ.具有下列任一疾病惡化的指標： 病患開始治療前須在連續2次評估中均符合同一指標 (但若為plamacytoma 體積增加，或是新產生的bone lesion(s)或新plasmacytoma，則僅需1次評估)：（112/4/1）</w:t>
      </w:r>
    </w:p>
    <w:p w:rsidR="007D29C5" w:rsidRDefault="007D29C5" w:rsidP="007D29C5">
      <w:pPr>
        <w:spacing w:line="400" w:lineRule="exact"/>
        <w:ind w:left="1274" w:hanging="360"/>
      </w:pPr>
      <w:r>
        <w:rPr>
          <w:rFonts w:ascii="新細明體" w:hAnsi="新細明體" w:hint="eastAsia"/>
          <w:szCs w:val="24"/>
        </w:rPr>
        <w:t>ⅰ</w:t>
      </w:r>
      <w:r>
        <w:rPr>
          <w:rFonts w:ascii="標楷體" w:eastAsia="標楷體" w:hAnsi="標楷體" w:hint="eastAsia"/>
          <w:szCs w:val="24"/>
        </w:rPr>
        <w:t>.若前一線治療中M component 最低值≧5 g/dL，血清M蛋白需增加≧1 g/dL；若前一線治療中M component最低值＜5 g/dL，血清M蛋白需增加≧0.5g/dL。</w:t>
      </w:r>
    </w:p>
    <w:p w:rsidR="007D29C5" w:rsidRDefault="007D29C5" w:rsidP="007D29C5">
      <w:pPr>
        <w:spacing w:line="400" w:lineRule="exact"/>
        <w:ind w:left="1274" w:hanging="360"/>
      </w:pPr>
      <w:r>
        <w:rPr>
          <w:rFonts w:ascii="新細明體" w:hAnsi="新細明體" w:hint="eastAsia"/>
          <w:szCs w:val="24"/>
        </w:rPr>
        <w:t>ⅱ.</w:t>
      </w:r>
      <w:r>
        <w:rPr>
          <w:rFonts w:ascii="標楷體" w:eastAsia="標楷體" w:hAnsi="標楷體" w:hint="eastAsia"/>
          <w:szCs w:val="24"/>
        </w:rPr>
        <w:t>Urine M-protein需增加≧0.2 gm/24Hr，且需較前一線治療中的最低值增加≧25%。</w:t>
      </w:r>
    </w:p>
    <w:p w:rsidR="007D29C5" w:rsidRDefault="007D29C5" w:rsidP="007D29C5">
      <w:pPr>
        <w:spacing w:line="400" w:lineRule="exact"/>
        <w:ind w:left="1274" w:hanging="360"/>
      </w:pPr>
      <w:r>
        <w:rPr>
          <w:rFonts w:ascii="新細明體" w:hAnsi="新細明體" w:hint="eastAsia"/>
          <w:szCs w:val="24"/>
        </w:rPr>
        <w:t>ⅲ</w:t>
      </w:r>
      <w:r>
        <w:rPr>
          <w:rFonts w:ascii="標楷體" w:eastAsia="標楷體" w:hAnsi="標楷體" w:hint="eastAsia"/>
          <w:szCs w:val="24"/>
        </w:rPr>
        <w:t>.在non-secretary myeloma 病患，骨髓漿細胞 (plasma cells)之比例絕對值增加≧10%，且需較前一線治療中的最低值增加≧25%。</w:t>
      </w:r>
    </w:p>
    <w:p w:rsidR="007D29C5" w:rsidRDefault="007D29C5" w:rsidP="007D29C5">
      <w:pPr>
        <w:spacing w:line="400" w:lineRule="exact"/>
        <w:ind w:left="1274" w:hanging="360"/>
      </w:pPr>
      <w:r>
        <w:rPr>
          <w:rFonts w:ascii="新細明體" w:hAnsi="新細明體" w:hint="eastAsia"/>
          <w:szCs w:val="24"/>
        </w:rPr>
        <w:t>ⅳ</w:t>
      </w:r>
      <w:r>
        <w:rPr>
          <w:rFonts w:ascii="標楷體" w:eastAsia="標楷體" w:hAnsi="標楷體" w:hint="eastAsia"/>
          <w:szCs w:val="24"/>
        </w:rPr>
        <w:t>.新產生的bone lesion(s)或plasmacytoma；且須經病理切片證實。</w:t>
      </w:r>
    </w:p>
    <w:p w:rsidR="007D29C5" w:rsidRDefault="007D29C5" w:rsidP="007D29C5">
      <w:pPr>
        <w:spacing w:line="400" w:lineRule="exact"/>
        <w:ind w:left="1274" w:hanging="360"/>
      </w:pPr>
      <w:r>
        <w:rPr>
          <w:rFonts w:ascii="新細明體" w:hAnsi="新細明體" w:hint="eastAsia"/>
          <w:szCs w:val="24"/>
        </w:rPr>
        <w:t>ⅴ</w:t>
      </w:r>
      <w:r>
        <w:rPr>
          <w:rFonts w:ascii="標楷體" w:eastAsia="標楷體" w:hAnsi="標楷體" w:hint="eastAsia"/>
          <w:szCs w:val="24"/>
        </w:rPr>
        <w:t>.Plasmacytoma體積增加≧50%。</w:t>
      </w:r>
    </w:p>
    <w:p w:rsidR="007D29C5" w:rsidRDefault="007D29C5" w:rsidP="007D29C5">
      <w:pPr>
        <w:spacing w:line="400" w:lineRule="exact"/>
        <w:ind w:left="1274" w:hanging="360"/>
      </w:pPr>
      <w:r>
        <w:rPr>
          <w:rFonts w:ascii="新細明體" w:hAnsi="新細明體" w:hint="eastAsia"/>
          <w:szCs w:val="24"/>
        </w:rPr>
        <w:t>ⅵ</w:t>
      </w:r>
      <w:r>
        <w:rPr>
          <w:rFonts w:ascii="標楷體" w:eastAsia="標楷體" w:hAnsi="標楷體" w:hint="eastAsia"/>
          <w:szCs w:val="24"/>
        </w:rPr>
        <w:t>.周邊血液中漿細胞比例≧20%或漿細胞絕對值≧2000 cells/μL。</w:t>
      </w:r>
    </w:p>
    <w:p w:rsidR="007D29C5" w:rsidRDefault="007D29C5" w:rsidP="007D29C5">
      <w:pPr>
        <w:spacing w:line="400" w:lineRule="exact"/>
        <w:ind w:left="991" w:hanging="360"/>
        <w:rPr>
          <w:rFonts w:ascii="標楷體" w:eastAsia="標楷體" w:hAnsi="標楷體"/>
          <w:color w:val="000000"/>
          <w:szCs w:val="24"/>
        </w:rPr>
      </w:pPr>
      <w:r>
        <w:rPr>
          <w:rFonts w:ascii="標楷體" w:eastAsia="標楷體" w:hAnsi="標楷體" w:hint="eastAsia"/>
          <w:color w:val="000000"/>
          <w:szCs w:val="24"/>
        </w:rPr>
        <w:t>Ⅱ.出現下列任一臨床症狀：（112/4/1）</w:t>
      </w:r>
    </w:p>
    <w:p w:rsidR="007D29C5" w:rsidRDefault="007D29C5" w:rsidP="007D29C5">
      <w:pPr>
        <w:spacing w:line="400" w:lineRule="exact"/>
        <w:ind w:left="1274" w:hanging="360"/>
      </w:pPr>
      <w:r>
        <w:rPr>
          <w:rFonts w:ascii="新細明體" w:hAnsi="新細明體" w:hint="eastAsia"/>
          <w:szCs w:val="24"/>
        </w:rPr>
        <w:t>ⅰ</w:t>
      </w:r>
      <w:r>
        <w:rPr>
          <w:rFonts w:ascii="標楷體" w:eastAsia="標楷體" w:hAnsi="標楷體" w:hint="eastAsia"/>
          <w:szCs w:val="24"/>
        </w:rPr>
        <w:t>.新產生的bone lesion(s)或plasmacytoma；且須經病理切片證實。</w:t>
      </w:r>
    </w:p>
    <w:p w:rsidR="007D29C5" w:rsidRDefault="007D29C5" w:rsidP="007D29C5">
      <w:pPr>
        <w:spacing w:line="400" w:lineRule="exact"/>
        <w:ind w:left="1274" w:hanging="360"/>
      </w:pPr>
      <w:r>
        <w:rPr>
          <w:rFonts w:ascii="新細明體" w:hAnsi="新細明體" w:hint="eastAsia"/>
          <w:szCs w:val="24"/>
        </w:rPr>
        <w:t>ⅱ.</w:t>
      </w:r>
      <w:r>
        <w:rPr>
          <w:rFonts w:ascii="標楷體" w:eastAsia="標楷體" w:hAnsi="標楷體" w:hint="eastAsia"/>
          <w:szCs w:val="24"/>
        </w:rPr>
        <w:t>Plasmacytoma 體積增加≧50%。</w:t>
      </w:r>
    </w:p>
    <w:p w:rsidR="007D29C5" w:rsidRDefault="007D29C5" w:rsidP="007D29C5">
      <w:pPr>
        <w:spacing w:line="400" w:lineRule="exact"/>
        <w:ind w:left="1274" w:hanging="360"/>
      </w:pPr>
      <w:r>
        <w:rPr>
          <w:rFonts w:ascii="新細明體" w:hAnsi="新細明體" w:cs="新細明體" w:hint="eastAsia"/>
          <w:szCs w:val="24"/>
        </w:rPr>
        <w:lastRenderedPageBreak/>
        <w:t>ⅲ</w:t>
      </w:r>
      <w:r>
        <w:rPr>
          <w:rFonts w:ascii="標楷體" w:eastAsia="標楷體" w:hAnsi="標楷體" w:hint="eastAsia"/>
          <w:szCs w:val="24"/>
        </w:rPr>
        <w:t>.高血鈣(corrected serum calcium＞11.0 mg/dL 或 2.75 mmol/L)。</w:t>
      </w:r>
    </w:p>
    <w:p w:rsidR="007D29C5" w:rsidRDefault="007D29C5" w:rsidP="007D29C5">
      <w:pPr>
        <w:spacing w:line="400" w:lineRule="exact"/>
        <w:ind w:left="1274" w:hanging="360"/>
      </w:pPr>
      <w:r>
        <w:rPr>
          <w:rFonts w:ascii="新細明體" w:hAnsi="新細明體" w:cs="新細明體" w:hint="eastAsia"/>
          <w:szCs w:val="24"/>
        </w:rPr>
        <w:t>ⅳ</w:t>
      </w:r>
      <w:r>
        <w:rPr>
          <w:rFonts w:ascii="標楷體" w:eastAsia="標楷體" w:hAnsi="標楷體" w:hint="eastAsia"/>
          <w:szCs w:val="24"/>
        </w:rPr>
        <w:t>.貧血(Hemoglobin 下降幅度≧ 2gm/dL且無其他原因可以解釋)。</w:t>
      </w:r>
    </w:p>
    <w:p w:rsidR="007D29C5" w:rsidRDefault="007D29C5" w:rsidP="007D29C5">
      <w:pPr>
        <w:spacing w:line="400" w:lineRule="exact"/>
        <w:ind w:left="1274" w:hanging="360"/>
      </w:pPr>
      <w:r>
        <w:rPr>
          <w:rFonts w:ascii="新細明體" w:hAnsi="新細明體" w:cs="新細明體" w:hint="eastAsia"/>
          <w:szCs w:val="24"/>
        </w:rPr>
        <w:t>ⅴ</w:t>
      </w:r>
      <w:r>
        <w:rPr>
          <w:rFonts w:ascii="標楷體" w:eastAsia="標楷體" w:hAnsi="標楷體" w:hint="eastAsia"/>
          <w:szCs w:val="24"/>
        </w:rPr>
        <w:t>.腎功能惡化(eGFR需下降幅度≧25%)，且無其他原因可以解釋。</w:t>
      </w:r>
    </w:p>
    <w:p w:rsidR="007D29C5" w:rsidRDefault="007D29C5" w:rsidP="007D29C5">
      <w:pPr>
        <w:spacing w:line="400" w:lineRule="exact"/>
        <w:ind w:left="1274" w:hanging="360"/>
      </w:pPr>
      <w:r>
        <w:rPr>
          <w:rFonts w:ascii="新細明體" w:hAnsi="新細明體" w:cs="新細明體" w:hint="eastAsia"/>
          <w:szCs w:val="24"/>
        </w:rPr>
        <w:t>ⅵ</w:t>
      </w:r>
      <w:r>
        <w:rPr>
          <w:rFonts w:ascii="標楷體" w:eastAsia="標楷體" w:hAnsi="標楷體" w:hint="eastAsia"/>
          <w:szCs w:val="24"/>
        </w:rPr>
        <w:t>.出現其他 end-organ dysfunctions。</w:t>
      </w:r>
    </w:p>
    <w:p w:rsidR="007D29C5" w:rsidRDefault="007D29C5" w:rsidP="007D29C5">
      <w:pPr>
        <w:spacing w:line="400" w:lineRule="exact"/>
        <w:ind w:left="708" w:hanging="360"/>
      </w:pPr>
      <w:r>
        <w:rPr>
          <w:rFonts w:ascii="標楷體" w:eastAsia="標楷體" w:hAnsi="標楷體" w:hint="eastAsia"/>
          <w:color w:val="000000"/>
          <w:szCs w:val="24"/>
        </w:rPr>
        <w:t>(3)須經事前審查核准後使用，每次申請事前審查之療程以4個療程為限，每4個療程須再次申請。</w:t>
      </w:r>
    </w:p>
    <w:p w:rsidR="007D29C5" w:rsidRDefault="007D29C5" w:rsidP="007D29C5">
      <w:pPr>
        <w:spacing w:line="400" w:lineRule="exact"/>
        <w:ind w:left="840" w:hanging="360"/>
        <w:rPr>
          <w:rFonts w:ascii="標楷體" w:eastAsia="標楷體" w:hAnsi="標楷體"/>
          <w:szCs w:val="24"/>
        </w:rPr>
      </w:pPr>
      <w:r>
        <w:rPr>
          <w:rFonts w:ascii="標楷體" w:eastAsia="標楷體" w:hAnsi="標楷體" w:hint="eastAsia"/>
          <w:szCs w:val="24"/>
        </w:rPr>
        <w:t>Ⅰ.每天限給付1粒。</w:t>
      </w:r>
    </w:p>
    <w:p w:rsidR="007D29C5" w:rsidRDefault="007D29C5" w:rsidP="007D29C5">
      <w:pPr>
        <w:spacing w:line="400" w:lineRule="exact"/>
        <w:ind w:left="840" w:hanging="360"/>
        <w:rPr>
          <w:rFonts w:ascii="標楷體" w:eastAsia="標楷體" w:hAnsi="標楷體"/>
          <w:szCs w:val="24"/>
        </w:rPr>
      </w:pPr>
      <w:r>
        <w:rPr>
          <w:rFonts w:ascii="標楷體" w:eastAsia="標楷體" w:hAnsi="標楷體" w:hint="eastAsia"/>
          <w:szCs w:val="24"/>
        </w:rPr>
        <w:t>Ⅱ.使用4個療程後，必須確定paraprotein(M-protein)未上升(即表示對藥物有反應或為穩定狀態)或對部分non-secretory type MM病人以骨髓檢查plasma cell為療效依據，方可繼續使用。</w:t>
      </w:r>
    </w:p>
    <w:p w:rsidR="007D29C5" w:rsidRDefault="007D29C5" w:rsidP="007D29C5">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(4)每人終生至多給付24個療程為限（每療程為4週）。使用</w:t>
      </w:r>
      <w:r w:rsidRPr="00FA10D5">
        <w:rPr>
          <w:rFonts w:ascii="標楷體" w:eastAsia="標楷體" w:hAnsi="標楷體" w:hint="eastAsia"/>
          <w:color w:val="000000"/>
          <w:szCs w:val="24"/>
        </w:rPr>
        <w:t>Leavdo、Lelimide及Revlimid終生至多給付36個療程為限。（106/10/1、109/2/1、109/8/1、112/4/1、115/3/1、115/4/1）</w:t>
      </w:r>
    </w:p>
    <w:p w:rsidR="007D29C5" w:rsidRPr="00FA10D5" w:rsidRDefault="007D29C5" w:rsidP="007D29C5">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(5)</w:t>
      </w:r>
      <w:r w:rsidRPr="00FA10D5">
        <w:rPr>
          <w:rFonts w:ascii="標楷體" w:eastAsia="標楷體" w:hAnsi="標楷體" w:hint="eastAsia"/>
          <w:color w:val="000000"/>
          <w:szCs w:val="24"/>
        </w:rPr>
        <w:t>115年2月28日以前已核定使用Leavdo或Lelimide，及115年3月31日以前已核定使用Revlimid之病人，得經事前審查核准後，使用至總療程上限（即終生36個療程）或使用期間發生疾病惡化為止。（112/4/1、115/3/1、115/4/1）</w:t>
      </w:r>
    </w:p>
    <w:p w:rsidR="007D29C5" w:rsidRPr="00FA10D5" w:rsidRDefault="007D29C5" w:rsidP="007D29C5">
      <w:pPr>
        <w:spacing w:line="400" w:lineRule="exact"/>
        <w:ind w:left="283"/>
        <w:rPr>
          <w:rFonts w:ascii="標楷體" w:eastAsia="標楷體" w:hAnsi="標楷體"/>
          <w:szCs w:val="24"/>
        </w:rPr>
      </w:pPr>
      <w:r>
        <w:rPr>
          <w:rFonts w:ascii="標楷體" w:eastAsia="標楷體" w:hAnsi="標楷體" w:hint="eastAsia"/>
          <w:szCs w:val="24"/>
        </w:rPr>
        <w:t>2.瀰漫性大型B細胞淋巴瘤：(114/10/1</w:t>
      </w:r>
      <w:r>
        <w:rPr>
          <w:rFonts w:ascii="標楷體" w:eastAsia="標楷體" w:hAnsi="標楷體" w:hint="eastAsia"/>
          <w:color w:val="000000"/>
          <w:szCs w:val="24"/>
        </w:rPr>
        <w:t>、115/3/1</w:t>
      </w:r>
      <w:r w:rsidRPr="00FA10D5">
        <w:rPr>
          <w:rFonts w:ascii="標楷體" w:eastAsia="標楷體" w:hAnsi="標楷體" w:hint="eastAsia"/>
          <w:szCs w:val="24"/>
        </w:rPr>
        <w:t>、115/4/1</w:t>
      </w:r>
      <w:r>
        <w:rPr>
          <w:rFonts w:ascii="標楷體" w:eastAsia="標楷體" w:hAnsi="標楷體" w:hint="eastAsia"/>
          <w:szCs w:val="24"/>
        </w:rPr>
        <w:t>)</w:t>
      </w:r>
    </w:p>
    <w:p w:rsidR="007D29C5" w:rsidRDefault="007D29C5" w:rsidP="007D29C5">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(1)Lenalidomide</w:t>
      </w:r>
      <w:r w:rsidRPr="00FA10D5">
        <w:rPr>
          <w:rFonts w:ascii="標楷體" w:eastAsia="標楷體" w:hAnsi="標楷體" w:hint="eastAsia"/>
          <w:color w:val="000000"/>
          <w:szCs w:val="24"/>
        </w:rPr>
        <w:t>(限使用Leavdo、Lelimide及Revlimid)</w:t>
      </w:r>
      <w:r>
        <w:rPr>
          <w:rFonts w:ascii="標楷體" w:eastAsia="標楷體" w:hAnsi="標楷體" w:hint="eastAsia"/>
          <w:color w:val="000000"/>
          <w:szCs w:val="24"/>
        </w:rPr>
        <w:t>與 tafasitamab合併使用於經一線全身治療含rituximab治療復發型，不適合接受造血幹細胞移植瀰漫性大型B細胞淋巴瘤(DLBCL)成人病人，病人須符合tafasitamab之藥品給付規定(114/10/1、115/3/1</w:t>
      </w:r>
      <w:r w:rsidRPr="00FA10D5">
        <w:rPr>
          <w:rFonts w:ascii="標楷體" w:eastAsia="標楷體" w:hAnsi="標楷體" w:hint="eastAsia"/>
          <w:color w:val="000000"/>
          <w:szCs w:val="24"/>
        </w:rPr>
        <w:t>、115/4/1</w:t>
      </w:r>
      <w:r>
        <w:rPr>
          <w:rFonts w:ascii="標楷體" w:eastAsia="標楷體" w:hAnsi="標楷體" w:hint="eastAsia"/>
          <w:color w:val="000000"/>
          <w:szCs w:val="24"/>
        </w:rPr>
        <w:t>）。</w:t>
      </w:r>
    </w:p>
    <w:p w:rsidR="007D29C5" w:rsidRDefault="007D29C5" w:rsidP="007D29C5">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(2)須經事前審查核准後使用。</w:t>
      </w:r>
    </w:p>
    <w:p w:rsidR="007D29C5" w:rsidRDefault="007D29C5" w:rsidP="007D29C5">
      <w:pPr>
        <w:spacing w:line="400" w:lineRule="exact"/>
        <w:ind w:left="708" w:hanging="141"/>
      </w:pPr>
      <w:r>
        <w:rPr>
          <w:rFonts w:ascii="標楷體" w:eastAsia="標楷體" w:hAnsi="標楷體" w:hint="eastAsia"/>
          <w:color w:val="000000"/>
          <w:szCs w:val="24"/>
        </w:rPr>
        <w:t>Ⅰ.每人至多</w:t>
      </w:r>
      <w:r>
        <w:rPr>
          <w:rFonts w:ascii="標楷體" w:eastAsia="標楷體" w:hAnsi="標楷體" w:hint="eastAsia"/>
          <w:szCs w:val="24"/>
        </w:rPr>
        <w:t>給付12個療程。</w:t>
      </w:r>
    </w:p>
    <w:p w:rsidR="00B96EA0" w:rsidRDefault="007D29C5" w:rsidP="007D29C5">
      <w:pPr>
        <w:spacing w:line="400" w:lineRule="exact"/>
        <w:ind w:left="993" w:hanging="386"/>
      </w:pPr>
      <w:r>
        <w:rPr>
          <w:rFonts w:ascii="標楷體" w:eastAsia="標楷體" w:hAnsi="標楷體" w:hint="eastAsia"/>
          <w:szCs w:val="24"/>
        </w:rPr>
        <w:t>Ⅱ.每天限給付1粒。</w:t>
      </w:r>
      <w:bookmarkEnd w:id="11"/>
    </w:p>
    <w:p w:rsidR="003225F7" w:rsidRDefault="003225F7" w:rsidP="003225F7">
      <w:pPr>
        <w:spacing w:line="400" w:lineRule="exact"/>
        <w:ind w:left="426" w:hanging="245"/>
        <w:rPr>
          <w:rFonts w:ascii="標楷體" w:eastAsia="標楷體" w:hAnsi="標楷體"/>
          <w:color w:val="000000"/>
        </w:rPr>
      </w:pPr>
      <w:r>
        <w:rPr>
          <w:rFonts w:ascii="標楷體" w:eastAsia="標楷體" w:hAnsi="標楷體"/>
          <w:color w:val="000000"/>
        </w:rPr>
        <w:t>9.44.Azacitidine：（102/1/1、111/5/1、111/8/1、112/2/1、112/8/1、114/3/1、114/5/1、114/8/1、114/10/1</w:t>
      </w:r>
      <w:r>
        <w:rPr>
          <w:rFonts w:ascii="標楷體" w:eastAsia="標楷體" w:hAnsi="標楷體" w:hint="eastAsia"/>
          <w:color w:val="000000"/>
        </w:rPr>
        <w:t>、114/12/1</w:t>
      </w:r>
      <w:r>
        <w:rPr>
          <w:rFonts w:ascii="標楷體" w:eastAsia="標楷體" w:hAnsi="標楷體"/>
          <w:color w:val="000000"/>
        </w:rPr>
        <w:t>）</w:t>
      </w:r>
    </w:p>
    <w:p w:rsidR="003225F7" w:rsidRDefault="003225F7" w:rsidP="003225F7">
      <w:pPr>
        <w:spacing w:line="400" w:lineRule="exact"/>
        <w:ind w:left="1080" w:hanging="840"/>
        <w:rPr>
          <w:rFonts w:ascii="標楷體" w:eastAsia="標楷體" w:hAnsi="標楷體"/>
          <w:color w:val="000000"/>
        </w:rPr>
      </w:pPr>
      <w:r>
        <w:rPr>
          <w:rFonts w:ascii="標楷體" w:eastAsia="標楷體" w:hAnsi="標楷體"/>
          <w:color w:val="000000"/>
        </w:rPr>
        <w:t>9.44.1.Azacitidine 注射劑（如Vidaza）：（102/1/1、111/5/1、111/8/1、112/2/1、112/8/1、114/3/1、114/8/1</w:t>
      </w:r>
      <w:r>
        <w:rPr>
          <w:rFonts w:ascii="標楷體" w:eastAsia="標楷體" w:hAnsi="標楷體" w:hint="eastAsia"/>
          <w:color w:val="000000"/>
        </w:rPr>
        <w:t>、114/12/1</w:t>
      </w:r>
      <w:r>
        <w:rPr>
          <w:rFonts w:ascii="標楷體" w:eastAsia="標楷體" w:hAnsi="標楷體"/>
          <w:color w:val="000000"/>
        </w:rPr>
        <w:t>）</w:t>
      </w:r>
    </w:p>
    <w:p w:rsidR="003225F7" w:rsidRDefault="003225F7" w:rsidP="003225F7">
      <w:pPr>
        <w:spacing w:line="400" w:lineRule="exact"/>
        <w:ind w:left="851" w:hanging="284"/>
        <w:rPr>
          <w:rFonts w:ascii="標楷體" w:eastAsia="標楷體" w:hAnsi="標楷體"/>
        </w:rPr>
      </w:pPr>
      <w:r>
        <w:rPr>
          <w:rFonts w:ascii="標楷體" w:eastAsia="標楷體" w:hAnsi="標楷體"/>
        </w:rPr>
        <w:t>1.骨髓增生不良症候群高危險性病患：頑固性貧血併有過量芽細胞（RA with excess blasts, RAEB）、轉變中的頑固性貧血併有過量芽細胞（RAEB in transformation, RAEB-T）、及慢性骨髓單核細胞性白血病（chronic myelomonocytic leukemia, CMMoL）。</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1</w:t>
      </w:r>
      <w:r>
        <w:rPr>
          <w:rFonts w:ascii="標楷體" w:eastAsia="標楷體" w:hAnsi="標楷體"/>
        </w:rPr>
        <w:t>)初次申請時需經事前審查核准後使用，續用不需再事前審查，惟病歷應留存確診之病理或影像診斷證明等報告</w:t>
      </w:r>
      <w:r>
        <w:rPr>
          <w:rFonts w:ascii="標楷體" w:eastAsia="標楷體" w:hAnsi="標楷體" w:hint="eastAsia"/>
        </w:rPr>
        <w:t>(包括每4個月一次骨髓檢查報告以及CBC/DC報告)</w:t>
      </w:r>
      <w:r>
        <w:rPr>
          <w:rFonts w:ascii="標楷體" w:eastAsia="標楷體" w:hAnsi="標楷體"/>
        </w:rPr>
        <w:t>，並記錄治療相關臨床資料</w:t>
      </w:r>
      <w:r>
        <w:rPr>
          <w:rFonts w:ascii="標楷體" w:eastAsia="標楷體" w:hAnsi="標楷體" w:hint="eastAsia"/>
        </w:rPr>
        <w:t>(如每4個月一次臨床療效評估摘要)</w:t>
      </w:r>
      <w:r>
        <w:rPr>
          <w:rFonts w:ascii="標楷體" w:eastAsia="標楷體" w:hAnsi="標楷體"/>
        </w:rPr>
        <w:t>。（111/8/1、112/2/1、112/8/1、114/3/1、114/8/1</w:t>
      </w:r>
      <w:r>
        <w:rPr>
          <w:rFonts w:ascii="標楷體" w:eastAsia="標楷體" w:hAnsi="標楷體" w:hint="eastAsia"/>
        </w:rPr>
        <w:t>、114/12/1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lastRenderedPageBreak/>
        <w:t>(</w:t>
      </w:r>
      <w:r>
        <w:rPr>
          <w:rFonts w:ascii="標楷體" w:eastAsia="標楷體" w:hAnsi="標楷體" w:hint="eastAsia"/>
        </w:rPr>
        <w:t>2</w:t>
      </w:r>
      <w:r>
        <w:rPr>
          <w:rFonts w:ascii="標楷體" w:eastAsia="標楷體" w:hAnsi="標楷體"/>
        </w:rPr>
        <w:t>)</w:t>
      </w:r>
      <w:r>
        <w:rPr>
          <w:rFonts w:ascii="標楷體" w:eastAsia="標楷體" w:hAnsi="標楷體" w:hint="eastAsia"/>
        </w:rPr>
        <w:t>使用本藥品之病患，倘疾病惡化至骨髓芽細胞</w:t>
      </w:r>
      <w:r>
        <w:rPr>
          <w:rFonts w:ascii="標楷體" w:eastAsia="標楷體" w:hAnsi="標楷體"/>
        </w:rPr>
        <w:t>（myeloblast）大於30%</w:t>
      </w:r>
      <w:r>
        <w:rPr>
          <w:rFonts w:ascii="標楷體" w:eastAsia="標楷體" w:hAnsi="標楷體" w:hint="eastAsia"/>
        </w:rPr>
        <w:t>即停藥</w:t>
      </w:r>
      <w:r>
        <w:rPr>
          <w:rFonts w:ascii="標楷體" w:eastAsia="標楷體" w:hAnsi="標楷體"/>
        </w:rPr>
        <w:t>。（</w:t>
      </w:r>
      <w:r>
        <w:rPr>
          <w:rFonts w:ascii="標楷體" w:eastAsia="標楷體" w:hAnsi="標楷體" w:hint="eastAsia"/>
        </w:rPr>
        <w:t>102/12/1、114/12/1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3</w:t>
      </w:r>
      <w:r>
        <w:rPr>
          <w:rFonts w:ascii="標楷體" w:eastAsia="標楷體" w:hAnsi="標楷體"/>
        </w:rPr>
        <w:t>)</w:t>
      </w:r>
      <w:r>
        <w:rPr>
          <w:rFonts w:ascii="標楷體" w:eastAsia="標楷體" w:hAnsi="標楷體" w:hint="eastAsia"/>
        </w:rPr>
        <w:t>不得併用v</w:t>
      </w:r>
      <w:r>
        <w:rPr>
          <w:rFonts w:ascii="標楷體" w:eastAsia="標楷體" w:hAnsi="標楷體"/>
        </w:rPr>
        <w:t>enetoclax</w:t>
      </w:r>
      <w:r>
        <w:rPr>
          <w:rFonts w:ascii="標楷體" w:eastAsia="標楷體" w:hAnsi="標楷體" w:hint="eastAsia"/>
        </w:rPr>
        <w:t>或轉換為口服劑型之a</w:t>
      </w:r>
      <w:r>
        <w:rPr>
          <w:rFonts w:ascii="標楷體" w:eastAsia="標楷體" w:hAnsi="標楷體"/>
        </w:rPr>
        <w:t>zacitidine</w:t>
      </w:r>
      <w:r>
        <w:rPr>
          <w:rFonts w:ascii="標楷體" w:eastAsia="標楷體" w:hAnsi="標楷體" w:hint="eastAsia"/>
        </w:rPr>
        <w:t>成分藥品。</w:t>
      </w:r>
      <w:r>
        <w:rPr>
          <w:rFonts w:ascii="標楷體" w:eastAsia="標楷體" w:hAnsi="標楷體"/>
        </w:rPr>
        <w:t>（</w:t>
      </w:r>
      <w:r>
        <w:rPr>
          <w:rFonts w:ascii="標楷體" w:eastAsia="標楷體" w:hAnsi="標楷體" w:hint="eastAsia"/>
        </w:rPr>
        <w:t>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t>(4)本藥品與decitabine僅能擇一使用，除因耐受性不良，不得互換。若因無法耐受 decitabine而轉換至本藥品時需事前申請。使用本藥品無效後，不得再申請decitabine。（111/5/1）</w:t>
      </w:r>
    </w:p>
    <w:p w:rsidR="003225F7" w:rsidRDefault="003225F7" w:rsidP="003225F7">
      <w:pPr>
        <w:spacing w:line="400" w:lineRule="exact"/>
        <w:ind w:left="851" w:hanging="284"/>
        <w:rPr>
          <w:rFonts w:ascii="標楷體" w:eastAsia="標楷體" w:hAnsi="標楷體"/>
        </w:rPr>
      </w:pPr>
      <w:r>
        <w:rPr>
          <w:rFonts w:ascii="標楷體" w:eastAsia="標楷體" w:hAnsi="標楷體"/>
        </w:rPr>
        <w:t>2.Azacitidine(除Winduza及Azacitidine Lyophilized Inj 100mg"GBC"以外)併用venetoclax，使用於無法接受高強度化學治療之初診斷急性骨髓性白血病(AML)病人。(114/8/1)</w:t>
      </w:r>
    </w:p>
    <w:p w:rsidR="003225F7" w:rsidRDefault="003225F7" w:rsidP="003225F7">
      <w:pPr>
        <w:spacing w:line="400" w:lineRule="exact"/>
        <w:ind w:left="1418" w:hanging="397"/>
        <w:rPr>
          <w:rFonts w:ascii="標楷體" w:eastAsia="標楷體" w:hAnsi="標楷體"/>
        </w:rPr>
      </w:pPr>
      <w:r>
        <w:rPr>
          <w:rFonts w:ascii="標楷體" w:eastAsia="標楷體" w:hAnsi="標楷體"/>
        </w:rPr>
        <w:t>(1)需具有下列I.或Ⅱ.的條件之一：</w:t>
      </w:r>
    </w:p>
    <w:p w:rsidR="003225F7" w:rsidRDefault="003225F7" w:rsidP="003225F7">
      <w:pPr>
        <w:spacing w:line="400" w:lineRule="exact"/>
        <w:ind w:left="1560" w:hanging="244"/>
        <w:rPr>
          <w:rFonts w:ascii="標楷體" w:eastAsia="標楷體" w:hAnsi="標楷體"/>
        </w:rPr>
      </w:pPr>
      <w:r>
        <w:rPr>
          <w:rFonts w:ascii="標楷體" w:eastAsia="標楷體" w:hAnsi="標楷體"/>
        </w:rPr>
        <w:t>I.75歲以上。</w:t>
      </w:r>
    </w:p>
    <w:p w:rsidR="003225F7" w:rsidRDefault="003225F7" w:rsidP="003225F7">
      <w:pPr>
        <w:spacing w:line="400" w:lineRule="exact"/>
        <w:ind w:left="1560" w:hanging="244"/>
        <w:rPr>
          <w:rFonts w:ascii="標楷體" w:eastAsia="標楷體" w:hAnsi="標楷體"/>
        </w:rPr>
      </w:pPr>
      <w:r>
        <w:rPr>
          <w:rFonts w:ascii="標楷體" w:eastAsia="標楷體" w:hAnsi="標楷體"/>
        </w:rPr>
        <w:t>Ⅱ.18歲以上但未滿75歲時，需ECOG performance status為 2 或 3，且符合下列任一條件者：</w:t>
      </w:r>
    </w:p>
    <w:p w:rsidR="003225F7" w:rsidRDefault="003225F7" w:rsidP="003225F7">
      <w:pPr>
        <w:spacing w:line="400" w:lineRule="exact"/>
        <w:ind w:left="1985" w:hanging="244"/>
      </w:pPr>
      <w:r>
        <w:rPr>
          <w:rFonts w:ascii="新細明體" w:hAnsi="新細明體" w:cs="新細明體"/>
        </w:rPr>
        <w:t>ⅰ</w:t>
      </w:r>
      <w:r>
        <w:rPr>
          <w:rFonts w:ascii="標楷體" w:eastAsia="標楷體" w:hAnsi="標楷體"/>
        </w:rPr>
        <w:t>.具有心臟衰竭治療病史，且left ventricle ejection fraction (LVEF)＜50%。</w:t>
      </w:r>
    </w:p>
    <w:p w:rsidR="003225F7" w:rsidRDefault="003225F7" w:rsidP="003225F7">
      <w:pPr>
        <w:spacing w:line="400" w:lineRule="exact"/>
        <w:ind w:left="1985" w:hanging="244"/>
      </w:pPr>
      <w:r>
        <w:rPr>
          <w:rFonts w:ascii="新細明體" w:hAnsi="新細明體" w:cs="新細明體"/>
        </w:rPr>
        <w:t>ⅱ</w:t>
      </w:r>
      <w:r>
        <w:rPr>
          <w:rFonts w:ascii="標楷體" w:eastAsia="標楷體" w:hAnsi="標楷體"/>
        </w:rPr>
        <w:t>.</w:t>
      </w:r>
      <w:r>
        <w:rPr>
          <w:rFonts w:ascii="標楷體" w:eastAsia="標楷體" w:hAnsi="標楷體" w:cs="新細明體"/>
        </w:rPr>
        <w:t>具慢性肺部疾病史，且 DLCO＜65%。</w:t>
      </w:r>
    </w:p>
    <w:p w:rsidR="003225F7" w:rsidRDefault="003225F7" w:rsidP="003225F7">
      <w:pPr>
        <w:spacing w:line="400" w:lineRule="exact"/>
        <w:ind w:left="1985" w:hanging="244"/>
      </w:pPr>
      <w:r>
        <w:rPr>
          <w:rFonts w:ascii="新細明體" w:hAnsi="新細明體" w:cs="新細明體"/>
        </w:rPr>
        <w:t>ⅲ</w:t>
      </w:r>
      <w:r>
        <w:rPr>
          <w:rFonts w:ascii="標楷體" w:eastAsia="標楷體" w:hAnsi="標楷體" w:cs="新細明體"/>
        </w:rPr>
        <w:t>.具</w:t>
      </w:r>
      <w:r>
        <w:rPr>
          <w:rFonts w:ascii="標楷體" w:eastAsia="標楷體" w:hAnsi="標楷體" w:cs="新細明體"/>
          <w:kern w:val="0"/>
          <w:szCs w:val="24"/>
        </w:rPr>
        <w:t>肝功能異常：Bilirubin level 在1.5-3.0倍正常值間。</w:t>
      </w:r>
    </w:p>
    <w:p w:rsidR="003225F7" w:rsidRDefault="003225F7" w:rsidP="003225F7">
      <w:pPr>
        <w:spacing w:line="400" w:lineRule="exact"/>
        <w:ind w:left="1418" w:hanging="397"/>
        <w:rPr>
          <w:rFonts w:ascii="標楷體" w:eastAsia="標楷體" w:hAnsi="標楷體"/>
        </w:rPr>
      </w:pPr>
      <w:r>
        <w:rPr>
          <w:rFonts w:ascii="標楷體" w:eastAsia="標楷體" w:hAnsi="標楷體"/>
        </w:rPr>
        <w:t>(2)需未曾因骨髓化生不良症候群(myelodysplastic syndrome, MDS)接受過azacitidine或decitabine治療者。</w:t>
      </w:r>
    </w:p>
    <w:p w:rsidR="003225F7" w:rsidRDefault="003225F7" w:rsidP="003225F7">
      <w:pPr>
        <w:spacing w:line="400" w:lineRule="exact"/>
        <w:ind w:left="1418" w:hanging="397"/>
        <w:rPr>
          <w:rFonts w:ascii="標楷體" w:eastAsia="標楷體" w:hAnsi="標楷體"/>
        </w:rPr>
      </w:pPr>
      <w:r>
        <w:rPr>
          <w:rFonts w:ascii="標楷體" w:eastAsia="標楷體" w:hAnsi="標楷體"/>
        </w:rPr>
        <w:t>(3)需經事前審查核准後使用，每2個療程需再次申請；再次申請時需檢附療效評估資料，若病情惡化應即停止使用。</w:t>
      </w:r>
    </w:p>
    <w:p w:rsidR="00B07C9A" w:rsidRDefault="003225F7" w:rsidP="003225F7">
      <w:pPr>
        <w:spacing w:line="400" w:lineRule="exact"/>
        <w:ind w:left="1418" w:hanging="397"/>
        <w:rPr>
          <w:rFonts w:ascii="標楷體" w:eastAsia="標楷體" w:hAnsi="標楷體"/>
        </w:rPr>
      </w:pPr>
      <w:r>
        <w:rPr>
          <w:rFonts w:ascii="標楷體" w:eastAsia="標楷體" w:hAnsi="標楷體"/>
        </w:rPr>
        <w:t>(4)最多給付6個療程。</w:t>
      </w:r>
    </w:p>
    <w:p w:rsidR="00B07C9A" w:rsidRPr="004C7F93" w:rsidRDefault="00B07C9A" w:rsidP="00B07C9A">
      <w:pPr>
        <w:spacing w:line="400" w:lineRule="exact"/>
        <w:rPr>
          <w:rFonts w:ascii="標楷體" w:eastAsia="標楷體" w:hAnsi="標楷體"/>
          <w:color w:val="000000"/>
        </w:rPr>
      </w:pPr>
      <w:r>
        <w:rPr>
          <w:rFonts w:ascii="標楷體" w:eastAsia="標楷體" w:hAnsi="標楷體" w:hint="eastAsia"/>
          <w:color w:val="000000"/>
        </w:rPr>
        <w:t xml:space="preserve">  </w:t>
      </w:r>
      <w:r w:rsidRPr="004C7F93">
        <w:rPr>
          <w:rFonts w:ascii="標楷體" w:eastAsia="標楷體" w:hAnsi="標楷體" w:hint="eastAsia"/>
          <w:color w:val="000000"/>
        </w:rPr>
        <w:t>9.44.2.Azacitidine 口服製劑（如Onureg）：(114/5/1、114/10/1）</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1.</w:t>
      </w:r>
      <w:r w:rsidRPr="004C7F93">
        <w:rPr>
          <w:rFonts w:ascii="標楷體" w:eastAsia="標楷體" w:hAnsi="標楷體" w:hint="eastAsia"/>
        </w:rPr>
        <w:tab/>
        <w:t>用於不適合接受造血幹細胞移植(HSCT)之急性骨髓性白血病 (AML)成人病人，作為維持治療，且須同時符合下列條件：</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(1)55歲以上具中度或高度不良風險染色體核型變化(intermediate-risk or poor-risk cytogenetics)之急性骨髓性白血病 (AML)病人。</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(2)在誘導治療後(不論是否接受鞏固治療)，首次達到完全緩解(CR)或完全緩解但血球計數未完全恢復正常 (CRi)。</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(3)之前未曾接受azacitidine或decitabine藥物治療。</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2.</w:t>
      </w:r>
      <w:r w:rsidRPr="004C7F93">
        <w:rPr>
          <w:rFonts w:ascii="標楷體" w:eastAsia="標楷體" w:hAnsi="標楷體" w:hint="eastAsia"/>
        </w:rPr>
        <w:tab/>
        <w:t>需經事前審查核准後使用，初次申請為3個療程，需檢附染色體檢測結果報告；每3個療程需再次申請，可治療至疾病復發 (定義為周邊血或骨髓觀察到的芽細胞超過5%或新出現髓外侵犯)或無法耐受藥物毒性為止。</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3.</w:t>
      </w:r>
      <w:r w:rsidRPr="004C7F93">
        <w:rPr>
          <w:rFonts w:ascii="標楷體" w:eastAsia="標楷體" w:hAnsi="標楷體" w:hint="eastAsia"/>
        </w:rPr>
        <w:tab/>
        <w:t>每人以24個療程為上限。</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4.</w:t>
      </w:r>
      <w:r w:rsidRPr="004C7F93">
        <w:rPr>
          <w:rFonts w:ascii="標楷體" w:eastAsia="標楷體" w:hAnsi="標楷體" w:hint="eastAsia"/>
        </w:rPr>
        <w:tab/>
        <w:t>不得與midostaurin、venetoclax及gilteritinib等標靶藥品併用。</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5.</w:t>
      </w:r>
      <w:r w:rsidRPr="004C7F93">
        <w:rPr>
          <w:rFonts w:ascii="標楷體" w:eastAsia="標楷體" w:hAnsi="標楷體" w:hint="eastAsia"/>
        </w:rPr>
        <w:tab/>
        <w:t>病人接受本藥物治療後，不再給付造血幹細胞移植。</w:t>
      </w:r>
    </w:p>
    <w:p w:rsidR="00B96EA0"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lastRenderedPageBreak/>
        <w:t>6.本藥品與quizartinib僅得擇一使用，除因耐受性不良，不得互換。(114/10/1)</w:t>
      </w:r>
    </w:p>
    <w:p w:rsidR="00B96EA0" w:rsidRDefault="007D66B8" w:rsidP="005142EB">
      <w:pPr>
        <w:spacing w:line="400" w:lineRule="exact"/>
        <w:ind w:left="720" w:hanging="480"/>
      </w:pPr>
      <w:r>
        <w:rPr>
          <w:rFonts w:ascii="標楷體" w:eastAsia="標楷體" w:hAnsi="標楷體"/>
          <w:color w:val="000000"/>
        </w:rPr>
        <w:t>9.45.</w:t>
      </w:r>
      <w:r>
        <w:rPr>
          <w:rFonts w:ascii="標楷體" w:eastAsia="標楷體" w:hAnsi="標楷體"/>
          <w:kern w:val="0"/>
          <w:szCs w:val="24"/>
        </w:rPr>
        <w:t>Afatinib（如Giotrif）：(103/5/1、106/11/1、108/6/1、108/11/1</w:t>
      </w:r>
      <w:r>
        <w:rPr>
          <w:rFonts w:ascii="標楷體" w:eastAsia="標楷體" w:hAnsi="標楷體"/>
          <w:kern w:val="0"/>
        </w:rPr>
        <w:t>、109/4/1</w:t>
      </w:r>
      <w:r>
        <w:rPr>
          <w:rFonts w:ascii="標楷體" w:eastAsia="標楷體" w:hAnsi="標楷體"/>
        </w:rPr>
        <w:t>、109/6/1、109/10/1</w:t>
      </w:r>
      <w:r>
        <w:rPr>
          <w:rFonts w:ascii="新細明體" w:hAnsi="新細明體"/>
        </w:rPr>
        <w:t>、</w:t>
      </w:r>
      <w:r>
        <w:rPr>
          <w:rFonts w:ascii="標楷體" w:eastAsia="標楷體" w:hAnsi="標楷體"/>
        </w:rPr>
        <w:t>111/4/1</w:t>
      </w:r>
      <w:r>
        <w:rPr>
          <w:rFonts w:ascii="標楷體" w:eastAsia="標楷體" w:hAnsi="標楷體"/>
          <w:color w:val="000000"/>
        </w:rPr>
        <w:t>、113/3/1、113/6/1、113/10/1</w:t>
      </w:r>
      <w:r>
        <w:rPr>
          <w:rFonts w:ascii="標楷體" w:eastAsia="標楷體" w:hAnsi="標楷體"/>
          <w:kern w:val="0"/>
          <w:szCs w:val="24"/>
        </w:rPr>
        <w:t>)</w:t>
      </w:r>
    </w:p>
    <w:p w:rsidR="00B96EA0" w:rsidRDefault="007D66B8" w:rsidP="005142EB">
      <w:pPr>
        <w:spacing w:line="400" w:lineRule="exact"/>
        <w:ind w:left="796" w:hanging="230"/>
      </w:pPr>
      <w:r>
        <w:rPr>
          <w:rFonts w:ascii="標楷體" w:eastAsia="標楷體" w:hAnsi="標楷體"/>
          <w:color w:val="000000"/>
        </w:rPr>
        <w:t>1.</w:t>
      </w:r>
      <w:r>
        <w:t xml:space="preserve"> </w:t>
      </w:r>
      <w:r>
        <w:rPr>
          <w:rFonts w:ascii="標楷體" w:eastAsia="標楷體" w:hAnsi="標楷體"/>
          <w:color w:val="000000"/>
        </w:rPr>
        <w:t>限單獨使用於：</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(1)具有EGFR-TK基因突變之局部晚期或轉移性(即第ⅢB、ⅢC期或第Ⅳ期)之肺腺癌病患之第一線治療，需檢附EGFR基因檢測結果報告，且需符合全民健康保險藥品給付規定之通則十二。(108/6/1、108/11/1、113/6/1)</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(2)先前已使用過第一線含鉑化學治療，但仍惡化的局部晚期或轉移性之鱗狀組織非小細胞肺癌之第二線治療。(108/6/1)</w:t>
      </w:r>
    </w:p>
    <w:p w:rsidR="00B96EA0" w:rsidRDefault="007D66B8" w:rsidP="005142EB">
      <w:pPr>
        <w:spacing w:line="400" w:lineRule="exact"/>
        <w:ind w:left="796" w:hanging="230"/>
      </w:pPr>
      <w:r>
        <w:rPr>
          <w:rFonts w:ascii="標楷體" w:eastAsia="標楷體" w:hAnsi="標楷體"/>
          <w:color w:val="000000"/>
        </w:rPr>
        <w:t>2.使用注意事項(106/11/1、108/6/1</w:t>
      </w:r>
      <w:r>
        <w:rPr>
          <w:rFonts w:ascii="標楷體" w:eastAsia="標楷體" w:hAnsi="標楷體"/>
          <w:kern w:val="0"/>
          <w:szCs w:val="24"/>
        </w:rPr>
        <w:t>、</w:t>
      </w:r>
      <w:r>
        <w:rPr>
          <w:rFonts w:ascii="標楷體" w:eastAsia="標楷體" w:hAnsi="標楷體"/>
          <w:kern w:val="0"/>
        </w:rPr>
        <w:t>109/4/1、109/10/1</w:t>
      </w:r>
      <w:r>
        <w:rPr>
          <w:rFonts w:ascii="新細明體" w:hAnsi="新細明體"/>
          <w:kern w:val="0"/>
        </w:rPr>
        <w:t>、</w:t>
      </w:r>
      <w:r>
        <w:rPr>
          <w:rFonts w:ascii="標楷體" w:eastAsia="標楷體" w:hAnsi="標楷體"/>
          <w:kern w:val="0"/>
        </w:rPr>
        <w:t>111/4/1</w:t>
      </w:r>
      <w:r>
        <w:rPr>
          <w:rFonts w:ascii="新細明體" w:hAnsi="新細明體"/>
          <w:kern w:val="0"/>
        </w:rPr>
        <w:t>、</w:t>
      </w:r>
      <w:r>
        <w:rPr>
          <w:rFonts w:ascii="標楷體" w:eastAsia="標楷體" w:hAnsi="標楷體"/>
          <w:color w:val="000000"/>
        </w:rPr>
        <w:t>113/3/1）</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(1)用於具有EGFR-TK基因突變之局部晚期或轉移性肺腺癌之第一線治療：病歷應留存確實患有肺腺癌之病理或細胞檢查報告，及EGFR-TK基因突變檢測報告。</w:t>
      </w:r>
    </w:p>
    <w:p w:rsidR="00B96EA0" w:rsidRDefault="007D66B8" w:rsidP="005142EB">
      <w:pPr>
        <w:spacing w:line="400" w:lineRule="exact"/>
        <w:ind w:left="1046" w:hanging="348"/>
      </w:pPr>
      <w:r>
        <w:rPr>
          <w:rFonts w:ascii="標楷體" w:eastAsia="標楷體" w:hAnsi="標楷體"/>
          <w:kern w:val="0"/>
          <w:szCs w:val="24"/>
        </w:rPr>
        <w:t xml:space="preserve">(2)用於局部晚期或轉移性之鱗狀組織非小細胞肺癌之第二線治療：病歷應留存曾經接受含鉑類化學治療之證明，及目前又有疾病惡化之影像診斷證明(如胸部X光、電腦斷層或其他可作為評估的影像)，此影像證明以可測量(measurable)的病灶為優先，如沒有可以測量的病灶，則可評估(evaluable)的病灶亦可採用。(108/6/1) </w:t>
      </w:r>
      <w:r>
        <w:rPr>
          <w:rFonts w:ascii="標楷體" w:eastAsia="標楷體" w:hAnsi="標楷體"/>
          <w:color w:val="000000"/>
        </w:rPr>
        <w:t xml:space="preserve"> </w:t>
      </w:r>
    </w:p>
    <w:p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(3)每次處方以4週為限，再次處方時需於病歷記錄治療後相關臨床資料，如每4週需追蹤胸部X光或電腦斷層等影像檢查，每8至12週需進行完整療效評估（如胸部X光或電腦斷層）。(106/11/1）</w:t>
      </w:r>
    </w:p>
    <w:p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(4)使用本藥品後，除因耐受性不良，否則不得轉換類似藥理機轉之其他酪胺酸激酶阻斷劑（tyrosine kinase inhibitor, TKI）。</w:t>
      </w:r>
    </w:p>
    <w:p w:rsidR="00B96EA0" w:rsidRDefault="007D66B8" w:rsidP="005142EB">
      <w:pPr>
        <w:spacing w:line="400" w:lineRule="exact"/>
        <w:ind w:left="1046" w:hanging="348"/>
      </w:pPr>
      <w:r>
        <w:rPr>
          <w:rFonts w:ascii="標楷體" w:eastAsia="標楷體" w:hAnsi="標楷體"/>
          <w:color w:val="000000"/>
        </w:rPr>
        <w:t>(5)本藥品與gefitinib及erlotinib不得併用。</w:t>
      </w:r>
      <w:r>
        <w:rPr>
          <w:rFonts w:ascii="標楷體" w:eastAsia="標楷體" w:hAnsi="標楷體"/>
          <w:kern w:val="0"/>
          <w:szCs w:val="24"/>
        </w:rPr>
        <w:t>(</w:t>
      </w:r>
      <w:r>
        <w:rPr>
          <w:rFonts w:ascii="標楷體" w:eastAsia="標楷體" w:hAnsi="標楷體"/>
          <w:kern w:val="0"/>
        </w:rPr>
        <w:t>109/4/1</w:t>
      </w:r>
      <w:r>
        <w:rPr>
          <w:rFonts w:ascii="標楷體" w:eastAsia="標楷體" w:hAnsi="標楷體"/>
          <w:kern w:val="0"/>
          <w:szCs w:val="24"/>
        </w:rPr>
        <w:t>)</w:t>
      </w:r>
    </w:p>
    <w:p w:rsidR="00B96EA0" w:rsidRDefault="007D66B8" w:rsidP="005142EB">
      <w:pPr>
        <w:spacing w:line="400" w:lineRule="exact"/>
        <w:ind w:left="1046" w:hanging="348"/>
      </w:pPr>
      <w:r>
        <w:rPr>
          <w:rFonts w:ascii="標楷體" w:eastAsia="標楷體" w:hAnsi="標楷體"/>
        </w:rPr>
        <w:t>(6)本藥品於第一線使用時，與osimertinib、dacomitinib及bevacizumab併用erlotinib之治療組合僅得擇一使用，除因耐受性不良，不得互換。(109/6/1、109/10/1、111/4/1、113/3/1、113/10/1)</w:t>
      </w:r>
    </w:p>
    <w:p w:rsidR="00B96EA0" w:rsidRDefault="007D66B8" w:rsidP="005142EB">
      <w:pPr>
        <w:spacing w:line="400" w:lineRule="exact"/>
        <w:ind w:left="1414" w:hanging="336"/>
      </w:pPr>
      <w:r>
        <w:rPr>
          <w:rFonts w:ascii="標楷體" w:eastAsia="標楷體" w:hAnsi="標楷體"/>
          <w:color w:val="000000"/>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Ⅲ.如需更換使用bevacizumab併用erlotinib之治療組合，必須符合bevacizumab第一線使用於具有EGFR Exon 21 L858R突變且腦轉移之無法手術切除的轉移性（第Ⅳ期）非鱗狀非小細胞肺癌肺腺癌之限制。(113/3/1)</w:t>
      </w:r>
    </w:p>
    <w:p w:rsidR="00B96EA0" w:rsidRDefault="007D66B8" w:rsidP="005142EB">
      <w:pPr>
        <w:spacing w:line="400" w:lineRule="exact"/>
        <w:ind w:left="566" w:hanging="283"/>
      </w:pPr>
      <w:r>
        <w:rPr>
          <w:rFonts w:ascii="標楷體" w:eastAsia="標楷體" w:hAnsi="標楷體"/>
          <w:color w:val="000000"/>
        </w:rPr>
        <w:t>9.46.Tegafur/gimeracil/oteracil複方製劑(如TS-1）：(103/6/1、105/12/1、</w:t>
      </w:r>
      <w:r>
        <w:rPr>
          <w:rFonts w:ascii="標楷體" w:eastAsia="標楷體" w:hAnsi="標楷體"/>
          <w:color w:val="000000"/>
        </w:rPr>
        <w:lastRenderedPageBreak/>
        <w:t>109/2/1</w:t>
      </w:r>
      <w:r>
        <w:rPr>
          <w:rFonts w:ascii="標楷體" w:eastAsia="標楷體" w:hAnsi="標楷體"/>
        </w:rPr>
        <w:t>、113/2/1</w:t>
      </w:r>
      <w:r>
        <w:rPr>
          <w:rFonts w:ascii="標楷體" w:eastAsia="標楷體" w:hAnsi="標楷體"/>
          <w:color w:val="000000"/>
        </w:rPr>
        <w:t xml:space="preserve">) </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1.治療局部晚期無法手術切除或轉移性胰臟癌病人。</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2.胃癌(105/12/1)</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(1)胃癌術後輔助性化療，用於罹患TNMS tageⅡ(排除T1)、ⅢA或ⅢB胃癌且接受過胃癌根除性手術的成年患者，限用1年。</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(2)需經事前審查核准後使用。</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3.非小細胞肺癌(109/2/1)</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(1)曾使用含鉑之化學藥物治療失敗的局部晚期或轉移性之非小細胞肺癌。</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(2)不得與標靶治療、其他化療或免疫檢查點抑制劑併用。</w:t>
      </w:r>
    </w:p>
    <w:p w:rsidR="00B96EA0" w:rsidRDefault="007D66B8" w:rsidP="005142EB">
      <w:pPr>
        <w:spacing w:line="400" w:lineRule="exact"/>
        <w:ind w:left="1092" w:hanging="525"/>
      </w:pPr>
      <w:r>
        <w:rPr>
          <w:rFonts w:ascii="標楷體" w:eastAsia="標楷體" w:hAnsi="標楷體"/>
          <w:color w:val="000000"/>
          <w:szCs w:val="24"/>
        </w:rPr>
        <w:t>4.與gemcitabine合併使用作為晚期或復發之膽道癌第一線治療。(</w:t>
      </w:r>
      <w:r>
        <w:rPr>
          <w:rFonts w:ascii="標楷體" w:eastAsia="標楷體" w:hAnsi="標楷體"/>
          <w:szCs w:val="24"/>
        </w:rPr>
        <w:t>113/2/1</w:t>
      </w:r>
      <w:r>
        <w:rPr>
          <w:rFonts w:ascii="標楷體" w:eastAsia="標楷體" w:hAnsi="標楷體"/>
          <w:color w:val="000000"/>
          <w:szCs w:val="24"/>
        </w:rPr>
        <w:t>)</w:t>
      </w:r>
    </w:p>
    <w:p w:rsidR="00B96EA0" w:rsidRDefault="007D66B8" w:rsidP="005142EB">
      <w:pPr>
        <w:spacing w:line="400" w:lineRule="exact"/>
        <w:ind w:left="566" w:hanging="230"/>
        <w:rPr>
          <w:rFonts w:ascii="標楷體" w:eastAsia="標楷體" w:hAnsi="標楷體"/>
          <w:color w:val="000000"/>
        </w:rPr>
      </w:pPr>
      <w:r>
        <w:rPr>
          <w:rFonts w:ascii="標楷體" w:eastAsia="標楷體" w:hAnsi="標楷體"/>
          <w:color w:val="000000"/>
        </w:rPr>
        <w:t>9.47.Lapatinib（如Tykerb）：（103/9/1、106/11/1、110/2/1、114/2/1）</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1.與capecitabine併用，使用於曾接受anthracycline, taxane以及trastuzumab治療後病況惡化之轉移性乳癌併有腦部轉移，且為HER2過度表現(IHC3+或FISH+)病人。</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2.每3個月需進行療效評估，病歷應留存評估紀錄，無疾病惡化方可繼續使用。(106/11/1)</w:t>
      </w:r>
    </w:p>
    <w:p w:rsidR="00B96EA0" w:rsidRDefault="007D66B8" w:rsidP="005142EB">
      <w:pPr>
        <w:spacing w:line="400" w:lineRule="exact"/>
        <w:ind w:left="796" w:hanging="230"/>
      </w:pPr>
      <w:r>
        <w:rPr>
          <w:rFonts w:ascii="標楷體" w:eastAsia="標楷體" w:hAnsi="標楷體"/>
          <w:color w:val="000000"/>
        </w:rPr>
        <w:t>3.</w:t>
      </w:r>
      <w:r>
        <w:t xml:space="preserve"> </w:t>
      </w:r>
      <w:r>
        <w:rPr>
          <w:rFonts w:ascii="標楷體" w:eastAsia="標楷體" w:hAnsi="標楷體"/>
          <w:color w:val="000000"/>
        </w:rPr>
        <w:t>Lapatinib、trastuzumab emtansine和trastuzumab deruxtecan僅能擇一給付，不得互換。(110/2/1、114/2/1)</w:t>
      </w:r>
    </w:p>
    <w:p w:rsidR="00B96EA0" w:rsidRDefault="007D66B8" w:rsidP="005142EB">
      <w:pPr>
        <w:spacing w:line="400" w:lineRule="exact"/>
        <w:ind w:left="708" w:hanging="338"/>
        <w:rPr>
          <w:rFonts w:ascii="標楷體" w:eastAsia="標楷體" w:hAnsi="標楷體"/>
          <w:color w:val="000000"/>
        </w:rPr>
      </w:pPr>
      <w:r>
        <w:rPr>
          <w:rFonts w:ascii="標楷體" w:eastAsia="標楷體" w:hAnsi="標楷體"/>
          <w:color w:val="000000"/>
        </w:rPr>
        <w:t>9.48.Eribulin（如Halaven）：（103/12/1、106/11/1、108/12/1、110/2/1）</w:t>
      </w:r>
    </w:p>
    <w:p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1.轉移性乳癌：</w:t>
      </w:r>
    </w:p>
    <w:p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(1)用於治療轉移性乳癌患者且先前曾接受過anthracycline和taxane兩種針對轉移性乳癌之化學治療輔助性治療。</w:t>
      </w:r>
    </w:p>
    <w:p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rsidR="00B96EA0" w:rsidRDefault="007D66B8" w:rsidP="005142EB">
      <w:pPr>
        <w:spacing w:line="400" w:lineRule="exact"/>
        <w:ind w:left="1200" w:hanging="353"/>
        <w:rPr>
          <w:rFonts w:ascii="標楷體" w:eastAsia="標楷體" w:hAnsi="標楷體"/>
          <w:color w:val="000000"/>
        </w:rPr>
      </w:pPr>
      <w:r>
        <w:rPr>
          <w:rFonts w:ascii="標楷體" w:eastAsia="標楷體" w:hAnsi="標楷體"/>
          <w:color w:val="000000"/>
        </w:rPr>
        <w:t>(3)Eribulin與ixabepilone用於治療上述之轉移性乳癌患者時，僅得擇一使用，且不得互換（eribulin限用於未曾使用過ixabepilone之病患）。(110/2/1)</w:t>
      </w:r>
    </w:p>
    <w:p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2.脂肪肉瘤：(108/12/1)</w:t>
      </w:r>
    </w:p>
    <w:p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(1)限單獨使用於治療無法手術切除或轉移性脂肪肉瘤成人患者，且先前應至少接受一次含anthracycline之全身化療。</w:t>
      </w:r>
    </w:p>
    <w:p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(2)須經事前審查核准後使用，每次申請以3個療程為限，再次申請時應檢附前次治療結果評估資料證實無惡化，才可繼續使用。</w:t>
      </w:r>
    </w:p>
    <w:p w:rsidR="00B96EA0" w:rsidRDefault="007D66B8" w:rsidP="005142EB">
      <w:pPr>
        <w:snapToGrid w:val="0"/>
        <w:spacing w:line="400" w:lineRule="exact"/>
        <w:ind w:left="425"/>
      </w:pPr>
      <w:bookmarkStart w:id="12" w:name="_Hlk96441645"/>
      <w:r>
        <w:rPr>
          <w:rFonts w:ascii="標楷體" w:eastAsia="標楷體" w:hAnsi="標楷體"/>
          <w:color w:val="000000"/>
          <w:szCs w:val="24"/>
        </w:rPr>
        <w:t>9.49.</w:t>
      </w:r>
      <w:r>
        <w:t xml:space="preserve"> </w:t>
      </w:r>
      <w:r>
        <w:rPr>
          <w:rFonts w:ascii="標楷體" w:eastAsia="標楷體" w:hAnsi="標楷體"/>
          <w:color w:val="000000"/>
          <w:szCs w:val="24"/>
        </w:rPr>
        <w:t>Abiraterone(如Zytiga）：（103/12/1、105/9/1、106/9/1、108/3/1、109/5/1、109/10/1、110/2/1、110/3/1、110/11/1、111/3/1、112/9/1、113/8/1、113/9/1、114/6/1）</w:t>
      </w:r>
    </w:p>
    <w:bookmarkEnd w:id="12"/>
    <w:p w:rsidR="00B96EA0" w:rsidRDefault="007D66B8" w:rsidP="005142EB">
      <w:pPr>
        <w:snapToGrid w:val="0"/>
        <w:spacing w:line="400" w:lineRule="exact"/>
        <w:ind w:left="851" w:hanging="280"/>
      </w:pPr>
      <w:r>
        <w:rPr>
          <w:rFonts w:ascii="標楷體" w:eastAsia="標楷體" w:hAnsi="標楷體"/>
          <w:color w:val="000000"/>
          <w:szCs w:val="24"/>
        </w:rPr>
        <w:t>1.與雄性素去除療法及prednisone或prednisolone併用，治療新診斷高風險轉移性的去勢敏感性前列腺癌(mCSPC)的成年男性(ECOG分數須</w:t>
      </w:r>
      <w:r>
        <w:rPr>
          <w:rFonts w:ascii="標楷體" w:eastAsia="標楷體" w:hAnsi="標楷體" w:cs="新細明體"/>
          <w:color w:val="000000"/>
          <w:szCs w:val="24"/>
        </w:rPr>
        <w:t>≦</w:t>
      </w:r>
      <w:r>
        <w:rPr>
          <w:rFonts w:ascii="標楷體" w:eastAsia="標楷體" w:hAnsi="標楷體"/>
          <w:color w:val="000000"/>
          <w:szCs w:val="24"/>
        </w:rPr>
        <w:t>1)。高風險需符合下列三</w:t>
      </w:r>
      <w:r>
        <w:rPr>
          <w:rFonts w:ascii="標楷體" w:eastAsia="標楷體" w:hAnsi="標楷體"/>
          <w:color w:val="000000"/>
          <w:szCs w:val="24"/>
        </w:rPr>
        <w:lastRenderedPageBreak/>
        <w:t>項條件中至少兩項：(109/5/1</w:t>
      </w:r>
      <w:r>
        <w:rPr>
          <w:rFonts w:ascii="標楷體" w:eastAsia="標楷體" w:hAnsi="標楷體"/>
          <w:szCs w:val="24"/>
        </w:rPr>
        <w:t>、110/2/1、113/8/1）</w:t>
      </w:r>
    </w:p>
    <w:p w:rsidR="00B96EA0" w:rsidRDefault="007D66B8" w:rsidP="005142EB">
      <w:pPr>
        <w:snapToGrid w:val="0"/>
        <w:spacing w:line="400" w:lineRule="exact"/>
        <w:ind w:left="851"/>
      </w:pPr>
      <w:r>
        <w:rPr>
          <w:rFonts w:ascii="標楷體" w:eastAsia="標楷體" w:hAnsi="標楷體"/>
          <w:color w:val="000000"/>
          <w:szCs w:val="24"/>
        </w:rPr>
        <w:t>(1)葛里森分數(Gleason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(2)骨骼掃描出現三個(含)以上病灶且至少其中一處以上為非脊柱及非骨盆腔轉移；(109/5/1、113/8/1）</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(3)出現內臟轉移。</w:t>
      </w:r>
    </w:p>
    <w:p w:rsidR="00B96EA0" w:rsidRDefault="007D66B8" w:rsidP="005142EB">
      <w:pPr>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2.與prednisone或prednisolone併用，治療藥物或手術去勢抗性的轉移性前列腺癌(mCRPC)，且在雄性素去除療法失敗後屬無症狀或輕度症狀(ECOG分數0或1)，未曾接受化學治療者：（106/9/1）</w:t>
      </w:r>
    </w:p>
    <w:p w:rsidR="00B96EA0" w:rsidRDefault="007D66B8" w:rsidP="005142EB">
      <w:pPr>
        <w:snapToGrid w:val="0"/>
        <w:spacing w:line="400" w:lineRule="exact"/>
        <w:ind w:left="1276"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8時，不得於使用化學治療前使用abiraterone。（106/9/1）</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(2)申請時需另檢附：</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rsidR="00B96EA0" w:rsidRDefault="007D66B8" w:rsidP="005142EB">
      <w:pPr>
        <w:tabs>
          <w:tab w:val="left" w:pos="1701"/>
        </w:tabs>
        <w:snapToGrid w:val="0"/>
        <w:spacing w:line="400" w:lineRule="exact"/>
        <w:ind w:left="1560" w:hanging="420"/>
        <w:rPr>
          <w:rFonts w:ascii="標楷體" w:eastAsia="標楷體" w:hAnsi="標楷體"/>
          <w:color w:val="000000"/>
          <w:szCs w:val="24"/>
        </w:rPr>
      </w:pPr>
      <w:r>
        <w:rPr>
          <w:rFonts w:ascii="標楷體" w:eastAsia="標楷體" w:hAnsi="標楷體"/>
          <w:color w:val="000000"/>
          <w:szCs w:val="24"/>
        </w:rPr>
        <w:t>II.三個月內影像報告證明無臟器轉移。（106/9/1）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3.與prednisone或prednisolone併用，治療藥物或手術去勢抗性的轉移性前列腺癌(ECOG分數須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rsidR="00B96EA0" w:rsidRDefault="007D66B8" w:rsidP="005142EB">
      <w:pPr>
        <w:tabs>
          <w:tab w:val="left" w:pos="851"/>
        </w:tabs>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4.與olaparib及prednisone或prednisolone，用於具germline或 somatic BRCA 1/2致病性或疑似致病性突變之成人病人，患者需符合olaparib藥品給付規定。(114/6/1)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5.前述1、2、3項須經事前審查核准後使用，每3個月需再次申請。（111/3/1）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(4)用於治療新診斷高風險轉移性的去勢敏感性前列腺癌(mCSPC)的成年男性，總療程以36個月為上限（惟Ateron總療程以24個月為上限）。(109/5/1、110/2/1、113/8/1、113/9/1）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(5)去勢抗性前列腺癌(CRPC)病患若於化學治療前先使用過abiraterone，當化學治療失敗後不得再申請使用abiraterone。（106/9/1）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6.不論病人處於轉移或非轉移的狀態下，新型荷爾蒙藥品(abiraterone、apalutamide、darolutamide和enzalutamide) 及olaparib 與 abiraterone併用，終生僅給付一種治療，且除非出現嚴重不耐受反應導致必須永久停止治療，不得互換。(112/9/1、114/6/1)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lastRenderedPageBreak/>
        <w:t>7.本品與radium-223 dichloride不得合併使用。(108/3/1)</w:t>
      </w:r>
    </w:p>
    <w:p w:rsidR="00B96EA0" w:rsidRDefault="007D66B8" w:rsidP="005142EB">
      <w:pPr>
        <w:spacing w:line="400" w:lineRule="exact"/>
        <w:ind w:left="283"/>
        <w:rPr>
          <w:rFonts w:ascii="標楷體" w:eastAsia="標楷體" w:hAnsi="標楷體"/>
        </w:rPr>
      </w:pPr>
      <w:r>
        <w:rPr>
          <w:rFonts w:ascii="標楷體" w:eastAsia="標楷體" w:hAnsi="標楷體"/>
        </w:rPr>
        <w:t>9.50.Crizotinib (如Xalkori)：(104/9/1、106/11/1、107/5/1、108/7/1、108/9/1、108/12/1、110/7/1、111/2/1、111/8/1、112/11/1、113/6/1、113/9/1)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適用於ALK陽性之晚期非小細胞肺癌第一線治療，且於113年9月1日前經審核同意用藥，後續評估符合續用申請條件者。(106/11/1、111/8/1、113/9/1)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單獨使用於ROS-1陽性之晚期非小細胞肺癌患者。(108/9/1)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初次申請時需檢具確實患有非小細胞肺癌之病理或細胞檢查報告，及ALK突變檢測報告，或ROS-1突變檢測報告，且需符合全民健康保險藥品給付規定之通則十二。(107/5/1、108/9/1、111/2/1、113/6/1)</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再次申請時需附上治療後相關臨床資料，如給藥4週後，需追蹤胸部X光或電腦斷層等影像檢查評估療效，往後每4週做胸部X光檢查，每3個月需追蹤其作為評估藥效的影像(如胸部X光或電腦斷層)，若病情惡化即不得再次申請。(108/12/1、112/11/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Crizotinib與ceritinib、alectinib、brigatinib、lorlatinib用於ALK陽性之晚期非小細胞肺癌第一線治療時，僅得擇一使用，除因病人使用後，發生嚴重不良反應或耐受不良之情形外，不得互換。(108/7/1、108/12/1、111/8/1、112/11/1)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Crizotinib與entrectinib用於ROS-1陽性之晚期非小細胞肺癌時，僅得擇一使用，除因病人使用後，發生嚴重不良反應或耐受不良之情形外，不得互換。(110/7/1)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每日最大劑量限500mg。(108/9/1)</w:t>
      </w:r>
    </w:p>
    <w:p w:rsidR="00B96EA0" w:rsidRDefault="007D66B8" w:rsidP="005142EB">
      <w:pPr>
        <w:spacing w:line="400" w:lineRule="exact"/>
        <w:ind w:left="851" w:hanging="635"/>
        <w:rPr>
          <w:rFonts w:ascii="標楷體" w:eastAsia="標楷體" w:hAnsi="標楷體"/>
          <w:color w:val="000000"/>
        </w:rPr>
      </w:pPr>
      <w:bookmarkStart w:id="13" w:name="_Hlk75427389"/>
      <w:r>
        <w:rPr>
          <w:rFonts w:ascii="標楷體" w:eastAsia="標楷體" w:hAnsi="標楷體"/>
          <w:color w:val="000000"/>
        </w:rPr>
        <w:t>9.51.Regorafenib（如Stivarga）：（104/9/1、105/8/1、107/12/1、108/6/1、110/5/1、110/6/1、113/6/1）</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1.轉移性大腸直腸癌(mCRC)：</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(1)用於治療先前曾接受下列療法的轉移性大腸直腸癌(mCRC)患者，療法包括fluoropyrimidine、oxaliplatin、irinotecan為基礎的化療，和抗血管內皮生長因子(anti-VEGF)等療法；若K-ras為原生型(wild type)，則需再加上接受過抗表皮生長因子受體(anti-EGFR)療法。需檢附All-RAS基因突變分析檢測結果報告，且需符合全民健康保險藥品給付規定之通則十二。（110/6/1、113/6/1）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(2)須經事前審查核准後使用，每次申請事前審查之療程以8週為限，再次申請必須提出客觀證據（如：影像學）證實無惡化，才可繼續使用。</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2.胃腸道間質瘤(GIST) (105/8/1）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(1)先前曾接受imatinib與sunitinib治療的局部晚期、無法切除或轉移性的胃腸道間質瘤患者。</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w:t>
      </w:r>
      <w:r>
        <w:rPr>
          <w:rFonts w:ascii="標楷體" w:eastAsia="標楷體" w:hAnsi="標楷體"/>
          <w:color w:val="000000"/>
        </w:rPr>
        <w:lastRenderedPageBreak/>
        <w:t>料，每3個月評估一次。</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3.肝細胞癌(HCC)：(108/6/1、110/5/1)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(1)適用於曾接受sorafenib治療失敗後之轉移性或無法手術切除且不適合局部治療或局部治療失敗之Child-Pugh A class晚期肝細胞癌成人患者。</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(3)每日至多處方4粒。</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(4)Regorafenib與ramucirumab、nivolumab僅能擇一使用，不得互換。(110/5/1)</w:t>
      </w:r>
      <w:bookmarkEnd w:id="13"/>
    </w:p>
    <w:p w:rsidR="00B96EA0" w:rsidRDefault="007D66B8" w:rsidP="005142EB">
      <w:pPr>
        <w:tabs>
          <w:tab w:val="left" w:pos="1418"/>
        </w:tabs>
        <w:spacing w:line="400" w:lineRule="exact"/>
        <w:ind w:left="849" w:hanging="566"/>
        <w:rPr>
          <w:rFonts w:ascii="標楷體" w:eastAsia="標楷體" w:hAnsi="標楷體"/>
          <w:color w:val="000000"/>
        </w:rPr>
      </w:pPr>
      <w:r>
        <w:rPr>
          <w:rFonts w:ascii="標楷體" w:eastAsia="標楷體" w:hAnsi="標楷體"/>
          <w:color w:val="000000"/>
        </w:rPr>
        <w:t>9.52.Vemurafenib(如Zelboraf)：(104/11/1、110/3/1、113/6/1）</w:t>
      </w:r>
    </w:p>
    <w:p w:rsidR="00B96EA0" w:rsidRDefault="007D66B8" w:rsidP="005142EB">
      <w:pPr>
        <w:spacing w:line="400" w:lineRule="exact"/>
        <w:ind w:left="849" w:hanging="283"/>
      </w:pPr>
      <w:r>
        <w:rPr>
          <w:rFonts w:ascii="標楷體" w:eastAsia="標楷體" w:hAnsi="標楷體"/>
          <w:color w:val="000000"/>
        </w:rPr>
        <w:t>1.</w:t>
      </w:r>
      <w:r>
        <w:t xml:space="preserve"> </w:t>
      </w:r>
      <w:r>
        <w:rPr>
          <w:rFonts w:ascii="標楷體" w:eastAsia="標楷體" w:hAnsi="標楷體"/>
          <w:color w:val="000000"/>
        </w:rPr>
        <w:t>用於治療BRAF V600突變陽性ECOG</w:t>
      </w:r>
      <w:r>
        <w:rPr>
          <w:rFonts w:ascii="Times New Roman" w:eastAsia="標楷體" w:hAnsi="Times New Roman"/>
          <w:color w:val="000000"/>
        </w:rPr>
        <w:t>≤</w:t>
      </w:r>
      <w:r>
        <w:rPr>
          <w:rFonts w:ascii="標楷體" w:eastAsia="標楷體" w:hAnsi="標楷體"/>
          <w:color w:val="000000"/>
        </w:rPr>
        <w:t>2且罹患無法切除(第ⅢC期)或轉移性(第Ⅳ期)黑色素瘤之病人。需檢附BRAF V600基因突變分析檢測報告，且需符合全民健康保險藥品給付規定之通則十二。(113/6/1)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2.需經事前審查核准後使用，每次申請療程以三個月為限，如發現病情惡化應停止使用。再申請應檢附前次治療結果評估資料。</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3.本品與dabrafenib (併用trametinib) 僅能擇一使用，除因耐受性不良，不得互換。(110/3/1）</w:t>
      </w:r>
    </w:p>
    <w:p w:rsidR="00B96EA0" w:rsidRDefault="00616C7C" w:rsidP="005142EB">
      <w:pPr>
        <w:spacing w:line="400" w:lineRule="exact"/>
        <w:ind w:left="283"/>
        <w:rPr>
          <w:rFonts w:ascii="標楷體" w:eastAsia="標楷體" w:hAnsi="標楷體"/>
          <w:color w:val="000000"/>
        </w:rPr>
      </w:pPr>
      <w:bookmarkStart w:id="14" w:name="_Hlk70328576"/>
      <w:r w:rsidRPr="000D391A">
        <w:rPr>
          <w:rFonts w:ascii="標楷體" w:eastAsia="標楷體" w:hAnsi="標楷體" w:hint="eastAsia"/>
          <w:color w:val="000000"/>
        </w:rPr>
        <w:t>9.53.Panitumumab（如Vectibix）：(105/4/1、107/6/1、110/6/1、113/6/1、115/2/1)</w:t>
      </w:r>
    </w:p>
    <w:p w:rsidR="00D91496" w:rsidRPr="00D91496" w:rsidRDefault="007D66B8" w:rsidP="00D91496">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w:t>
      </w:r>
      <w:bookmarkEnd w:id="14"/>
      <w:r w:rsidR="00D91496" w:rsidRPr="00D91496">
        <w:rPr>
          <w:rFonts w:ascii="標楷體" w:eastAsia="標楷體" w:hAnsi="標楷體" w:hint="eastAsia"/>
          <w:color w:val="000000"/>
          <w:kern w:val="2"/>
          <w:szCs w:val="24"/>
        </w:rPr>
        <w:t xml:space="preserve"> </w:t>
      </w:r>
      <w:r w:rsidR="00D91496" w:rsidRPr="00D91496">
        <w:rPr>
          <w:rFonts w:ascii="標楷體" w:eastAsia="標楷體" w:hAnsi="標楷體" w:hint="eastAsia"/>
          <w:color w:val="000000"/>
        </w:rPr>
        <w:t>與FOLFOX（folinicacid/ 5-fluorouracil/oxaliplatin）或FOLFIRI（folinic acid/ 5-fluorouracil/irinotecan）合併使用於治療RAS原生型(wild-type)之轉移性直腸結腸癌病人之第一線治療。需檢附All-RAS基因突變分析檢測報告，且需符合全民健康保險藥品給付規定之通則十二。(98/8/1、110/6/1、113/6/1、115/2/1)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(1)本藥品須經事前審查核准後使用，每次申請之療程以18週為限，再次申請必須提出客觀證據(如：影像學)證實無惡化，才可繼續使用。</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(2)Panitumumab與cetuximab二者僅能擇一使用。 (107/6/1、115/2/1)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(3)本藥品不得與bevacizumab併用。(107/6/1)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(4)經手術完全切除(R</w:t>
      </w:r>
      <w:r w:rsidRPr="00D91496">
        <w:rPr>
          <w:rFonts w:ascii="標楷體" w:eastAsia="標楷體" w:hAnsi="標楷體"/>
          <w:color w:val="000000"/>
        </w:rPr>
        <w:t>0</w:t>
      </w:r>
      <w:r w:rsidRPr="00D91496">
        <w:rPr>
          <w:rFonts w:ascii="標楷體" w:eastAsia="標楷體" w:hAnsi="標楷體" w:hint="eastAsia"/>
          <w:color w:val="000000"/>
        </w:rPr>
        <w:t>切除)且查無轉移病灶者不得申請給付。(115/2/1)</w:t>
      </w:r>
    </w:p>
    <w:p w:rsidR="00D91496" w:rsidRPr="00D91496" w:rsidRDefault="00D91496" w:rsidP="00D91496">
      <w:pPr>
        <w:tabs>
          <w:tab w:val="left" w:pos="1418"/>
        </w:tabs>
        <w:spacing w:line="400" w:lineRule="exact"/>
        <w:ind w:left="849" w:hanging="283"/>
        <w:rPr>
          <w:rFonts w:ascii="標楷體" w:eastAsia="標楷體" w:hAnsi="標楷體"/>
          <w:color w:val="000000"/>
        </w:rPr>
      </w:pPr>
      <w:r w:rsidRPr="00D91496">
        <w:rPr>
          <w:rFonts w:ascii="標楷體" w:eastAsia="標楷體" w:hAnsi="標楷體" w:hint="eastAsia"/>
          <w:color w:val="000000"/>
        </w:rPr>
        <w:t>2.治療已接受過含 5 fluorouracil 、 irinotecan 及oxaliplatin二線以上之細胞毒性治療失敗、RAS原生型(wild-type)的轉移性直腸結腸癌的病人。需檢附All-RAS基因突變分析檢測報告，且需符合全民健康保險藥品給付規定之通則十二。 (115/2/1)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(1)病人先前未曾接受過抗表皮生長因子受體(anti-EGFR)藥品治療。</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(2)本藥品須經事前審查核准後使用，每次申請之療程以9週為限，再次申請必須提出客觀證據(如：影像學)證實無惡化，才可繼續使用。</w:t>
      </w:r>
    </w:p>
    <w:p w:rsidR="00B96EA0"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(3)使用總療程以 18 週為上限。</w:t>
      </w:r>
    </w:p>
    <w:p w:rsidR="002203D3" w:rsidRDefault="002203D3" w:rsidP="002203D3">
      <w:pPr>
        <w:tabs>
          <w:tab w:val="left" w:pos="1418"/>
        </w:tabs>
        <w:snapToGrid w:val="0"/>
        <w:spacing w:line="400" w:lineRule="exact"/>
        <w:ind w:left="763" w:hanging="480"/>
      </w:pPr>
      <w:bookmarkStart w:id="15" w:name="_Hlk209192279"/>
      <w:r>
        <w:rPr>
          <w:rFonts w:ascii="標楷體" w:eastAsia="標楷體" w:hAnsi="標楷體"/>
          <w:color w:val="000000"/>
          <w:szCs w:val="24"/>
        </w:rPr>
        <w:t>9.54.</w:t>
      </w:r>
      <w:r>
        <w:t xml:space="preserve"> </w:t>
      </w:r>
      <w:r>
        <w:rPr>
          <w:rFonts w:ascii="標楷體" w:eastAsia="標楷體" w:hAnsi="標楷體"/>
          <w:color w:val="000000"/>
          <w:szCs w:val="24"/>
        </w:rPr>
        <w:t>Enzalutamide（如Xtandi）：（105/9/1、106/9/1、108/3/1、109/10/1、110/3/1、</w:t>
      </w:r>
      <w:r>
        <w:rPr>
          <w:rFonts w:ascii="標楷體" w:eastAsia="標楷體" w:hAnsi="標楷體"/>
          <w:color w:val="000000"/>
          <w:szCs w:val="24"/>
        </w:rPr>
        <w:lastRenderedPageBreak/>
        <w:t>110/11/1、111/3/1、112/9/1、113/8/1、114/6/1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color w:val="000000"/>
          <w:szCs w:val="24"/>
        </w:rPr>
        <w:t>）</w:t>
      </w:r>
    </w:p>
    <w:p w:rsidR="002203D3" w:rsidRDefault="002203D3" w:rsidP="002203D3">
      <w:pPr>
        <w:snapToGrid w:val="0"/>
        <w:spacing w:line="400" w:lineRule="exact"/>
        <w:ind w:left="851" w:hanging="278"/>
        <w:rPr>
          <w:rFonts w:ascii="標楷體" w:eastAsia="標楷體" w:hAnsi="標楷體"/>
          <w:color w:val="000000"/>
          <w:szCs w:val="24"/>
        </w:rPr>
      </w:pPr>
      <w:r>
        <w:rPr>
          <w:rFonts w:ascii="標楷體" w:eastAsia="標楷體" w:hAnsi="標楷體"/>
          <w:color w:val="000000"/>
          <w:szCs w:val="24"/>
        </w:rPr>
        <w:t>1.治療高風險非轉移性去勢抗性前列腺癌(high risk nmCRPC)的成年男性。(112/9/1)</w:t>
      </w:r>
    </w:p>
    <w:p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(1)須經事前審查核准後使用。</w:t>
      </w:r>
    </w:p>
    <w:p w:rsidR="002203D3" w:rsidRDefault="002203D3" w:rsidP="002203D3">
      <w:pPr>
        <w:snapToGrid w:val="0"/>
        <w:spacing w:line="400" w:lineRule="exact"/>
        <w:ind w:left="1320" w:hanging="480"/>
        <w:rPr>
          <w:rFonts w:ascii="標楷體" w:eastAsia="標楷體" w:hAnsi="標楷體"/>
          <w:color w:val="000000"/>
          <w:szCs w:val="24"/>
        </w:rPr>
      </w:pPr>
      <w:r>
        <w:rPr>
          <w:rFonts w:ascii="標楷體" w:eastAsia="標楷體" w:hAnsi="標楷體"/>
          <w:color w:val="000000"/>
          <w:szCs w:val="24"/>
        </w:rPr>
        <w:t>(2)初次申請時需檢附病理報告、使用雄性素去除療法紀錄，系列PSA和睪固酮數據，三個月內影像報告證明無遠端轉移。</w:t>
      </w:r>
    </w:p>
    <w:p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(3)ECOG分數須≦1。</w:t>
      </w:r>
    </w:p>
    <w:p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(4)PSA doubling time≦10個月，PSA倍增之時間，應依線性回歸模型計算，且其參數取得需基於下列原則：</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Ⅲ.第一個和最後一個PSA測量值間隔需≧8週，但≦12個月。</w:t>
      </w:r>
    </w:p>
    <w:p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(5)每3個月需再次申請，申請之療程以3個月為限。再次申請時，有 PSA progression 者，需檢附影像學報告，若影像學報告證實轉移，則需停藥;無PSA progression 者，則每6個月需檢附影像學報告，若影像學報告證實轉移，則需停藥。</w:t>
      </w:r>
    </w:p>
    <w:p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註：</w:t>
      </w:r>
    </w:p>
    <w:p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PSA progression 定義為:PSA下降達最低值(nadir)後，出現 PSA 值上升較 nadir≧25%，且PSA≧2 ng/mL，並於至少3週後，再次抽血確認PSA值有上升趨勢。</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2.治療高風險轉移性的去勢敏感性前列腺癌(mCSPC)，且與雄性素去除療法併用，總療程以36個月為上限。高</w:t>
      </w:r>
      <w:r>
        <w:rPr>
          <w:rFonts w:ascii="標楷體" w:eastAsia="標楷體" w:hAnsi="標楷體"/>
          <w:szCs w:val="24"/>
        </w:rPr>
        <w:t>風險需符合下列三項條件中至少兩項：（111/3/1、113/8/1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szCs w:val="24"/>
        </w:rPr>
        <w:t>）</w:t>
      </w:r>
    </w:p>
    <w:p w:rsidR="002203D3" w:rsidRDefault="002203D3" w:rsidP="002203D3">
      <w:pPr>
        <w:tabs>
          <w:tab w:val="left" w:pos="567"/>
        </w:tabs>
        <w:snapToGrid w:val="0"/>
        <w:spacing w:line="400" w:lineRule="exact"/>
        <w:ind w:left="1274" w:hanging="420"/>
      </w:pPr>
      <w:r>
        <w:rPr>
          <w:rFonts w:ascii="標楷體" w:eastAsia="標楷體" w:hAnsi="標楷體"/>
          <w:szCs w:val="24"/>
        </w:rPr>
        <w:t>(1)葛里森分數(Gleason score)</w:t>
      </w:r>
      <w:r>
        <w:rPr>
          <w:rFonts w:ascii="標楷體" w:eastAsia="標楷體" w:hAnsi="標楷體" w:cs="新細明體"/>
          <w:szCs w:val="24"/>
        </w:rPr>
        <w:t>≧</w:t>
      </w:r>
      <w:r>
        <w:rPr>
          <w:rFonts w:ascii="標楷體" w:eastAsia="標楷體" w:hAnsi="標楷體"/>
          <w:szCs w:val="24"/>
        </w:rPr>
        <w:t>8。</w:t>
      </w:r>
    </w:p>
    <w:p w:rsidR="002203D3" w:rsidRDefault="002203D3" w:rsidP="002203D3">
      <w:pPr>
        <w:tabs>
          <w:tab w:val="left" w:pos="567"/>
        </w:tabs>
        <w:snapToGrid w:val="0"/>
        <w:spacing w:line="400" w:lineRule="exact"/>
        <w:ind w:left="1274" w:hanging="420"/>
      </w:pPr>
      <w:r>
        <w:rPr>
          <w:rFonts w:ascii="標楷體" w:eastAsia="標楷體" w:hAnsi="標楷體"/>
          <w:szCs w:val="24"/>
        </w:rPr>
        <w:t>(2)骨骼掃描出現三個(含)以上病灶且至少其中一處以上為非脊柱及非骨盆腔轉移。（111/3/1、113/8/1）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(3)出現內臟轉移。</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3.治療藥物或手術去勢抗性的轉移性前列腺癌(mCRPC)，且在雄性素去除療法失敗後屬無症狀或輕度症狀(ECOG分數0或1)，未曾接受化學治療者：(106/9/1)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8時，不得於使用化學治療前使用enzalutamide。(106/9/1)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(2)申請時需另檢附：(106/9/1)</w:t>
      </w:r>
    </w:p>
    <w:p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II.三個月內影像報告證明無臟器轉移。</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lastRenderedPageBreak/>
        <w:t>4.治療藥物或手術去勢抗性的轉移性前列腺癌(ECOG分數須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5.前述2、3</w:t>
      </w:r>
      <w:r>
        <w:rPr>
          <w:rFonts w:ascii="標楷體" w:eastAsia="標楷體" w:hAnsi="標楷體"/>
          <w:szCs w:val="24"/>
        </w:rPr>
        <w:t>、4</w:t>
      </w:r>
      <w:r>
        <w:rPr>
          <w:rFonts w:ascii="標楷體" w:eastAsia="標楷體" w:hAnsi="標楷體"/>
          <w:color w:val="000000"/>
          <w:szCs w:val="24"/>
        </w:rPr>
        <w:t>項須經事前審查核准後使用，每3個月需再次申請。（111/3/1、112/9/1）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6.去勢抗性前列腺癌(CRPC)病患若於化學治療前先使用過enzalutamide，當化學治療失敗後不得再申請使用enzalutamide。(106/9/1)</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7.不論病人處於轉移或非轉移的狀態下，新型荷爾蒙藥品(abiraterone、apalutamide、darolutamide和enzalutamide) 及olaparib 與 abiraterone併用，終生僅給付一種治療，且除非出現嚴重不耐受反應導致必須永久停止治療，不得互換。(112/9/1、114/6/1)</w:t>
      </w:r>
    </w:p>
    <w:p w:rsidR="00B96EA0" w:rsidRDefault="002203D3" w:rsidP="002203D3">
      <w:pPr>
        <w:tabs>
          <w:tab w:val="left" w:pos="851"/>
        </w:tabs>
        <w:snapToGrid w:val="0"/>
        <w:spacing w:line="400" w:lineRule="exact"/>
        <w:ind w:left="846" w:hanging="280"/>
      </w:pPr>
      <w:r>
        <w:rPr>
          <w:rFonts w:ascii="標楷體" w:eastAsia="標楷體" w:hAnsi="標楷體"/>
          <w:color w:val="000000"/>
          <w:szCs w:val="24"/>
        </w:rPr>
        <w:t>8.本品與radium-223 dichloride不得合併使用。(108/3/1)</w:t>
      </w:r>
      <w:bookmarkEnd w:id="15"/>
    </w:p>
    <w:p w:rsidR="0007073E" w:rsidRPr="001A2DB7" w:rsidRDefault="0007073E" w:rsidP="0007073E">
      <w:pPr>
        <w:autoSpaceDE w:val="0"/>
        <w:adjustRightInd w:val="0"/>
        <w:spacing w:line="400" w:lineRule="exact"/>
        <w:ind w:left="554" w:hangingChars="231" w:hanging="554"/>
        <w:rPr>
          <w:rFonts w:ascii="標楷體" w:eastAsia="標楷體" w:hAnsi="標楷體"/>
          <w:szCs w:val="24"/>
          <w:u w:val="single"/>
        </w:rPr>
      </w:pPr>
      <w:bookmarkStart w:id="16" w:name="_Hlk209192352"/>
      <w:r w:rsidRPr="001A2DB7">
        <w:rPr>
          <w:rFonts w:ascii="標楷體" w:eastAsia="標楷體" w:hAnsi="標楷體"/>
          <w:color w:val="000000"/>
          <w:kern w:val="0"/>
          <w:szCs w:val="24"/>
        </w:rPr>
        <w:t>9.55.Ruxolitinib(</w:t>
      </w:r>
      <w:r w:rsidRPr="001A2DB7">
        <w:rPr>
          <w:rFonts w:ascii="標楷體" w:eastAsia="標楷體" w:hAnsi="標楷體" w:hint="eastAsia"/>
          <w:color w:val="000000"/>
          <w:kern w:val="0"/>
          <w:szCs w:val="24"/>
        </w:rPr>
        <w:t>如</w:t>
      </w:r>
      <w:r w:rsidRPr="001A2DB7">
        <w:rPr>
          <w:rFonts w:ascii="標楷體" w:eastAsia="標楷體" w:hAnsi="標楷體"/>
          <w:color w:val="000000"/>
          <w:kern w:val="0"/>
          <w:szCs w:val="24"/>
        </w:rPr>
        <w:t>Jakavi)</w:t>
      </w:r>
      <w:r w:rsidRPr="001A2DB7">
        <w:rPr>
          <w:rFonts w:ascii="標楷體" w:eastAsia="標楷體" w:hAnsi="標楷體" w:hint="eastAsia"/>
          <w:kern w:val="0"/>
          <w:szCs w:val="24"/>
        </w:rPr>
        <w:t>：</w:t>
      </w:r>
      <w:r w:rsidRPr="001A2DB7">
        <w:rPr>
          <w:rFonts w:ascii="標楷體" w:eastAsia="標楷體" w:hAnsi="標楷體"/>
          <w:kern w:val="0"/>
          <w:szCs w:val="24"/>
        </w:rPr>
        <w:t>(105/10/1</w:t>
      </w:r>
      <w:r w:rsidRPr="001A2DB7">
        <w:rPr>
          <w:rFonts w:ascii="標楷體" w:eastAsia="標楷體" w:hAnsi="標楷體" w:hint="eastAsia"/>
          <w:kern w:val="0"/>
          <w:szCs w:val="24"/>
        </w:rPr>
        <w:t>、</w:t>
      </w:r>
      <w:r w:rsidRPr="001A2DB7">
        <w:rPr>
          <w:rFonts w:ascii="標楷體" w:eastAsia="標楷體" w:hAnsi="標楷體"/>
          <w:kern w:val="0"/>
          <w:szCs w:val="24"/>
        </w:rPr>
        <w:t>113/3/1</w:t>
      </w:r>
      <w:r w:rsidRPr="001A2DB7">
        <w:rPr>
          <w:rFonts w:ascii="標楷體" w:eastAsia="標楷體" w:hAnsi="標楷體" w:hint="eastAsia"/>
          <w:kern w:val="0"/>
          <w:szCs w:val="24"/>
        </w:rPr>
        <w:t>、</w:t>
      </w:r>
      <w:r w:rsidRPr="001A2DB7">
        <w:rPr>
          <w:rFonts w:ascii="標楷體" w:eastAsia="標楷體" w:hAnsi="標楷體"/>
          <w:kern w:val="0"/>
          <w:szCs w:val="24"/>
        </w:rPr>
        <w:t>113/6/1</w:t>
      </w:r>
      <w:r w:rsidRPr="001A2DB7">
        <w:rPr>
          <w:rFonts w:ascii="標楷體" w:eastAsia="標楷體" w:hAnsi="標楷體" w:hint="eastAsia"/>
          <w:kern w:val="0"/>
          <w:szCs w:val="24"/>
        </w:rPr>
        <w:t>、</w:t>
      </w:r>
      <w:r w:rsidRPr="001A2DB7">
        <w:rPr>
          <w:rFonts w:ascii="標楷體" w:eastAsia="標楷體" w:hAnsi="標楷體"/>
          <w:kern w:val="0"/>
          <w:szCs w:val="24"/>
        </w:rPr>
        <w:t>114/1/1</w:t>
      </w:r>
      <w:r w:rsidRPr="00EB5347">
        <w:rPr>
          <w:rFonts w:ascii="標楷體" w:eastAsia="標楷體" w:hAnsi="標楷體" w:hint="eastAsia"/>
          <w:kern w:val="0"/>
          <w:szCs w:val="24"/>
        </w:rPr>
        <w:t>、114</w:t>
      </w:r>
      <w:r w:rsidRPr="00EB5347">
        <w:rPr>
          <w:rFonts w:ascii="標楷體" w:eastAsia="標楷體" w:hAnsi="標楷體"/>
          <w:szCs w:val="24"/>
        </w:rPr>
        <w:t>/</w:t>
      </w:r>
      <w:r w:rsidRPr="00EB5347">
        <w:rPr>
          <w:rFonts w:ascii="標楷體" w:eastAsia="標楷體" w:hAnsi="標楷體" w:hint="eastAsia"/>
          <w:szCs w:val="24"/>
        </w:rPr>
        <w:t>10</w:t>
      </w:r>
      <w:r w:rsidRPr="00EB5347">
        <w:rPr>
          <w:rFonts w:ascii="標楷體" w:eastAsia="標楷體" w:hAnsi="標楷體"/>
          <w:szCs w:val="24"/>
        </w:rPr>
        <w:t>/1</w:t>
      </w:r>
      <w:r w:rsidRPr="001A2DB7">
        <w:rPr>
          <w:rFonts w:ascii="標楷體" w:eastAsia="標楷體" w:hAnsi="標楷體"/>
          <w:kern w:val="0"/>
          <w:szCs w:val="24"/>
        </w:rPr>
        <w:t>)</w:t>
      </w:r>
    </w:p>
    <w:p w:rsidR="0007073E" w:rsidRPr="001A2DB7" w:rsidRDefault="0007073E" w:rsidP="0007073E">
      <w:pPr>
        <w:autoSpaceDE w:val="0"/>
        <w:adjustRightInd w:val="0"/>
        <w:spacing w:line="400" w:lineRule="exact"/>
        <w:ind w:leftChars="146" w:left="566" w:hangingChars="90" w:hanging="216"/>
        <w:rPr>
          <w:rFonts w:ascii="標楷體" w:eastAsia="標楷體" w:hAnsi="標楷體"/>
          <w:kern w:val="0"/>
          <w:szCs w:val="24"/>
        </w:rPr>
      </w:pPr>
      <w:r w:rsidRPr="001A2DB7">
        <w:rPr>
          <w:rFonts w:ascii="標楷體" w:eastAsia="標楷體" w:hAnsi="標楷體"/>
          <w:kern w:val="0"/>
          <w:szCs w:val="24"/>
        </w:rPr>
        <w:t>1.</w:t>
      </w:r>
      <w:r w:rsidRPr="001A2DB7">
        <w:rPr>
          <w:rFonts w:ascii="標楷體" w:eastAsia="標楷體" w:hAnsi="標楷體" w:hint="eastAsia"/>
          <w:kern w:val="0"/>
          <w:szCs w:val="24"/>
        </w:rPr>
        <w:t>用於治療</w:t>
      </w:r>
      <w:r w:rsidRPr="001A2DB7">
        <w:rPr>
          <w:rFonts w:ascii="標楷體" w:eastAsia="標楷體" w:hAnsi="標楷體"/>
          <w:kern w:val="0"/>
          <w:szCs w:val="24"/>
        </w:rPr>
        <w:t xml:space="preserve">International Working </w:t>
      </w:r>
      <w:r w:rsidRPr="001A2DB7">
        <w:rPr>
          <w:rFonts w:ascii="標楷體" w:eastAsia="標楷體" w:hAnsi="標楷體" w:hint="eastAsia"/>
          <w:kern w:val="0"/>
          <w:szCs w:val="24"/>
        </w:rPr>
        <w:t xml:space="preserve"> </w:t>
      </w:r>
      <w:r w:rsidRPr="001A2DB7">
        <w:rPr>
          <w:rFonts w:ascii="標楷體" w:eastAsia="標楷體" w:hAnsi="標楷體"/>
          <w:kern w:val="0"/>
          <w:szCs w:val="24"/>
        </w:rPr>
        <w:t>Group(IWG) Consensus Criteria</w:t>
      </w:r>
      <w:r w:rsidRPr="001A2DB7">
        <w:rPr>
          <w:rFonts w:ascii="標楷體" w:eastAsia="標楷體" w:hAnsi="標楷體" w:hint="eastAsia"/>
          <w:kern w:val="0"/>
          <w:szCs w:val="24"/>
        </w:rPr>
        <w:t>中度風險</w:t>
      </w:r>
      <w:r w:rsidRPr="001A2DB7">
        <w:rPr>
          <w:rFonts w:ascii="標楷體" w:eastAsia="標楷體" w:hAnsi="標楷體"/>
          <w:kern w:val="0"/>
          <w:szCs w:val="24"/>
        </w:rPr>
        <w:t>-2</w:t>
      </w:r>
      <w:r w:rsidRPr="001A2DB7">
        <w:rPr>
          <w:rFonts w:ascii="標楷體" w:eastAsia="標楷體" w:hAnsi="標楷體" w:hint="eastAsia"/>
          <w:kern w:val="0"/>
          <w:szCs w:val="24"/>
        </w:rPr>
        <w:t>或高風險之骨髓纖維化，包括原發性骨髓纖維化、真性紅血球增多症後骨髓纖維化、或血小板增多症後骨髓纖維化等疾病所造成脾臟腫大</w:t>
      </w:r>
      <w:r w:rsidRPr="001A2DB7">
        <w:rPr>
          <w:rFonts w:ascii="標楷體" w:eastAsia="標楷體" w:hAnsi="標楷體"/>
          <w:kern w:val="0"/>
          <w:szCs w:val="24"/>
        </w:rPr>
        <w:t>(symptomatic splenomegaly)</w:t>
      </w:r>
      <w:r w:rsidRPr="001A2DB7">
        <w:rPr>
          <w:rFonts w:ascii="標楷體" w:eastAsia="標楷體" w:hAnsi="標楷體" w:hint="eastAsia"/>
          <w:kern w:val="0"/>
          <w:szCs w:val="24"/>
        </w:rPr>
        <w:t>及</w:t>
      </w:r>
      <w:r w:rsidRPr="001A2DB7">
        <w:rPr>
          <w:rFonts w:ascii="標楷體" w:eastAsia="標楷體" w:hAnsi="標楷體"/>
          <w:kern w:val="0"/>
          <w:szCs w:val="24"/>
        </w:rPr>
        <w:t>/</w:t>
      </w:r>
      <w:r w:rsidRPr="001A2DB7">
        <w:rPr>
          <w:rFonts w:ascii="標楷體" w:eastAsia="標楷體" w:hAnsi="標楷體" w:hint="eastAsia"/>
          <w:kern w:val="0"/>
          <w:szCs w:val="24"/>
        </w:rPr>
        <w:t>或其他相關全身症狀且不適於接受幹細胞移植</w:t>
      </w:r>
      <w:r w:rsidRPr="001A2DB7">
        <w:rPr>
          <w:rFonts w:ascii="標楷體" w:eastAsia="標楷體" w:hAnsi="標楷體" w:hint="eastAsia"/>
          <w:color w:val="000000"/>
          <w:kern w:val="0"/>
          <w:szCs w:val="24"/>
        </w:rPr>
        <w:t>的病人</w:t>
      </w:r>
      <w:r w:rsidRPr="001A2DB7">
        <w:rPr>
          <w:rFonts w:ascii="標楷體" w:eastAsia="標楷體" w:hAnsi="標楷體"/>
          <w:kern w:val="0"/>
          <w:szCs w:val="24"/>
        </w:rPr>
        <w:t>(stem cell transplantation)</w:t>
      </w:r>
      <w:r w:rsidRPr="001A2DB7">
        <w:rPr>
          <w:rFonts w:ascii="標楷體" w:eastAsia="標楷體" w:hAnsi="標楷體" w:hint="eastAsia"/>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(1)</w:t>
      </w:r>
      <w:r w:rsidRPr="001A2DB7">
        <w:rPr>
          <w:rFonts w:ascii="標楷體" w:eastAsia="標楷體" w:hAnsi="標楷體" w:hint="eastAsia"/>
        </w:rPr>
        <w:t>需經事前審查核准後使用，每次申請之療程以</w:t>
      </w:r>
      <w:r w:rsidRPr="001A2DB7">
        <w:rPr>
          <w:rFonts w:ascii="標楷體" w:eastAsia="標楷體" w:hAnsi="標楷體"/>
        </w:rPr>
        <w:t>6</w:t>
      </w:r>
      <w:r w:rsidRPr="001A2DB7">
        <w:rPr>
          <w:rFonts w:ascii="標楷體" w:eastAsia="標楷體" w:hAnsi="標楷體" w:hint="eastAsia"/>
        </w:rPr>
        <w:t>個月為限，送審時需檢送影像資料及症狀改善之病歷紀錄，每</w:t>
      </w:r>
      <w:r w:rsidRPr="001A2DB7">
        <w:rPr>
          <w:rFonts w:ascii="標楷體" w:eastAsia="標楷體" w:hAnsi="標楷體"/>
        </w:rPr>
        <w:t>6</w:t>
      </w:r>
      <w:r w:rsidRPr="001A2DB7">
        <w:rPr>
          <w:rFonts w:ascii="標楷體" w:eastAsia="標楷體" w:hAnsi="標楷體" w:hint="eastAsia"/>
        </w:rPr>
        <w:t>個月評估一次。</w:t>
      </w:r>
    </w:p>
    <w:p w:rsidR="0007073E" w:rsidRPr="001A2DB7" w:rsidRDefault="0007073E" w:rsidP="0007073E">
      <w:pPr>
        <w:autoSpaceDE w:val="0"/>
        <w:adjustRightInd w:val="0"/>
        <w:spacing w:line="400" w:lineRule="exact"/>
        <w:ind w:leftChars="262" w:left="991" w:hangingChars="151" w:hanging="362"/>
        <w:rPr>
          <w:rFonts w:ascii="標楷體" w:eastAsia="標楷體" w:hAnsi="標楷體"/>
          <w:color w:val="000000"/>
          <w:kern w:val="0"/>
          <w:szCs w:val="24"/>
        </w:rPr>
      </w:pPr>
      <w:r w:rsidRPr="001A2DB7">
        <w:rPr>
          <w:rFonts w:ascii="標楷體" w:eastAsia="標楷體" w:hAnsi="標楷體"/>
          <w:color w:val="000000"/>
          <w:kern w:val="0"/>
          <w:szCs w:val="24"/>
        </w:rPr>
        <w:t>(2)</w:t>
      </w:r>
      <w:r w:rsidRPr="001A2DB7">
        <w:rPr>
          <w:rFonts w:ascii="標楷體" w:eastAsia="標楷體" w:hAnsi="標楷體" w:hint="eastAsia"/>
          <w:color w:val="000000"/>
          <w:kern w:val="0"/>
          <w:szCs w:val="24"/>
        </w:rPr>
        <w:t>用藥後第一次評估時，需達到症狀反應</w:t>
      </w:r>
      <w:r w:rsidRPr="001A2DB7">
        <w:rPr>
          <w:rFonts w:ascii="標楷體" w:eastAsia="標楷體" w:hAnsi="標楷體"/>
          <w:color w:val="000000"/>
          <w:kern w:val="0"/>
          <w:szCs w:val="24"/>
        </w:rPr>
        <w:t>(symptom response)</w:t>
      </w:r>
      <w:r w:rsidRPr="001A2DB7">
        <w:rPr>
          <w:rFonts w:ascii="標楷體" w:eastAsia="標楷體" w:hAnsi="標楷體" w:hint="eastAsia"/>
          <w:color w:val="000000"/>
          <w:kern w:val="0"/>
          <w:szCs w:val="24"/>
        </w:rPr>
        <w:t>或脾臟體積無惡化兩者之一，且同時無</w:t>
      </w:r>
      <w:r w:rsidRPr="001A2DB7">
        <w:rPr>
          <w:rFonts w:ascii="標楷體" w:eastAsia="標楷體" w:hAnsi="標楷體"/>
          <w:color w:val="000000"/>
          <w:kern w:val="0"/>
          <w:szCs w:val="24"/>
        </w:rPr>
        <w:t>AML tranformation</w:t>
      </w:r>
      <w:r w:rsidRPr="001A2DB7">
        <w:rPr>
          <w:rFonts w:ascii="標楷體" w:eastAsia="標楷體" w:hAnsi="標楷體" w:hint="eastAsia"/>
          <w:color w:val="000000"/>
          <w:kern w:val="0"/>
          <w:szCs w:val="24"/>
        </w:rPr>
        <w:t>，方得以繼續使用。分別定義如下：</w:t>
      </w:r>
      <w:r w:rsidRPr="001A2DB7">
        <w:rPr>
          <w:rFonts w:ascii="標楷體" w:eastAsia="標楷體" w:hAnsi="標楷體"/>
          <w:color w:val="000000"/>
          <w:kern w:val="0"/>
          <w:szCs w:val="24"/>
        </w:rPr>
        <w:t>(113/6/1)</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症狀反應：</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與治療前基準值相比，需下降超過</w:t>
      </w:r>
      <w:r w:rsidRPr="001A2DB7">
        <w:rPr>
          <w:rFonts w:ascii="標楷體" w:eastAsia="標楷體" w:hAnsi="標楷體"/>
          <w:color w:val="000000"/>
          <w:kern w:val="0"/>
          <w:szCs w:val="24"/>
        </w:rPr>
        <w:t>50%</w:t>
      </w:r>
      <w:r w:rsidRPr="001A2DB7">
        <w:rPr>
          <w:rFonts w:ascii="標楷體" w:eastAsia="標楷體" w:hAnsi="標楷體" w:hint="eastAsia"/>
          <w:color w:val="000000"/>
          <w:kern w:val="0"/>
          <w:szCs w:val="24"/>
        </w:rPr>
        <w:t>。</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脾臟體積無惡化：使用電腦斷層評估，脾臟長度未增加超過治療前基準值之</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(3)</w:t>
      </w:r>
      <w:r w:rsidRPr="001A2DB7">
        <w:rPr>
          <w:rFonts w:ascii="標楷體" w:eastAsia="標楷體" w:hAnsi="標楷體" w:hint="eastAsia"/>
        </w:rPr>
        <w:t>用藥後第二次及其後的評估，必須顯示無疾病惡化（無症狀惡化且脾臟體積無惡化，並同時無</w:t>
      </w:r>
      <w:r w:rsidRPr="001A2DB7">
        <w:rPr>
          <w:rFonts w:ascii="標楷體" w:eastAsia="標楷體" w:hAnsi="標楷體"/>
        </w:rPr>
        <w:t>AML transformation</w:t>
      </w:r>
      <w:r w:rsidRPr="001A2DB7">
        <w:rPr>
          <w:rFonts w:ascii="標楷體" w:eastAsia="標楷體" w:hAnsi="標楷體" w:hint="eastAsia"/>
        </w:rPr>
        <w:t>），方得以繼續使用。分別定義如下：</w:t>
      </w:r>
      <w:r w:rsidRPr="001A2DB7">
        <w:rPr>
          <w:rFonts w:ascii="標楷體" w:eastAsia="標楷體" w:hAnsi="標楷體"/>
        </w:rPr>
        <w:t>(113/6/1)</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無症狀惡化：未出現新症狀，且</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未超過治療前的基準值。</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lastRenderedPageBreak/>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脾臟體積無惡化：使用電腦斷層評估，脾臟長度未增加超過最佳反應</w:t>
      </w:r>
      <w:r w:rsidRPr="001A2DB7">
        <w:rPr>
          <w:rFonts w:ascii="標楷體" w:eastAsia="標楷體" w:hAnsi="標楷體"/>
          <w:color w:val="000000"/>
          <w:kern w:val="0"/>
          <w:szCs w:val="24"/>
        </w:rPr>
        <w:t>(best response)</w:t>
      </w:r>
      <w:r w:rsidRPr="001A2DB7">
        <w:rPr>
          <w:rFonts w:ascii="標楷體" w:eastAsia="標楷體" w:hAnsi="標楷體" w:hint="eastAsia"/>
          <w:color w:val="000000"/>
          <w:kern w:val="0"/>
          <w:szCs w:val="24"/>
        </w:rPr>
        <w:t>時之脾臟長度</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(4)Jakavi 5mg</w:t>
      </w:r>
      <w:r w:rsidRPr="001A2DB7">
        <w:rPr>
          <w:rFonts w:ascii="標楷體" w:eastAsia="標楷體" w:hAnsi="標楷體" w:hint="eastAsia"/>
        </w:rPr>
        <w:t>每日限最多使用</w:t>
      </w:r>
      <w:r w:rsidRPr="001A2DB7">
        <w:rPr>
          <w:rFonts w:ascii="標楷體" w:eastAsia="標楷體" w:hAnsi="標楷體"/>
        </w:rPr>
        <w:t>4</w:t>
      </w:r>
      <w:r w:rsidRPr="001A2DB7">
        <w:rPr>
          <w:rFonts w:ascii="標楷體" w:eastAsia="標楷體" w:hAnsi="標楷體" w:hint="eastAsia"/>
        </w:rPr>
        <w:t>粒，</w:t>
      </w:r>
      <w:r w:rsidRPr="001A2DB7">
        <w:rPr>
          <w:rFonts w:ascii="標楷體" w:eastAsia="標楷體" w:hAnsi="標楷體"/>
        </w:rPr>
        <w:t>Jakavi 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每日限最多使用</w:t>
      </w:r>
      <w:r w:rsidRPr="001A2DB7">
        <w:rPr>
          <w:rFonts w:ascii="標楷體" w:eastAsia="標楷體" w:hAnsi="標楷體"/>
        </w:rPr>
        <w:t>2</w:t>
      </w:r>
      <w:r w:rsidRPr="001A2DB7">
        <w:rPr>
          <w:rFonts w:ascii="標楷體" w:eastAsia="標楷體" w:hAnsi="標楷體" w:hint="eastAsia"/>
        </w:rPr>
        <w:t>粒，且其</w:t>
      </w:r>
      <w:r w:rsidRPr="001A2DB7">
        <w:rPr>
          <w:rFonts w:ascii="標楷體" w:eastAsia="標楷體" w:hAnsi="標楷體"/>
        </w:rPr>
        <w:t>5mg</w:t>
      </w:r>
      <w:r w:rsidRPr="001A2DB7">
        <w:rPr>
          <w:rFonts w:ascii="標楷體" w:eastAsia="標楷體" w:hAnsi="標楷體" w:hint="eastAsia"/>
        </w:rPr>
        <w:t>不得與</w:t>
      </w:r>
      <w:r w:rsidRPr="001A2DB7">
        <w:rPr>
          <w:rFonts w:ascii="標楷體" w:eastAsia="標楷體" w:hAnsi="標楷體"/>
        </w:rPr>
        <w:t>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併用。</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(5)</w:t>
      </w:r>
      <w:r w:rsidRPr="001A2DB7">
        <w:rPr>
          <w:rFonts w:ascii="標楷體" w:eastAsia="標楷體" w:hAnsi="標楷體" w:hint="eastAsia"/>
        </w:rPr>
        <w:t>本藥品與</w:t>
      </w:r>
      <w:r w:rsidRPr="001A2DB7">
        <w:rPr>
          <w:rFonts w:ascii="標楷體" w:eastAsia="標楷體" w:hAnsi="標楷體"/>
        </w:rPr>
        <w:t>fedratinib</w:t>
      </w:r>
      <w:r w:rsidRPr="00EB5347">
        <w:rPr>
          <w:rFonts w:ascii="標楷體" w:eastAsia="標楷體" w:hAnsi="標楷體" w:hint="eastAsia"/>
        </w:rPr>
        <w:t>、</w:t>
      </w:r>
      <w:r w:rsidRPr="00EB5347">
        <w:rPr>
          <w:rFonts w:ascii="標楷體" w:eastAsia="標楷體" w:hAnsi="標楷體"/>
        </w:rPr>
        <w:t>momelotinib</w:t>
      </w:r>
      <w:r w:rsidRPr="00EB5347">
        <w:rPr>
          <w:rFonts w:ascii="標楷體" w:eastAsia="標楷體" w:hAnsi="標楷體" w:hint="eastAsia"/>
        </w:rPr>
        <w:t>用於中度風險或高風險之骨髓纖維化治療時，僅得擇一給付。f</w:t>
      </w:r>
      <w:r w:rsidRPr="00EB5347">
        <w:rPr>
          <w:rFonts w:ascii="標楷體" w:eastAsia="標楷體" w:hAnsi="標楷體"/>
        </w:rPr>
        <w:t>edratinib</w:t>
      </w:r>
      <w:r w:rsidRPr="00EB5347">
        <w:rPr>
          <w:rFonts w:ascii="標楷體" w:eastAsia="標楷體" w:hAnsi="標楷體" w:hint="eastAsia"/>
        </w:rPr>
        <w:t>、</w:t>
      </w:r>
      <w:r w:rsidRPr="00EB5347">
        <w:rPr>
          <w:rFonts w:ascii="標楷體" w:eastAsia="標楷體" w:hAnsi="標楷體"/>
        </w:rPr>
        <w:t>momelotinib</w:t>
      </w:r>
      <w:r w:rsidRPr="001A2DB7">
        <w:rPr>
          <w:rFonts w:ascii="標楷體" w:eastAsia="標楷體" w:hAnsi="標楷體" w:hint="eastAsia"/>
        </w:rPr>
        <w:t>治療後如疾病惡化不得換用本藥品。</w:t>
      </w:r>
      <w:r w:rsidRPr="001A2DB7">
        <w:rPr>
          <w:rFonts w:ascii="標楷體" w:eastAsia="標楷體" w:hAnsi="標楷體"/>
        </w:rPr>
        <w:t>(114/1/1</w:t>
      </w:r>
      <w:r w:rsidRPr="00EB5347">
        <w:rPr>
          <w:rFonts w:ascii="標楷體" w:eastAsia="標楷體" w:hAnsi="標楷體" w:hint="eastAsia"/>
        </w:rPr>
        <w:t>、114</w:t>
      </w:r>
      <w:r w:rsidRPr="00EB5347">
        <w:rPr>
          <w:rFonts w:ascii="標楷體" w:eastAsia="標楷體" w:hAnsi="標楷體"/>
        </w:rPr>
        <w:t>/</w:t>
      </w:r>
      <w:r w:rsidRPr="00EB5347">
        <w:rPr>
          <w:rFonts w:ascii="標楷體" w:eastAsia="標楷體" w:hAnsi="標楷體" w:hint="eastAsia"/>
        </w:rPr>
        <w:t>10</w:t>
      </w:r>
      <w:r w:rsidRPr="00EB5347">
        <w:rPr>
          <w:rFonts w:ascii="標楷體" w:eastAsia="標楷體" w:hAnsi="標楷體"/>
        </w:rPr>
        <w:t>/1</w:t>
      </w:r>
      <w:r w:rsidRPr="001A2DB7">
        <w:rPr>
          <w:rFonts w:ascii="標楷體" w:eastAsia="標楷體" w:hAnsi="標楷體"/>
        </w:rPr>
        <w:t>)</w:t>
      </w:r>
    </w:p>
    <w:p w:rsidR="0007073E" w:rsidRPr="001A2DB7" w:rsidRDefault="0007073E" w:rsidP="0007073E">
      <w:pPr>
        <w:suppressAutoHyphens w:val="0"/>
        <w:autoSpaceDE w:val="0"/>
        <w:adjustRightInd w:val="0"/>
        <w:spacing w:line="400" w:lineRule="exact"/>
        <w:ind w:leftChars="146" w:left="566" w:hangingChars="90" w:hanging="216"/>
        <w:textAlignment w:val="auto"/>
        <w:rPr>
          <w:rFonts w:ascii="標楷體" w:eastAsia="標楷體" w:hAnsi="標楷體"/>
          <w:color w:val="000000"/>
          <w:szCs w:val="24"/>
        </w:rPr>
      </w:pPr>
      <w:r w:rsidRPr="001A2DB7">
        <w:rPr>
          <w:rFonts w:ascii="標楷體" w:eastAsia="標楷體" w:hAnsi="標楷體"/>
          <w:color w:val="000000"/>
          <w:szCs w:val="24"/>
        </w:rPr>
        <w:t>2.移植物抗宿主疾病，限用Jakavi 5mg，每日最多使用4 粒。(113/3/1)</w:t>
      </w:r>
    </w:p>
    <w:p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(1)用於治療</w:t>
      </w:r>
      <w:r w:rsidRPr="001A2DB7">
        <w:rPr>
          <w:rFonts w:ascii="標楷體" w:eastAsia="標楷體" w:hAnsi="標楷體"/>
          <w:color w:val="auto"/>
        </w:rPr>
        <w:t>12</w:t>
      </w:r>
      <w:r w:rsidRPr="001A2DB7">
        <w:rPr>
          <w:rFonts w:ascii="標楷體" w:eastAsia="標楷體" w:hAnsi="標楷體"/>
          <w:kern w:val="3"/>
        </w:rPr>
        <w:t>歲以上之青少年及成人，且先前曾接受皮質類固醇(corticosteroids)後反應不佳的第2級(含)以上急性移植物抗宿主疾病(acute graft-versus-host disease,GvHD)病人。</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Ⅰ.首次治療，可免事前審查，以28天為限，但須於病歷記載診斷、嚴重度評估以及先前藥物治療反應評估。若使用後疾病持續進展，即不得再使用。</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Ⅱ.續用時需經事前審查核准後使用，限續申請一次並以2個月為限，申請時須檢附先前治療處方紀錄及療效評估。用藥後，若有疾病持續進展，則應停藥。</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Ⅲ.使用總療程以3個月為上限。</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Ⅳ.若後續轉變為慢性移植物抗宿主疾病（chronic GvHD）時，需依慢性移植物抗宿主疾病之給付規定申請。</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ⅰ</w:t>
      </w:r>
      <w:r w:rsidRPr="001A2DB7">
        <w:rPr>
          <w:rFonts w:ascii="標楷體" w:eastAsia="標楷體" w:hAnsi="標楷體"/>
          <w:color w:val="000000"/>
          <w:szCs w:val="24"/>
        </w:rPr>
        <w:t>.≧1mg/kg/day methylprednisolone (or equivalent prednisone dose) 3天後，疾病仍持續進展。</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ⅱ</w:t>
      </w:r>
      <w:r w:rsidRPr="001A2DB7">
        <w:rPr>
          <w:rFonts w:ascii="標楷體" w:eastAsia="標楷體" w:hAnsi="標楷體"/>
          <w:color w:val="000000"/>
          <w:szCs w:val="24"/>
        </w:rPr>
        <w:t>.≧1mg/kg/day methylprednisolone (or equivalent prednisone dose) 開始的5天後未見改善。</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ⅲ</w:t>
      </w:r>
      <w:r w:rsidRPr="001A2DB7">
        <w:rPr>
          <w:rFonts w:ascii="標楷體" w:eastAsia="標楷體" w:hAnsi="標楷體"/>
          <w:color w:val="000000"/>
          <w:szCs w:val="24"/>
        </w:rPr>
        <w:t>.發生皮質類固醇依賴性：在逐漸調降皮質類固醇期間，無法將methylprednisolone (or equivalent prednisone dose)劑量調降&lt;0.5mg/kg/day維持至少7天。</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ⅳ</w:t>
      </w:r>
      <w:r w:rsidRPr="001A2DB7">
        <w:rPr>
          <w:rFonts w:ascii="標楷體" w:eastAsia="標楷體" w:hAnsi="標楷體"/>
          <w:color w:val="000000"/>
          <w:szCs w:val="24"/>
        </w:rPr>
        <w:t>.發生皮質類固醇不耐受性：初始治療後，發生CTCAE G3之嚴重不良反應情形。</w:t>
      </w:r>
    </w:p>
    <w:p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(2)用於治療12歲以上之青少年及成人，且先前曾接受皮質類固醇(corticosteroids)後反應不佳的慢性移植物抗宿主疾病(chronic graft-versus-host disease,GvHD)病人。</w:t>
      </w:r>
    </w:p>
    <w:p w:rsidR="0007073E" w:rsidRPr="001A2DB7" w:rsidRDefault="0007073E" w:rsidP="0007073E">
      <w:pPr>
        <w:spacing w:line="400" w:lineRule="exact"/>
        <w:ind w:left="1418" w:hanging="284"/>
        <w:rPr>
          <w:rFonts w:ascii="標楷體" w:eastAsia="標楷體" w:hAnsi="標楷體"/>
          <w:color w:val="000000"/>
          <w:szCs w:val="24"/>
        </w:rPr>
      </w:pPr>
      <w:r w:rsidRPr="001A2DB7">
        <w:rPr>
          <w:rFonts w:ascii="標楷體" w:eastAsia="標楷體" w:hAnsi="標楷體"/>
          <w:color w:val="000000"/>
          <w:szCs w:val="24"/>
        </w:rPr>
        <w:t>Ⅰ.限用於發生肺部之慢性移植物抗宿主疾病，須同時符合下列條件:</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.肺功能檢查之FEV1&lt;80%。</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.檢附CT報告帶有 air trapping, small airway thickening或</w:t>
      </w:r>
      <w:r w:rsidRPr="001A2DB7">
        <w:rPr>
          <w:rFonts w:ascii="標楷體" w:eastAsia="標楷體" w:hAnsi="標楷體" w:cs="新細明體"/>
          <w:color w:val="000000"/>
          <w:szCs w:val="24"/>
        </w:rPr>
        <w:lastRenderedPageBreak/>
        <w:t>bronchiectasis 等肺部侵犯的表徵。</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Ⅱ.需經事前審查核准後使用。</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Ⅲ.第一次療程為3個月，續用申請之療程以3個月為限，送審時需檢送療效評估，每3個月評估一次。用藥後，若有疾病持續進展，則不予同意使用。</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Ⅳ.使用總療程以24個月為上限。</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 xml:space="preserve">.每日施用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治療至少7天後，疾病仍持續進展。</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 xml:space="preserve">.每日平均施用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(或隔日</w:t>
      </w:r>
      <w:r w:rsidRPr="001A2DB7">
        <w:rPr>
          <w:rFonts w:eastAsia="標楷體"/>
          <w:color w:val="000000"/>
          <w:szCs w:val="24"/>
        </w:rPr>
        <w:t>≥</w:t>
      </w:r>
      <w:r w:rsidRPr="001A2DB7">
        <w:rPr>
          <w:rFonts w:ascii="標楷體" w:eastAsia="標楷體" w:hAnsi="標楷體" w:cs="新細明體"/>
          <w:color w:val="000000"/>
          <w:szCs w:val="24"/>
        </w:rPr>
        <w:t>1 mg/kg) ，治療至少1個月後，疾病仍未改善。</w:t>
      </w:r>
    </w:p>
    <w:p w:rsidR="0007073E" w:rsidRPr="001A2DB7" w:rsidRDefault="0007073E" w:rsidP="0007073E">
      <w:pPr>
        <w:spacing w:line="400" w:lineRule="exact"/>
        <w:ind w:left="1900" w:hanging="340"/>
        <w:rPr>
          <w:rFonts w:ascii="標楷體" w:eastAsia="標楷體" w:hAnsi="標楷體" w:cs="新細明體"/>
          <w:color w:val="000000"/>
          <w:szCs w:val="24"/>
        </w:rPr>
      </w:pPr>
      <w:r w:rsidRPr="001A2DB7">
        <w:rPr>
          <w:rFonts w:ascii="新細明體" w:hAnsi="新細明體" w:cs="新細明體"/>
          <w:color w:val="000000"/>
          <w:szCs w:val="24"/>
        </w:rPr>
        <w:t>ⅲ</w:t>
      </w:r>
      <w:r w:rsidRPr="001A2DB7">
        <w:rPr>
          <w:rFonts w:ascii="標楷體" w:eastAsia="標楷體" w:hAnsi="標楷體" w:cs="新細明體"/>
          <w:color w:val="000000"/>
          <w:szCs w:val="24"/>
        </w:rPr>
        <w:t>.發生皮質類固醇依賴性：在逐漸調降皮質類固醇期間，無法將劑量調降至每日0.25 mg/kg 以下維持至少7 天。</w:t>
      </w:r>
    </w:p>
    <w:p w:rsidR="00B96EA0" w:rsidRDefault="0007073E" w:rsidP="0007073E">
      <w:pPr>
        <w:spacing w:line="400" w:lineRule="exact"/>
        <w:ind w:left="1900" w:hanging="340"/>
      </w:pPr>
      <w:r w:rsidRPr="001A2DB7">
        <w:rPr>
          <w:rFonts w:ascii="新細明體" w:hAnsi="新細明體" w:cs="新細明體"/>
          <w:szCs w:val="24"/>
        </w:rPr>
        <w:t>ⅳ</w:t>
      </w:r>
      <w:r w:rsidRPr="001A2DB7">
        <w:rPr>
          <w:rFonts w:ascii="標楷體" w:eastAsia="標楷體" w:hAnsi="標楷體" w:cs="新細明體"/>
          <w:szCs w:val="24"/>
        </w:rPr>
        <w:t>.發生皮質類固醇不耐受性:初始治療後，發生 CTCAE G3 嚴重不良反應之情形。</w:t>
      </w:r>
      <w:bookmarkEnd w:id="16"/>
    </w:p>
    <w:p w:rsidR="008B0582" w:rsidRDefault="007D66B8" w:rsidP="008B0582">
      <w:pPr>
        <w:tabs>
          <w:tab w:val="left" w:pos="1418"/>
        </w:tabs>
        <w:spacing w:line="400" w:lineRule="exact"/>
        <w:ind w:left="567" w:hanging="228"/>
        <w:rPr>
          <w:rFonts w:ascii="標楷體" w:eastAsia="標楷體" w:hAnsi="標楷體"/>
          <w:color w:val="000000"/>
        </w:rPr>
      </w:pPr>
      <w:r>
        <w:rPr>
          <w:rFonts w:ascii="標楷體" w:eastAsia="標楷體" w:hAnsi="標楷體"/>
          <w:color w:val="000000"/>
        </w:rPr>
        <w:t>9.56.</w:t>
      </w:r>
      <w:r w:rsidR="008B0582" w:rsidRPr="008B0582">
        <w:rPr>
          <w:rFonts w:ascii="標楷體" w:eastAsia="標楷體" w:hAnsi="標楷體"/>
          <w:color w:val="000000"/>
        </w:rPr>
        <w:t xml:space="preserve"> </w:t>
      </w:r>
      <w:r w:rsidR="008B0582">
        <w:rPr>
          <w:rFonts w:ascii="標楷體" w:eastAsia="標楷體" w:hAnsi="標楷體"/>
          <w:color w:val="000000"/>
        </w:rPr>
        <w:t>Brentuximab vedotin(如Adcetris)：(105/10/1、106/4/1、109/2/1、111/2/1</w:t>
      </w:r>
      <w:r w:rsidR="008B0582">
        <w:rPr>
          <w:rFonts w:ascii="標楷體" w:eastAsia="標楷體" w:hAnsi="標楷體" w:hint="eastAsia"/>
          <w:color w:val="000000"/>
        </w:rPr>
        <w:t>、114/12/1</w:t>
      </w:r>
      <w:r w:rsidR="008B0582">
        <w:rPr>
          <w:rFonts w:ascii="標楷體" w:eastAsia="標楷體" w:hAnsi="標楷體"/>
          <w:color w:val="000000"/>
        </w:rPr>
        <w:t xml:space="preserve">) </w:t>
      </w:r>
    </w:p>
    <w:p w:rsidR="008B0582" w:rsidRDefault="008B0582" w:rsidP="008B0582">
      <w:pPr>
        <w:tabs>
          <w:tab w:val="left" w:pos="1418"/>
        </w:tabs>
        <w:spacing w:line="400" w:lineRule="exact"/>
        <w:ind w:left="1133" w:hanging="228"/>
        <w:rPr>
          <w:rFonts w:ascii="標楷體" w:eastAsia="標楷體" w:hAnsi="標楷體"/>
          <w:color w:val="000000"/>
        </w:rPr>
      </w:pPr>
      <w:r>
        <w:rPr>
          <w:rFonts w:ascii="標楷體" w:eastAsia="標楷體" w:hAnsi="標楷體"/>
          <w:color w:val="000000"/>
        </w:rPr>
        <w:t>限用於成人患者：</w:t>
      </w:r>
    </w:p>
    <w:p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1.何杰金氏淋巴瘤(HL)：（111/2/1)</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(1)與doxorubicin、vinblastine和dacarbazine併用適用於先前未曾接受治療，且IPS (International Prognostic Score)為4-7 分的CD30+第IV期何杰金氏淋巴瘤(HL)成人病人。（111/2/1）</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(2)CD30+何杰金氏淋巴瘤(HL)病患接受ASCT後仍具有高復發風險之病患：需先前未曾使用過本品，並於ASCT前具有下列任一危險因子者：(109/2/1)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Ⅰ.對於第1線治療未達完全緩解。</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Ⅱ.第1線治療結束後12個月內復發或惡化。</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Ⅲ.ASCT前出現的復發具有淋巴結外侵犯。</w:t>
      </w:r>
    </w:p>
    <w:p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 xml:space="preserve">(3)治療復發或頑固型CD30+何杰金氏淋巴瘤(HL)： </w:t>
      </w:r>
    </w:p>
    <w:p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Ⅰ.已接受自體幹細胞移植(ASCT)，或</w:t>
      </w:r>
    </w:p>
    <w:p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Ⅱ.無法使用ASCT或多重藥物化療，且先前至少已接受兩種治療。</w:t>
      </w:r>
    </w:p>
    <w:p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(4)須經事前審查核准後使用：</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Ⅱ.前述(2)之病患：每次申請療程以4個療程為限，再申請應檢附疾病無惡化之評估資料，若病情惡化即須停止使用。曾依本項核准使用之病患，若之後疾</w:t>
      </w:r>
      <w:r>
        <w:rPr>
          <w:rFonts w:ascii="標楷體" w:eastAsia="標楷體" w:hAnsi="標楷體"/>
          <w:color w:val="000000"/>
        </w:rPr>
        <w:lastRenderedPageBreak/>
        <w:t>病惡化或復發後將不再給付本藥品。(109/2/1、111/2/1)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Ⅲ.前述(3)之病患：每次申請療程以4個療程為限，再申請應檢附前次治療結果評估資料。若病人病情已達完全緩解，得再給付4個療程;若病情惡化即須停止使用。(106/4/1、109/2/1、111/2/1)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Ⅳ.同一病患於前述（1）、（2）及（3）之終身給付療程數以總共16個療程為上限。(111/2/1)</w:t>
      </w:r>
    </w:p>
    <w:p w:rsidR="008B0582" w:rsidRDefault="008B0582" w:rsidP="008B0582">
      <w:pPr>
        <w:tabs>
          <w:tab w:val="left" w:pos="851"/>
        </w:tabs>
        <w:spacing w:line="400" w:lineRule="exact"/>
        <w:ind w:left="993" w:hanging="370"/>
        <w:rPr>
          <w:rFonts w:ascii="標楷體" w:eastAsia="標楷體" w:hAnsi="標楷體"/>
          <w:color w:val="000000"/>
        </w:rPr>
      </w:pPr>
      <w:r>
        <w:rPr>
          <w:rFonts w:ascii="標楷體" w:eastAsia="標楷體" w:hAnsi="標楷體"/>
          <w:color w:val="000000"/>
        </w:rPr>
        <w:t>2.全身性退行分化型大細胞淋巴瘤(systemic anaplastic large cell lymphoma；sALCL)：（111/2/1)</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(1)與cyclophosphamide、doxorubicin和prednisone併用適用於先前未曾接受治療且為ALK陰性的全身性退行分化型大細胞淋巴瘤(systemic anaplastic large cell lymphoma；sALCL)成人病人。（111/2/1）</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(2)治療復發或頑固型全身性退行分化型大細胞淋巴瘤(systemic anaplastic large cell lymphoma；sALCL)。</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(3)須經事前審查核准後使用：</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Ⅱ.前述(2)之病患：每次申請療程以4個療程為限，再申請應檢附前次治療結果評估資料。若病人病情已達完全緩解，得再給付4個療程;若病情惡化即須停止使用。(106/4/1、109/2/1、111/2/1)</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Ⅲ.同一病患於前述(1)及(2)之終身給付療程數以總共16個療程為上限。(111/2/1)</w:t>
      </w:r>
    </w:p>
    <w:p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3.CD30+皮膚T細胞淋巴瘤(CTCL)：（111/2/1</w:t>
      </w:r>
      <w:r>
        <w:rPr>
          <w:rFonts w:ascii="標楷體" w:eastAsia="標楷體" w:hAnsi="標楷體" w:hint="eastAsia"/>
          <w:color w:val="000000"/>
        </w:rPr>
        <w:t>、114/12/1</w:t>
      </w:r>
      <w:r>
        <w:rPr>
          <w:rFonts w:ascii="標楷體" w:eastAsia="標楷體" w:hAnsi="標楷體"/>
          <w:color w:val="000000"/>
        </w:rPr>
        <w:t>）</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(1)單獨用於先前已接受照光療法與至少一種注射型</w:t>
      </w:r>
      <w:r>
        <w:rPr>
          <w:rFonts w:ascii="標楷體" w:eastAsia="標楷體" w:hAnsi="標楷體" w:hint="eastAsia"/>
          <w:color w:val="000000"/>
        </w:rPr>
        <w:t>(含血管內注射、肌肉內注射、皮下注射等)</w:t>
      </w:r>
      <w:r>
        <w:rPr>
          <w:rFonts w:ascii="標楷體" w:eastAsia="標楷體" w:hAnsi="標楷體"/>
          <w:color w:val="000000"/>
        </w:rPr>
        <w:t>之全身性化學藥物治療的CD30+皮膚T細胞淋巴瘤(CTCL)成人病人，病人須診斷為蕈狀肉芽腫 (MF，第ⅡB期或以上)、Sezary症候群(SS)或原發性皮膚退行分化型大細胞淋巴瘤（pcALCL），且CD30需於超過10%的腫瘤細胞呈現陽性。（111/2/1</w:t>
      </w:r>
      <w:r>
        <w:rPr>
          <w:rFonts w:ascii="標楷體" w:eastAsia="標楷體" w:hAnsi="標楷體" w:hint="eastAsia"/>
          <w:color w:val="000000"/>
        </w:rPr>
        <w:t>、114/12/1</w:t>
      </w:r>
      <w:r>
        <w:rPr>
          <w:rFonts w:ascii="標楷體" w:eastAsia="標楷體" w:hAnsi="標楷體"/>
          <w:color w:val="000000"/>
        </w:rPr>
        <w:t>）</w:t>
      </w:r>
    </w:p>
    <w:p w:rsidR="00B96EA0" w:rsidRDefault="008B0582" w:rsidP="008B0582">
      <w:pPr>
        <w:tabs>
          <w:tab w:val="left" w:pos="1134"/>
          <w:tab w:val="left" w:pos="1418"/>
        </w:tabs>
        <w:spacing w:line="400" w:lineRule="exact"/>
        <w:ind w:left="1134" w:hanging="370"/>
        <w:rPr>
          <w:rFonts w:ascii="標楷體" w:eastAsia="標楷體" w:hAnsi="標楷體"/>
          <w:color w:val="000000"/>
        </w:rPr>
      </w:pPr>
      <w:r>
        <w:rPr>
          <w:rFonts w:ascii="標楷體" w:eastAsia="標楷體" w:hAnsi="標楷體"/>
          <w:color w:val="000000"/>
        </w:rPr>
        <w:t>(2)須經事前審查核准後使用，首次申請療程以4個療程為限，再申請應檢附前次治療結果評估資料。若病人病情已達完全緩解，得再給付2個療程；若病情惡化即須停止使用。健保給付以6個療程為上限。（111/2/1）</w:t>
      </w:r>
    </w:p>
    <w:p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9.57.Clofarabine（如Evoltra）：（106/1/1、109/12/1）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1.使用於先前接受至少兩種化療療程(如TPOG之療程表)治療無效或已復發第二次或以上之急性淋巴母細胞白血病(acute lymphoblastic leukemia)病，且計畫進行造血幹細胞移植的病人(限21歲以下)，每位病人限給付一療程。</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2.須事前審查核准後使用，申請時須檢附完整之造血幹細胞移植計畫，並詳細記載確</w:t>
      </w:r>
      <w:r>
        <w:rPr>
          <w:rFonts w:ascii="標楷體" w:eastAsia="標楷體" w:hAnsi="標楷體"/>
          <w:color w:val="000000"/>
        </w:rPr>
        <w:lastRenderedPageBreak/>
        <w:t>認捐贈者名單、確認移植之執行醫院及移植前調適治療等資料。</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3.不得與blinatumomab併用。（109/12/1）</w:t>
      </w:r>
    </w:p>
    <w:p w:rsidR="00B96EA0" w:rsidRDefault="007D66B8" w:rsidP="005142EB">
      <w:pPr>
        <w:tabs>
          <w:tab w:val="left" w:pos="1418"/>
        </w:tabs>
        <w:spacing w:line="400" w:lineRule="exact"/>
        <w:ind w:left="849" w:hanging="566"/>
      </w:pPr>
      <w:r>
        <w:rPr>
          <w:rFonts w:ascii="標楷體" w:eastAsia="標楷體" w:hAnsi="標楷體"/>
          <w:color w:val="000000"/>
        </w:rPr>
        <w:t>9.58.Axitinib(如Inlyta)</w:t>
      </w:r>
      <w:r>
        <w:rPr>
          <w:rFonts w:ascii="新細明體" w:hAnsi="新細明體"/>
          <w:color w:val="000000"/>
        </w:rPr>
        <w:t>：</w:t>
      </w:r>
      <w:r>
        <w:rPr>
          <w:rFonts w:ascii="標楷體" w:eastAsia="標楷體" w:hAnsi="標楷體"/>
          <w:color w:val="000000"/>
        </w:rPr>
        <w:t>（106/1/1、108/12/1）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1.治療已接受過sunitinib或cytokine治療失敗的晚期腎細胞癌病患。</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2.無效後則不給付temsirolimus。(108/12/1)</w:t>
      </w:r>
    </w:p>
    <w:p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3.需經事前審查核准後使用，每次申請之療程以3個月為限，送審時需檢送影像資料，每3個月評估一次。</w:t>
      </w:r>
    </w:p>
    <w:p w:rsidR="00B96EA0" w:rsidRDefault="007D66B8" w:rsidP="005142EB">
      <w:pPr>
        <w:tabs>
          <w:tab w:val="left" w:pos="1418"/>
        </w:tabs>
        <w:spacing w:line="400" w:lineRule="exact"/>
        <w:ind w:left="567" w:hanging="245"/>
      </w:pPr>
      <w:r>
        <w:rPr>
          <w:rFonts w:ascii="標楷體" w:eastAsia="標楷體" w:hAnsi="標楷體"/>
        </w:rPr>
        <w:t>9.59.Ceritinib(如Zykadia)：(106/9/1、106/11/1、108/7/1、108/12/1、111/2/1、111/8/1、112/11/1、113/6/1)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適用於ALK陽性之晚期非小細胞肺癌第一線治療。(108/7/1、111/8/1)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(108/12/1、112/11/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Ceritinib與crizotinib、alectinib、brigatinib、lorlatinib用於ALK陽性之晚期非小細胞肺癌第一線治療時，僅得擇一使用，除因病人使用後，發生嚴重不良反應或耐受不良之情形外，不得互換。(108/7/1、108/12/1、111/8/1、112/11/1)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每日最大劑量限450mg。(108/7/1)</w:t>
      </w:r>
    </w:p>
    <w:p w:rsidR="00B96EA0" w:rsidRDefault="007D66B8" w:rsidP="005142EB">
      <w:pPr>
        <w:pStyle w:val="a9"/>
        <w:suppressAutoHyphens w:val="0"/>
        <w:spacing w:line="400" w:lineRule="exact"/>
        <w:ind w:left="283"/>
        <w:textAlignment w:val="auto"/>
        <w:rPr>
          <w:rFonts w:ascii="標楷體" w:eastAsia="標楷體" w:hAnsi="標楷體"/>
        </w:rPr>
      </w:pPr>
      <w:r>
        <w:rPr>
          <w:rFonts w:ascii="標楷體" w:eastAsia="標楷體" w:hAnsi="標楷體"/>
        </w:rPr>
        <w:t>9.60.Alectinib(如Alecensa)：(106/11/1、108/12/1、111/2/1、111/8/1、112/11/1、113/6/1)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適用於ALK陽性之晚期非小細胞肺癌第一線治療。(108/12/1、111/8/1)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Alectinib與ceritinib、crizotinib、brigatinib、lorlatinib用於ALK陽性之</w:t>
      </w:r>
      <w:r>
        <w:rPr>
          <w:rFonts w:ascii="標楷體" w:eastAsia="標楷體" w:hAnsi="標楷體"/>
        </w:rPr>
        <w:lastRenderedPageBreak/>
        <w:t>晚期非小細胞肺癌第一線治療時，僅得擇一使用，除因病人使用後，發生嚴重不良反應或耐受不良之情形外，不得互換。(108/12/1、111/8/1、112/11/1)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每日最大劑量限1200mg。(108/12/1)</w:t>
      </w:r>
    </w:p>
    <w:p w:rsidR="004C3CC5" w:rsidRPr="004C3CC5" w:rsidRDefault="004C3CC5" w:rsidP="00DD360F">
      <w:pPr>
        <w:tabs>
          <w:tab w:val="left" w:pos="1418"/>
        </w:tabs>
        <w:spacing w:line="400" w:lineRule="exact"/>
        <w:ind w:left="709" w:hanging="339"/>
        <w:rPr>
          <w:rFonts w:ascii="標楷體" w:eastAsia="標楷體" w:hAnsi="標楷體"/>
          <w:color w:val="000000"/>
        </w:rPr>
      </w:pPr>
      <w:bookmarkStart w:id="17" w:name="_Hlk209189883"/>
      <w:r w:rsidRPr="004C3CC5">
        <w:rPr>
          <w:rFonts w:ascii="標楷體" w:eastAsia="標楷體" w:hAnsi="標楷體" w:hint="eastAsia"/>
          <w:color w:val="000000"/>
        </w:rPr>
        <w:t>9.61.Ibrutinib(如Imbruvica)：(106/11/1、108/9/1、111/1/1、112/7/1、112/12/1、113/2/1、114/10/1)</w:t>
      </w:r>
    </w:p>
    <w:p w:rsidR="004C3CC5" w:rsidRPr="004C3CC5" w:rsidRDefault="004C3CC5" w:rsidP="00DD360F">
      <w:pPr>
        <w:tabs>
          <w:tab w:val="left" w:pos="1418"/>
        </w:tabs>
        <w:spacing w:line="400" w:lineRule="exact"/>
        <w:ind w:left="993" w:hanging="339"/>
        <w:rPr>
          <w:rFonts w:ascii="標楷體" w:eastAsia="標楷體" w:hAnsi="標楷體"/>
          <w:color w:val="000000"/>
        </w:rPr>
      </w:pPr>
      <w:r w:rsidRPr="004C3CC5">
        <w:rPr>
          <w:rFonts w:ascii="標楷體" w:eastAsia="標楷體" w:hAnsi="標楷體" w:hint="eastAsia"/>
          <w:color w:val="000000"/>
        </w:rPr>
        <w:t>1. 單獨使用於先前接受過至少一種化學或標靶治療方式無效或復發的被套細胞淋巴瘤成年病人。（106/11/1、112/7/1、112/12/1)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(1)需經事前審查核准後使用。首次申請事前審查之療程以4個月為限，之後每3個月需再次申請，再次申請時應檢附前次治療結果評估資料，如影像學檢查報告。</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 xml:space="preserve">(2) 若疾病進展，則必須停止使用。（106/11/1、112/7/1) </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(3)每位病人限給付20個月。(111/1/1)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(4)每日至多處方4粒。(108/9/1)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(5)zanubrutinib、ibrutinib和acalabrutinib僅能擇一使用，唯有在出現無法忍受其副作用時方可互換。三者使用總療程合併計算，以全部20個月為上限。（112/7/1、112/12/1）</w:t>
      </w:r>
    </w:p>
    <w:p w:rsidR="004C3CC5" w:rsidRPr="004C3CC5" w:rsidRDefault="004C3CC5" w:rsidP="00DD360F">
      <w:pPr>
        <w:tabs>
          <w:tab w:val="left" w:pos="1418"/>
        </w:tabs>
        <w:spacing w:line="400" w:lineRule="exact"/>
        <w:ind w:left="993" w:hanging="339"/>
        <w:rPr>
          <w:rFonts w:ascii="標楷體" w:eastAsia="標楷體" w:hAnsi="標楷體"/>
          <w:color w:val="000000"/>
        </w:rPr>
      </w:pPr>
      <w:r w:rsidRPr="004C3CC5">
        <w:rPr>
          <w:rFonts w:ascii="標楷體" w:eastAsia="標楷體" w:hAnsi="標楷體" w:hint="eastAsia"/>
          <w:color w:val="000000"/>
        </w:rPr>
        <w:t>2.單獨使用於具有17p 缺失的慢性淋巴球性白血病(CLL) 成年患者。(108/9/1、112/7/1、113/2/1、114/10/1)</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(1)開始使用前之疾病狀態需出現下列任一情形：</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w:t>
      </w:r>
      <w:r w:rsidRPr="004C3CC5">
        <w:rPr>
          <w:rFonts w:ascii="標楷體" w:eastAsia="標楷體" w:hAnsi="標楷體" w:hint="eastAsia"/>
          <w:color w:val="000000"/>
        </w:rPr>
        <w:tab/>
        <w:t>進行性的血液相惡化至Hb &lt; 10.0 gm/dL或PLT &lt; 100 K/uL，且無其他原因可以解釋。</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II.脾臟腫大超過左肋骨下緣6 cm。</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III.淋巴結腫大，最長徑超過10 cm。</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IV.周邊血液淋巴球在2個月內增加 50%以上，或倍增時間(doubling time)小於6個月。</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V.</w:t>
      </w:r>
      <w:r w:rsidRPr="004C3CC5">
        <w:rPr>
          <w:rFonts w:ascii="標楷體" w:eastAsia="標楷體" w:hAnsi="標楷體" w:hint="eastAsia"/>
          <w:color w:val="000000"/>
        </w:rPr>
        <w:tab/>
        <w:t>出現自體免疫併發症，且經類固醇治療無效。</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VI.出現具症狀的淋巴結外病灶。</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(2)需經事前審查核准後使用，每3個月需再次申請。再次申請時需檢附療效評估資料，若未達iwCLL (International Workshop on CLL)最新定義之partial remission或complete remission，則不予給付。</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(3)在具有17p缺失病人，ibrutinib、acalabrutinib、venetoclax與zanubrutinib四者僅能擇一使用，唯有在出現無法忍受其副作用時方可互換。三者使用總療程合併計算，以全部24個月為上限。（108/9/1、112/7/1、114/10/1）</w:t>
      </w:r>
    </w:p>
    <w:p w:rsidR="00B96EA0"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(4)每日至多處方3粒。</w:t>
      </w:r>
      <w:bookmarkEnd w:id="17"/>
    </w:p>
    <w:p w:rsidR="00B96EA0" w:rsidRDefault="007D66B8" w:rsidP="005142EB">
      <w:pPr>
        <w:tabs>
          <w:tab w:val="left" w:pos="1418"/>
        </w:tabs>
        <w:spacing w:line="400" w:lineRule="exact"/>
        <w:ind w:left="895" w:hanging="612"/>
      </w:pPr>
      <w:r>
        <w:rPr>
          <w:rFonts w:ascii="標楷體" w:eastAsia="標楷體" w:hAnsi="標楷體"/>
          <w:color w:val="000000"/>
        </w:rPr>
        <w:t>9.62.</w:t>
      </w:r>
      <w:r>
        <w:t xml:space="preserve"> </w:t>
      </w:r>
      <w:r>
        <w:rPr>
          <w:rFonts w:ascii="標楷體" w:eastAsia="標楷體" w:hAnsi="標楷體"/>
          <w:color w:val="000000"/>
        </w:rPr>
        <w:t>Pomalidomide(如Pomalyst):(107/1/1、109/2/1、112/4/1、113/9/1)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1.與dexamethasone合併使用，核准用於多發性骨髓瘤病人，且先前接受過含</w:t>
      </w:r>
      <w:r>
        <w:rPr>
          <w:rFonts w:ascii="標楷體" w:eastAsia="標楷體" w:hAnsi="標楷體"/>
          <w:color w:val="000000"/>
        </w:rPr>
        <w:lastRenderedPageBreak/>
        <w:t>lenalidomide和bortezomib在內的至少兩種療法，且確認完成前次治療時或結束治療後六十天內發生疾病惡化(disease progression)。</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2.限與elotuzumab及dexamethasone併用，治療之前曾接受過至少兩種療法（包括lenalidomide和蛋白酶體抑制劑）的多發性骨髓瘤成年病人。（113/9/1）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3.需經事前審查核准後使用：（107/1/1、112/4/1）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(1)初次申請以3個療程為限，且需同時符合下列Ⅰ.與Ⅱ.的條件：（112/4/1）</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Ⅰ.具有下列任一疾病惡化的指標： 病人開始治療前須在連續2次評估中均符合同一指標 (但若為plamacytoma 體積增加，或是新產生的bone lesion(s)或新plasmacytoma，則僅需1次評估)：（112/4/1）</w:t>
      </w:r>
    </w:p>
    <w:p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tabs>
          <w:tab w:val="left" w:pos="1418"/>
        </w:tabs>
        <w:spacing w:line="400" w:lineRule="exact"/>
        <w:ind w:left="1291" w:hanging="245"/>
      </w:pPr>
      <w:r>
        <w:rPr>
          <w:rFonts w:ascii="新細明體" w:hAnsi="新細明體" w:cs="新細明體"/>
          <w:color w:val="000000"/>
        </w:rPr>
        <w:t>ⅱ</w:t>
      </w:r>
      <w:r>
        <w:rPr>
          <w:rFonts w:ascii="標楷體" w:eastAsia="標楷體" w:hAnsi="標楷體"/>
          <w:color w:val="000000"/>
        </w:rPr>
        <w:t>.Urine M-protein需增加≧0.2 gm/24Hr，且需較前一線治療中的最低值增加≧25%。</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iii.在non-secretary myeloma 病人，骨髓漿細胞 (plasma cells)之比例絕對值增加≧10%，且需較前一線治療中的最低值增加≧25%。</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v.Plasmacytoma體積增加≧50%。</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tabs>
          <w:tab w:val="left" w:pos="1418"/>
        </w:tabs>
        <w:spacing w:line="400" w:lineRule="exact"/>
        <w:ind w:left="1291" w:hanging="245"/>
      </w:pPr>
      <w:r>
        <w:rPr>
          <w:rFonts w:ascii="新細明體" w:hAnsi="新細明體" w:cs="新細明體"/>
          <w:color w:val="000000"/>
        </w:rPr>
        <w:t>ⅱ</w:t>
      </w:r>
      <w:r>
        <w:rPr>
          <w:rFonts w:ascii="標楷體" w:eastAsia="標楷體" w:hAnsi="標楷體"/>
          <w:color w:val="000000"/>
        </w:rPr>
        <w:t>.Plasmacytoma 體積增加≧50%。</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cell為療效依據，證明為對藥物有反應或為穩定狀態，方可繼續使用。續用時的申請以3個療程為限。疾病若發生惡化情形應即停止使用。（107/1/1、112/4/1）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4.每人終生以10個療程為上限，Pomado則每人以6個療程為上限。（107/1/1、112/4/1、113/9/1）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5.不得與其他蛋白酶體抑制劑(proteasome inhibitor)或免疫調節劑(immunomodulatory drugs)併用。 (109/2/1、112/4/1)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6.112年3月31日以前已核定用藥之病人，得經事前審查核准後，使用至總療程上限（即終生10個療程，Pomado則每人6個療程）或使用期間發生疾病惡化為止。（112/4/1、113/9/1）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lastRenderedPageBreak/>
        <w:t>7.每日最多處方1粒(113/9/1)</w:t>
      </w:r>
    </w:p>
    <w:p w:rsidR="00B96EA0" w:rsidRDefault="007D66B8" w:rsidP="005142EB">
      <w:pPr>
        <w:tabs>
          <w:tab w:val="left" w:pos="1418"/>
        </w:tabs>
        <w:spacing w:line="400" w:lineRule="exact"/>
        <w:ind w:left="567" w:hanging="283"/>
      </w:pPr>
      <w:r>
        <w:rPr>
          <w:rFonts w:ascii="標楷體" w:eastAsia="標楷體" w:hAnsi="標楷體"/>
          <w:color w:val="000000"/>
        </w:rPr>
        <w:t>9.63.</w:t>
      </w:r>
      <w:r>
        <w:t xml:space="preserve"> </w:t>
      </w:r>
      <w:r>
        <w:rPr>
          <w:rFonts w:ascii="標楷體" w:eastAsia="標楷體" w:hAnsi="標楷體"/>
          <w:color w:val="000000"/>
        </w:rPr>
        <w:t>Lenvatinib(如Lenvima)：(107/7/1、109/1/1、109/8/1、112/8/1、114/2/1、114/6/1)</w:t>
      </w:r>
      <w:r>
        <w:rPr>
          <w:rFonts w:ascii="標楷體" w:eastAsia="標楷體" w:hAnsi="標楷體"/>
          <w:color w:val="000000"/>
        </w:rPr>
        <w:br/>
        <w:t>1.用於放射性碘治療無效之局部晚期或轉移性的進行性(progressive)分化型甲狀腺癌(RAI-RDTC)：</w:t>
      </w:r>
    </w:p>
    <w:p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(1)需經事前審查核准後使用，每次申請之療程以3個月為限，送審時需檢送影像資料，每3個月評估一次。</w:t>
      </w:r>
    </w:p>
    <w:p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(2)Lenvatinib與sorafenib不得合併使用。(109/8/1)</w:t>
      </w:r>
    </w:p>
    <w:p w:rsidR="00B96EA0" w:rsidRDefault="007D66B8" w:rsidP="005142EB">
      <w:pPr>
        <w:tabs>
          <w:tab w:val="left" w:pos="1418"/>
        </w:tabs>
        <w:spacing w:line="400" w:lineRule="exact"/>
        <w:ind w:left="610"/>
        <w:rPr>
          <w:rFonts w:ascii="標楷體" w:eastAsia="標楷體" w:hAnsi="標楷體"/>
          <w:color w:val="000000"/>
        </w:rPr>
      </w:pPr>
      <w:r>
        <w:rPr>
          <w:rFonts w:ascii="標楷體" w:eastAsia="標楷體" w:hAnsi="標楷體"/>
          <w:color w:val="000000"/>
        </w:rPr>
        <w:t>2.晚期肝細胞癌部分：(109/1/1、109/8/1、112/8/1、114/2/1、114/6/1)</w:t>
      </w:r>
    </w:p>
    <w:p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I.肝外轉移（遠端轉移或肝外淋巴結侵犯）。</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II.大血管侵犯（腫瘤侵犯主門靜脈或侵犯左/右靜脈第一或第二分支）。</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III.經導管動脈化學藥物栓塞治療（Transcatheter arterial chemo embolization, T.A.C.E.）失敗者，需提供患者於12個月內&gt;=3次局部治療之記錄。</w:t>
      </w:r>
    </w:p>
    <w:p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(2)需經事前審查核准後使用，初次申請之療程以3個月為限，之後每3個月評估一次。送審時需檢送影像資料，無疾病惡化方可繼續使用。(109/1/1、114/6/1)</w:t>
      </w:r>
    </w:p>
    <w:p w:rsidR="00B96EA0" w:rsidRDefault="007D66B8" w:rsidP="005142EB">
      <w:pPr>
        <w:tabs>
          <w:tab w:val="left" w:pos="1418"/>
        </w:tabs>
        <w:spacing w:line="400" w:lineRule="exact"/>
        <w:ind w:left="1276" w:hanging="283"/>
        <w:rPr>
          <w:rFonts w:ascii="標楷體" w:eastAsia="標楷體" w:hAnsi="標楷體"/>
          <w:color w:val="000000"/>
        </w:rPr>
      </w:pPr>
      <w:r>
        <w:rPr>
          <w:rFonts w:ascii="標楷體" w:eastAsia="標楷體" w:hAnsi="標楷體"/>
          <w:color w:val="000000"/>
        </w:rPr>
        <w:t>(3)Lenvatinib、sorafenib、atezolizumab併用bevacizumab、tremelimumab併用durvalumab僅得擇一給付，不得互換；且lenvatinib治療失敗後，不得申請使用regorafenib或ramucirumab。(109/1/1、109/8/1、112/8/1、114/2/1)</w:t>
      </w:r>
    </w:p>
    <w:p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9.64.Blinatumomab(如Blincyto)：(107/9/1、109/12/1、112/12/1)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適用於治療先前接受至少兩種化療療程(如TPOG之療程表)治療無效或已復發第二次或以上費城染色體陰性復發型或頑固型B細胞前驅因子之急性淋巴芽細胞白血病之(Ph(-) Relapse/Refractory B-cell precursor Acute Lymphoblastic Leukemia；Ph(-) B-cell precursor R/R ALL)成人病人，且計畫進行造血幹細胞移植的病人，每位病人限給付2療程。</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2.用於復發型或頑固型B細胞前驅細胞之急性淋巴芽細胞白血病之未滿18歲兒童病人，且計畫進行造血幹細胞移植的病人，每位病人限給付2療程，不得與clofarabine併用。（109/12/1）</w:t>
      </w:r>
    </w:p>
    <w:p w:rsidR="00B96EA0" w:rsidRDefault="007D66B8" w:rsidP="005142EB">
      <w:pPr>
        <w:spacing w:line="400" w:lineRule="exact"/>
        <w:ind w:left="720" w:hanging="480"/>
      </w:pPr>
      <w:r>
        <w:rPr>
          <w:rFonts w:ascii="標楷體" w:eastAsia="標楷體" w:hAnsi="標楷體"/>
          <w:szCs w:val="24"/>
        </w:rPr>
        <w:t xml:space="preserve">   3.用於治療</w:t>
      </w:r>
      <w:r>
        <w:rPr>
          <w:rFonts w:ascii="標楷體" w:eastAsia="標楷體" w:hAnsi="標楷體"/>
          <w:bCs/>
          <w:szCs w:val="24"/>
        </w:rPr>
        <w:t>微量殘留病灶(MRD)陽性B細胞前驅細胞之急性淋巴芽細胞白血病：(112/12/1)</w:t>
      </w:r>
    </w:p>
    <w:p w:rsidR="00B96EA0" w:rsidRDefault="007D66B8" w:rsidP="005142EB">
      <w:pPr>
        <w:spacing w:line="400" w:lineRule="exact"/>
        <w:ind w:left="950" w:hanging="230"/>
        <w:rPr>
          <w:rFonts w:ascii="標楷體" w:eastAsia="標楷體" w:hAnsi="標楷體"/>
          <w:szCs w:val="24"/>
        </w:rPr>
      </w:pPr>
      <w:r>
        <w:rPr>
          <w:rFonts w:ascii="標楷體" w:eastAsia="標楷體" w:hAnsi="標楷體"/>
          <w:szCs w:val="24"/>
        </w:rPr>
        <w:t>(1)符合以下任一條件：</w:t>
      </w:r>
    </w:p>
    <w:p w:rsidR="00B96EA0" w:rsidRDefault="007D66B8" w:rsidP="005142EB">
      <w:pPr>
        <w:spacing w:line="400" w:lineRule="exact"/>
        <w:ind w:left="1190" w:hanging="230"/>
      </w:pPr>
      <w:r>
        <w:rPr>
          <w:rFonts w:ascii="標楷體" w:eastAsia="標楷體" w:hAnsi="標楷體"/>
          <w:szCs w:val="24"/>
        </w:rPr>
        <w:t>I.初次治療B細胞前驅細胞之急性淋巴芽細胞白血病成人病人，接受過至少三次高強度化學治療療程後，達第一次完全緩解，但仍有大於或等於0.1%微量殘留病灶，且計畫進行造血幹細胞移植，需附上至少三次微量殘留病灶檢驗報告。</w:t>
      </w:r>
    </w:p>
    <w:p w:rsidR="00B96EA0" w:rsidRDefault="007D66B8" w:rsidP="005142EB">
      <w:pPr>
        <w:spacing w:line="400" w:lineRule="exact"/>
        <w:ind w:left="1337" w:hanging="377"/>
      </w:pPr>
      <w:r>
        <w:rPr>
          <w:rFonts w:ascii="標楷體" w:eastAsia="標楷體" w:hAnsi="標楷體"/>
          <w:szCs w:val="24"/>
        </w:rPr>
        <w:lastRenderedPageBreak/>
        <w:t>II.第一線治療無效，經第二線治療達到第一次完全緩解之成人病人，但仍有大於或等於0.1%微量殘留病灶，且計劃進行造血幹細胞移植。需附上一次治療無效(骨髓或周邊血芽細胞大於5%)之檢驗報告，及一次經化學治療後微量殘留病灶檢驗報告。</w:t>
      </w:r>
    </w:p>
    <w:p w:rsidR="00B96EA0" w:rsidRDefault="007D66B8" w:rsidP="005142EB">
      <w:pPr>
        <w:spacing w:line="400" w:lineRule="exact"/>
        <w:ind w:left="1073" w:hanging="353"/>
      </w:pPr>
      <w:r>
        <w:rPr>
          <w:rFonts w:ascii="標楷體" w:eastAsia="標楷體" w:hAnsi="標楷體"/>
          <w:szCs w:val="24"/>
        </w:rPr>
        <w:t>(2)需為</w:t>
      </w:r>
      <w:r>
        <w:rPr>
          <w:rFonts w:ascii="標楷體" w:eastAsia="標楷體" w:hAnsi="標楷體"/>
          <w:bCs/>
          <w:szCs w:val="24"/>
        </w:rPr>
        <w:t>計畫進行造血幹細胞移植者</w:t>
      </w:r>
      <w:r>
        <w:rPr>
          <w:rFonts w:ascii="標楷體" w:eastAsia="標楷體" w:hAnsi="標楷體"/>
          <w:szCs w:val="24"/>
        </w:rPr>
        <w:t>。</w:t>
      </w:r>
    </w:p>
    <w:p w:rsidR="00B96EA0" w:rsidRDefault="007D66B8" w:rsidP="005142EB">
      <w:pPr>
        <w:spacing w:line="400" w:lineRule="exact"/>
        <w:ind w:left="1073" w:hanging="353"/>
      </w:pPr>
      <w:r>
        <w:rPr>
          <w:rFonts w:ascii="標楷體" w:eastAsia="標楷體" w:hAnsi="標楷體"/>
          <w:bCs/>
          <w:szCs w:val="24"/>
        </w:rPr>
        <w:t>(3)</w:t>
      </w:r>
      <w:r>
        <w:rPr>
          <w:rFonts w:ascii="標楷體" w:eastAsia="標楷體" w:hAnsi="標楷體"/>
          <w:szCs w:val="24"/>
        </w:rPr>
        <w:t>偵測微量殘留病灶之檢測，其敏感度需達10</w:t>
      </w:r>
      <w:r>
        <w:rPr>
          <w:rFonts w:ascii="標楷體" w:eastAsia="標楷體" w:hAnsi="標楷體"/>
          <w:szCs w:val="24"/>
          <w:vertAlign w:val="superscript"/>
        </w:rPr>
        <w:t>-3</w:t>
      </w:r>
      <w:r>
        <w:rPr>
          <w:rFonts w:ascii="標楷體" w:eastAsia="標楷體" w:hAnsi="標楷體"/>
          <w:szCs w:val="24"/>
        </w:rPr>
        <w:t>(0.1%)，可用qPCR (real-time quantitative polymerase chain reaction)，或八色流式細胞儀（8-color multiparameter flow cytometry）檢查。</w:t>
      </w:r>
    </w:p>
    <w:p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(4)不得與酪胺酸激酶抑制劑(TKI)（如imatinib、dasatinib、nilotinib、ponatinib）等併用。</w:t>
      </w:r>
    </w:p>
    <w:p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(5)若使用blinatumomab後，MRD若未消失但疾病仍在完全緩解時，不得申請給付inotuzumab ozogamicin。</w:t>
      </w:r>
    </w:p>
    <w:p w:rsidR="00B96EA0" w:rsidRDefault="007D66B8" w:rsidP="005142EB">
      <w:pPr>
        <w:spacing w:line="400" w:lineRule="exact"/>
        <w:ind w:left="1073" w:hanging="353"/>
      </w:pPr>
      <w:r>
        <w:rPr>
          <w:rFonts w:ascii="標楷體" w:eastAsia="標楷體" w:hAnsi="標楷體"/>
          <w:szCs w:val="24"/>
        </w:rPr>
        <w:t>(6)每位病人限給付2療程</w:t>
      </w:r>
      <w:r>
        <w:rPr>
          <w:rFonts w:ascii="新細明體" w:hAnsi="新細明體"/>
          <w:szCs w:val="24"/>
        </w:rPr>
        <w:t>（</w:t>
      </w:r>
      <w:r>
        <w:rPr>
          <w:rFonts w:ascii="標楷體" w:eastAsia="標楷體" w:hAnsi="標楷體"/>
          <w:szCs w:val="24"/>
        </w:rPr>
        <w:t>56支</w:t>
      </w:r>
      <w:r>
        <w:rPr>
          <w:rFonts w:ascii="新細明體" w:hAnsi="新細明體"/>
          <w:szCs w:val="24"/>
        </w:rPr>
        <w:t>）</w:t>
      </w:r>
      <w:r>
        <w:rPr>
          <w:rFonts w:ascii="標楷體" w:eastAsia="標楷體" w:hAnsi="標楷體"/>
          <w:szCs w:val="24"/>
        </w:rPr>
        <w:t>。</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須事前審查核准後使用，申請時須檢附完整之造血幹細胞移植計畫，並詳細記載確認捐贈者名單、確認移植之執行醫院及移植前調適治療等資料。</w:t>
      </w:r>
    </w:p>
    <w:p w:rsidR="00B96EA0" w:rsidRDefault="007D66B8" w:rsidP="005142EB">
      <w:pPr>
        <w:tabs>
          <w:tab w:val="left" w:pos="1418"/>
        </w:tabs>
        <w:spacing w:line="400" w:lineRule="exact"/>
        <w:ind w:left="811" w:hanging="245"/>
      </w:pPr>
      <w:r>
        <w:rPr>
          <w:rFonts w:ascii="標楷體" w:eastAsia="標楷體" w:hAnsi="標楷體"/>
          <w:szCs w:val="24"/>
        </w:rPr>
        <w:t>5.病人已依前述第3項獲得給付治療者，不得再申請前述之第1、2項給付治療。(112</w:t>
      </w:r>
      <w:r>
        <w:rPr>
          <w:rFonts w:ascii="標楷體" w:eastAsia="標楷體" w:hAnsi="標楷體"/>
          <w:bCs/>
          <w:szCs w:val="24"/>
        </w:rPr>
        <w:t>/12/1</w:t>
      </w:r>
      <w:r>
        <w:rPr>
          <w:rFonts w:ascii="標楷體" w:eastAsia="標楷體" w:hAnsi="標楷體"/>
          <w:szCs w:val="24"/>
        </w:rPr>
        <w:t>)</w:t>
      </w:r>
    </w:p>
    <w:p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9.65.Pralatrexate(如Folotyn)：(107/10/1、110/5/1)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1.用於接受化學治療失敗後之復發或頑固性周邊T細胞淋巴瘤(PTCL)病患，作為進行骨髓/造血幹細胞移植期間之銜接治療。</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2.需經事前審查核准後使用，初次申請時應檢附移植計劃資料。</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3.每人至多給付3個療程，第1個療程後需進行疾病評估，若病情仍持續惡化，應即停止使用。（110/5/1）</w:t>
      </w:r>
    </w:p>
    <w:p w:rsidR="00B96EA0" w:rsidRDefault="00B815D8" w:rsidP="005142EB">
      <w:pPr>
        <w:tabs>
          <w:tab w:val="left" w:pos="1418"/>
        </w:tabs>
        <w:spacing w:line="400" w:lineRule="exact"/>
        <w:ind w:left="709" w:hanging="388"/>
        <w:rPr>
          <w:rFonts w:ascii="標楷體" w:eastAsia="標楷體" w:hAnsi="標楷體"/>
          <w:color w:val="000000"/>
        </w:rPr>
      </w:pPr>
      <w:r w:rsidRPr="00B815D8">
        <w:rPr>
          <w:rFonts w:ascii="標楷體" w:eastAsia="標楷體" w:hAnsi="標楷體" w:hint="eastAsia"/>
          <w:color w:val="000000"/>
        </w:rPr>
        <w:t>9.66.Trifluridine/tipiracil(如Lonsurf)：(107/12/1、109/12/1、110/6/1、113/6/1、115/2/1)</w:t>
      </w:r>
    </w:p>
    <w:p w:rsidR="00B815D8" w:rsidRPr="00B815D8" w:rsidRDefault="007D66B8" w:rsidP="00B815D8">
      <w:pPr>
        <w:tabs>
          <w:tab w:val="left" w:pos="1418"/>
        </w:tabs>
        <w:spacing w:line="400" w:lineRule="exact"/>
        <w:ind w:left="993" w:hanging="388"/>
        <w:rPr>
          <w:rFonts w:ascii="標楷體" w:eastAsia="標楷體" w:hAnsi="標楷體"/>
          <w:color w:val="000000"/>
        </w:rPr>
      </w:pPr>
      <w:r>
        <w:rPr>
          <w:rFonts w:ascii="標楷體" w:eastAsia="標楷體" w:hAnsi="標楷體"/>
          <w:color w:val="000000"/>
        </w:rPr>
        <w:t>1.</w:t>
      </w:r>
      <w:r w:rsidR="00B815D8" w:rsidRPr="00B815D8">
        <w:rPr>
          <w:rFonts w:ascii="標楷體" w:eastAsia="標楷體" w:hAnsi="標楷體"/>
          <w:kern w:val="2"/>
          <w:szCs w:val="24"/>
        </w:rPr>
        <w:t xml:space="preserve"> </w:t>
      </w:r>
      <w:r w:rsidR="00B815D8" w:rsidRPr="00B815D8">
        <w:rPr>
          <w:rFonts w:ascii="標楷體" w:eastAsia="標楷體" w:hAnsi="標楷體"/>
          <w:color w:val="000000"/>
        </w:rPr>
        <w:t>轉移性大腸直腸癌：(107/12/1、109/12/1、110/6/1、113/6/1、115/2/1)</w:t>
      </w:r>
    </w:p>
    <w:p w:rsidR="00B815D8" w:rsidRPr="00B815D8"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color w:val="000000"/>
        </w:rPr>
        <w:t>(1)用於治療先前曾接受下列療法的轉移性大腸直腸癌之成人病人，包括fluoropyrimidine, oxaliplatin及irinotecan為基礎的化療，和抗血管內皮生長因子(anti-VEGF)等療法；若RAS為原生型(wild type)，則需再加上接受過抗表皮生長因子受體(anti-EGFR)療法。需檢附All-RAS基因突變分析檢測結果報告，且需符合全民健康保險藥品給付規定之通則十二。（110/6/1、113/6/1）</w:t>
      </w:r>
    </w:p>
    <w:p w:rsidR="00B815D8" w:rsidRPr="00B815D8"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color w:val="000000"/>
        </w:rPr>
        <w:t>(2)本藥品不得與regorafenib併用。</w:t>
      </w:r>
    </w:p>
    <w:p w:rsidR="00B815D8" w:rsidRPr="00B815D8"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color w:val="000000"/>
        </w:rPr>
        <w:t>2.轉移性胃癌：(109/12/1、115/2/1)：用於治療先前曾接受兩種(含)以上治療（包括含fluoropyrimidine–、platinum–、taxane–或 irinotecan為基礎的化學療法，以及HER2/neu標靶治療[如果適合]）的轉移性胃腺癌或胃食道接合處腺癌病人。</w:t>
      </w:r>
    </w:p>
    <w:p w:rsidR="00B96EA0"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hint="eastAsia"/>
          <w:color w:val="000000"/>
        </w:rPr>
        <w:lastRenderedPageBreak/>
        <w:t>3.</w:t>
      </w:r>
      <w:r w:rsidRPr="00B815D8">
        <w:rPr>
          <w:rFonts w:ascii="標楷體" w:eastAsia="標楷體" w:hAnsi="標楷體"/>
          <w:color w:val="000000"/>
        </w:rPr>
        <w:t>病歷應留存確診之病理或檢查報告及影像診斷證明等，並紀錄治療相關臨床資料，以備查核。倘病人臨床症狀或影像顯示疾病惡化，則應停藥。(115/2/1)</w:t>
      </w:r>
    </w:p>
    <w:p w:rsidR="00B96EA0" w:rsidRDefault="00A3054C"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9.67.Ponatinib(如Iclusig)：(107/12/1、113/6/1</w:t>
      </w:r>
      <w:r>
        <w:rPr>
          <w:rFonts w:ascii="標楷體" w:eastAsia="標楷體" w:hAnsi="標楷體" w:hint="eastAsia"/>
          <w:color w:val="000000"/>
        </w:rPr>
        <w:t>、115/2/1</w:t>
      </w:r>
      <w:r>
        <w:rPr>
          <w:rFonts w:ascii="標楷體" w:eastAsia="標楷體" w:hAnsi="標楷體"/>
          <w:color w:val="000000"/>
        </w:rPr>
        <w:t>)</w:t>
      </w:r>
    </w:p>
    <w:p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1.用於費城染色體陽性或BCR-ABL融合基因陽性之慢性骨髓性白血病(CML)或急性淋巴性白血病(ALL)成人患者，且符合下列條件之一：</w:t>
      </w:r>
    </w:p>
    <w:p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(1).具有T315I突變者；</w:t>
      </w:r>
    </w:p>
    <w:p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(2).加速期或急性期之慢性骨髓性白血病(CML)患者，先前曾使用imatinib、nilotinib</w:t>
      </w:r>
      <w:r>
        <w:rPr>
          <w:rFonts w:ascii="標楷體" w:eastAsia="標楷體" w:hAnsi="標楷體" w:hint="eastAsia"/>
          <w:color w:val="000000"/>
        </w:rPr>
        <w:t>、</w:t>
      </w:r>
      <w:r>
        <w:rPr>
          <w:rFonts w:ascii="標楷體" w:eastAsia="標楷體" w:hAnsi="標楷體"/>
          <w:color w:val="000000"/>
        </w:rPr>
        <w:t>dasatinib</w:t>
      </w:r>
      <w:r w:rsidRPr="001D0398">
        <w:rPr>
          <w:rFonts w:ascii="標楷體" w:eastAsia="標楷體" w:hAnsi="標楷體" w:hint="eastAsia"/>
          <w:color w:val="000000"/>
        </w:rPr>
        <w:t>與bosutinib</w:t>
      </w:r>
      <w:r>
        <w:rPr>
          <w:rFonts w:ascii="標楷體" w:eastAsia="標楷體" w:hAnsi="標楷體"/>
          <w:color w:val="000000"/>
        </w:rPr>
        <w:t>其中兩種(含)以上藥物治療失敗或無法耐受；</w:t>
      </w:r>
      <w:bookmarkStart w:id="18" w:name="_Hlk219965782"/>
      <w:r w:rsidR="001D5020" w:rsidRPr="001D5020">
        <w:rPr>
          <w:rFonts w:ascii="標楷體" w:eastAsia="標楷體" w:hAnsi="標楷體" w:hint="eastAsia"/>
          <w:color w:val="000000"/>
        </w:rPr>
        <w:t>(107/12/1、115/2/1)</w:t>
      </w:r>
      <w:bookmarkEnd w:id="18"/>
    </w:p>
    <w:p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(3).急性淋巴性白血病(ALL)患者，先前曾使用imatinib與dasatinib兩種藥物治療均失敗或無法耐受。</w:t>
      </w:r>
    </w:p>
    <w:p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2.需經事前審查核准後使用。首次申請事前審查之療程以3個月為限，之後每3個月需再次申請，再次申請時應檢附前次治療結果評估資料，包含BCR-ABL定量RT-PCR報告。</w:t>
      </w:r>
    </w:p>
    <w:p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3.若使用後未出現治療反應、無法耐受藥物副作用或疾病進展，則必須停止使用。</w:t>
      </w:r>
    </w:p>
    <w:p w:rsidR="00B96EA0"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rsidR="00B96EA0" w:rsidRDefault="007D66B8" w:rsidP="005142EB">
      <w:pPr>
        <w:tabs>
          <w:tab w:val="left" w:pos="1418"/>
        </w:tabs>
        <w:spacing w:line="400" w:lineRule="exact"/>
        <w:ind w:left="895" w:hanging="612"/>
      </w:pPr>
      <w:r>
        <w:rPr>
          <w:rFonts w:ascii="標楷體" w:eastAsia="標楷體" w:hAnsi="標楷體"/>
          <w:color w:val="000000"/>
        </w:rPr>
        <w:t>9.68.Radium-223(如Xofigo)</w:t>
      </w:r>
      <w:r>
        <w:rPr>
          <w:rFonts w:ascii="新細明體" w:hAnsi="新細明體"/>
          <w:color w:val="000000"/>
        </w:rPr>
        <w:t>：</w:t>
      </w:r>
      <w:r>
        <w:rPr>
          <w:rFonts w:ascii="標楷體" w:eastAsia="標楷體" w:hAnsi="標楷體"/>
          <w:color w:val="000000"/>
        </w:rPr>
        <w:t>(108/3/1)</w:t>
      </w:r>
    </w:p>
    <w:p w:rsidR="00B96EA0" w:rsidRDefault="007D66B8" w:rsidP="005142EB">
      <w:pPr>
        <w:tabs>
          <w:tab w:val="left" w:pos="1418"/>
        </w:tabs>
        <w:spacing w:line="400" w:lineRule="exact"/>
        <w:ind w:left="283"/>
        <w:rPr>
          <w:rFonts w:ascii="標楷體" w:eastAsia="標楷體" w:hAnsi="標楷體"/>
          <w:color w:val="000000"/>
        </w:rPr>
      </w:pPr>
      <w:r>
        <w:rPr>
          <w:rFonts w:ascii="標楷體" w:eastAsia="標楷體" w:hAnsi="標楷體"/>
          <w:color w:val="000000"/>
        </w:rPr>
        <w:t>限用於治療去勢抗性攝護腺癌(castration-resistant prostate cancer)病患，其合併有症狀的骨轉移且尚未有臟器轉移者，且病人須符合下列三項條件：</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患者須合併有症狀之骨轉移且骨轉移≧2處</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每位患者最高使用六個療程</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須經事前審查核准後使用，申請時需檢附：</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.用藥紀錄(證明為有症狀的骨轉移、需常規使用止痛藥物)</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.三個月內影像報告證明骨轉移≧2處</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.三個月內影像報告證明無臟器轉移</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不得合併使用abiraterone、enzalutamide及其他治療因惡性腫瘤伴隨骨骼事件之藥品，如denosumab、bisphosphonates等。</w:t>
      </w:r>
    </w:p>
    <w:p w:rsidR="00EC62C6" w:rsidRDefault="00EC62C6" w:rsidP="00EC62C6">
      <w:pPr>
        <w:tabs>
          <w:tab w:val="left" w:pos="1418"/>
        </w:tabs>
        <w:spacing w:line="400" w:lineRule="exact"/>
        <w:ind w:left="895" w:hanging="612"/>
      </w:pPr>
      <w:bookmarkStart w:id="19" w:name="_Hlk209192581"/>
      <w:r>
        <w:rPr>
          <w:rFonts w:ascii="標楷體" w:eastAsia="標楷體" w:hAnsi="標楷體"/>
          <w:color w:val="000000"/>
        </w:rPr>
        <w:t>9.69.免疫檢查點抑制劑(如atezolizumab；nivolumab；pembrolizumab；avelumab</w:t>
      </w:r>
      <w:r>
        <w:rPr>
          <w:rFonts w:ascii="標楷體" w:eastAsia="標楷體" w:hAnsi="標楷體" w:cs="標楷體.鬁..."/>
          <w:color w:val="000000"/>
          <w:kern w:val="0"/>
          <w:szCs w:val="24"/>
        </w:rPr>
        <w:t>；ipilimumab</w:t>
      </w:r>
      <w:r>
        <w:rPr>
          <w:rFonts w:ascii="標楷體" w:eastAsia="標楷體" w:hAnsi="標楷體"/>
          <w:color w:val="000000"/>
        </w:rPr>
        <w:t>；durvalumab；tremelimumab製劑)：(108/4/1、108/6/1、109/4/1、109/6/1、109/11/1、110/5/1、110/10/1、111/4/1、111/6/1、112/8/1、112/10/1</w:t>
      </w:r>
      <w:r>
        <w:rPr>
          <w:rFonts w:ascii="標楷體" w:eastAsia="標楷體" w:hAnsi="標楷體"/>
          <w:szCs w:val="24"/>
        </w:rPr>
        <w:t>、112/12/1、113/2/1、113/4/</w:t>
      </w:r>
      <w:r>
        <w:rPr>
          <w:rFonts w:ascii="標楷體" w:eastAsia="標楷體" w:hAnsi="標楷體"/>
          <w:color w:val="000000"/>
        </w:rPr>
        <w:t>1、113/5/1、113/6/1、113/8/1、114/1/1、114/2/1、114/6/1、114/8/1、114/10/1</w:t>
      </w:r>
      <w:r>
        <w:rPr>
          <w:rFonts w:ascii="標楷體" w:eastAsia="標楷體" w:hAnsi="標楷體"/>
        </w:rPr>
        <w:t>、115/2/1</w:t>
      </w:r>
      <w:r>
        <w:rPr>
          <w:rFonts w:ascii="標楷體" w:eastAsia="標楷體" w:hAnsi="標楷體" w:hint="eastAsia"/>
        </w:rPr>
        <w:t>、115/4/1</w:t>
      </w:r>
      <w:r>
        <w:rPr>
          <w:rFonts w:ascii="標楷體" w:eastAsia="標楷體" w:hAnsi="標楷體"/>
          <w:color w:val="000000"/>
        </w:rPr>
        <w:t>)</w:t>
      </w:r>
    </w:p>
    <w:bookmarkEnd w:id="19"/>
    <w:p w:rsidR="00EC62C6" w:rsidRDefault="00EC62C6" w:rsidP="00EC62C6">
      <w:pPr>
        <w:tabs>
          <w:tab w:val="left" w:pos="945"/>
        </w:tabs>
        <w:spacing w:line="400" w:lineRule="exact"/>
        <w:ind w:left="849" w:hanging="283"/>
        <w:rPr>
          <w:rFonts w:ascii="標楷體" w:eastAsia="標楷體" w:hAnsi="標楷體"/>
          <w:color w:val="000000"/>
        </w:rPr>
      </w:pPr>
      <w:r>
        <w:rPr>
          <w:rFonts w:ascii="標楷體" w:eastAsia="標楷體" w:hAnsi="標楷體"/>
          <w:color w:val="000000"/>
        </w:rPr>
        <w:t>1.本類藥品得於藥品許可證登載之適應症及藥品仿單內，單獨使用於下列患者：</w:t>
      </w:r>
    </w:p>
    <w:p w:rsidR="00EC62C6" w:rsidRDefault="00EC62C6" w:rsidP="00EC62C6">
      <w:pPr>
        <w:spacing w:line="400" w:lineRule="exact"/>
        <w:ind w:left="1134" w:hanging="386"/>
        <w:rPr>
          <w:rFonts w:ascii="標楷體" w:eastAsia="標楷體" w:hAnsi="標楷體"/>
          <w:color w:val="000000"/>
        </w:rPr>
      </w:pPr>
      <w:r>
        <w:rPr>
          <w:rFonts w:ascii="標楷體" w:eastAsia="標楷體" w:hAnsi="標楷體"/>
          <w:color w:val="000000"/>
        </w:rPr>
        <w:t>(1)黑色素瘤：腫瘤無法切除或轉移之第三期或第四期黑色素瘤病人，先前曾接受過至少一次全身性治療失敗者。</w:t>
      </w:r>
    </w:p>
    <w:p w:rsidR="00EC62C6" w:rsidRDefault="00EC62C6" w:rsidP="00EC62C6">
      <w:pPr>
        <w:spacing w:line="400" w:lineRule="exact"/>
        <w:ind w:left="1134" w:hanging="386"/>
      </w:pPr>
      <w:r>
        <w:rPr>
          <w:rFonts w:ascii="標楷體" w:eastAsia="標楷體" w:hAnsi="標楷體"/>
          <w:color w:val="000000"/>
        </w:rPr>
        <w:lastRenderedPageBreak/>
        <w:t>(2)非小細胞肺癌：(109/4/1、109</w:t>
      </w:r>
      <w:r>
        <w:rPr>
          <w:rFonts w:ascii="標楷體" w:eastAsia="標楷體" w:hAnsi="標楷體"/>
          <w:szCs w:val="24"/>
        </w:rPr>
        <w:t>/11/1、114/6/1、114/8/1)</w:t>
      </w:r>
    </w:p>
    <w:p w:rsidR="00EC62C6" w:rsidRDefault="00EC62C6" w:rsidP="00EC62C6">
      <w:pPr>
        <w:numPr>
          <w:ilvl w:val="2"/>
          <w:numId w:val="37"/>
        </w:numPr>
        <w:suppressAutoHyphens w:val="0"/>
        <w:spacing w:line="400" w:lineRule="exact"/>
        <w:ind w:left="1560" w:hanging="284"/>
        <w:jc w:val="both"/>
        <w:textAlignment w:val="auto"/>
      </w:pPr>
      <w:bookmarkStart w:id="20" w:name="_Hlk196237903"/>
      <w:bookmarkStart w:id="21" w:name="_Hlk196827702"/>
      <w:r>
        <w:rPr>
          <w:rFonts w:ascii="標楷體" w:eastAsia="標楷體" w:hAnsi="標楷體"/>
          <w:szCs w:val="24"/>
        </w:rPr>
        <w:t>鞏固治療：限durvalumab用於第三期局部晚期</w:t>
      </w:r>
      <w:bookmarkEnd w:id="20"/>
      <w:r>
        <w:rPr>
          <w:rFonts w:ascii="標楷體" w:eastAsia="標楷體" w:hAnsi="標楷體"/>
          <w:szCs w:val="24"/>
        </w:rPr>
        <w:t xml:space="preserve">、無法手術切除且腫瘤表現PD-L1 </w:t>
      </w:r>
      <w:r>
        <w:rPr>
          <w:rFonts w:ascii="Times New Roman" w:eastAsia="標楷體" w:hAnsi="Times New Roman"/>
          <w:szCs w:val="24"/>
        </w:rPr>
        <w:t>≥</w:t>
      </w:r>
      <w:r>
        <w:rPr>
          <w:rFonts w:ascii="標楷體" w:eastAsia="標楷體" w:hAnsi="標楷體"/>
          <w:szCs w:val="24"/>
        </w:rPr>
        <w:t xml:space="preserve"> 1%之非小細胞肺癌成人病人，非鱗狀癌者需為EGFR/ALK/ROS-1腫瘤基因原生型、鱗狀癌者需為EGFR/ALK腫瘤基因原生型，病人須於接受根治性同步放射治療合併至少2個週期含鉑化療後無惡化(無PD)，且至多使用12個月。(114/8/1)</w:t>
      </w:r>
    </w:p>
    <w:p w:rsidR="00EC62C6" w:rsidRDefault="00EC62C6" w:rsidP="00EC62C6">
      <w:pPr>
        <w:numPr>
          <w:ilvl w:val="2"/>
          <w:numId w:val="37"/>
        </w:numPr>
        <w:suppressAutoHyphens w:val="0"/>
        <w:spacing w:line="400" w:lineRule="exact"/>
        <w:ind w:left="1560" w:hanging="426"/>
        <w:jc w:val="both"/>
        <w:textAlignment w:val="auto"/>
        <w:rPr>
          <w:rFonts w:ascii="標楷體" w:eastAsia="標楷體" w:hAnsi="標楷體"/>
          <w:szCs w:val="24"/>
        </w:rPr>
      </w:pPr>
      <w:r>
        <w:rPr>
          <w:rFonts w:ascii="標楷體" w:eastAsia="標楷體" w:hAnsi="標楷體"/>
          <w:szCs w:val="24"/>
        </w:rPr>
        <w:t>非小細胞肺癌第一線用藥：</w:t>
      </w:r>
      <w:bookmarkEnd w:id="21"/>
      <w:r>
        <w:rPr>
          <w:rFonts w:ascii="標楷體" w:eastAsia="標楷體" w:hAnsi="標楷體"/>
          <w:szCs w:val="24"/>
        </w:rPr>
        <w:t>轉移性非小細胞肺癌成人病人，非鱗狀癌者需為EGFR/ALK/ROS-1腫瘤基因原生型、鱗狀癌者需為EGFR/ALK腫瘤基因原生型。</w:t>
      </w:r>
      <w:bookmarkStart w:id="22" w:name="_Hlk196827708"/>
      <w:r>
        <w:rPr>
          <w:rFonts w:ascii="標楷體" w:eastAsia="標楷體" w:hAnsi="標楷體"/>
          <w:szCs w:val="24"/>
        </w:rPr>
        <w:t>(114/6/1)</w:t>
      </w:r>
    </w:p>
    <w:p w:rsidR="00EC62C6" w:rsidRDefault="00EC62C6" w:rsidP="00EC62C6">
      <w:pPr>
        <w:numPr>
          <w:ilvl w:val="2"/>
          <w:numId w:val="37"/>
        </w:numPr>
        <w:suppressAutoHyphens w:val="0"/>
        <w:spacing w:line="400" w:lineRule="exact"/>
        <w:ind w:left="1560" w:hanging="567"/>
        <w:jc w:val="both"/>
        <w:textAlignment w:val="auto"/>
        <w:rPr>
          <w:rFonts w:ascii="標楷體" w:eastAsia="標楷體" w:hAnsi="標楷體"/>
          <w:szCs w:val="24"/>
        </w:rPr>
      </w:pPr>
      <w:r>
        <w:rPr>
          <w:rFonts w:ascii="標楷體" w:eastAsia="標楷體" w:hAnsi="標楷體"/>
          <w:szCs w:val="24"/>
        </w:rPr>
        <w:t>鱗狀非小細胞肺癌第二線用藥：</w:t>
      </w:r>
      <w:bookmarkEnd w:id="22"/>
      <w:r>
        <w:rPr>
          <w:rFonts w:ascii="標楷體" w:eastAsia="標楷體" w:hAnsi="標楷體"/>
          <w:szCs w:val="24"/>
        </w:rPr>
        <w:t>先前已使用過platinum類化學治療失敗後，又有疾病惡化，且EGFR/ALK腫瘤基因為原生型之晚期鱗狀非小細胞肺癌成人病人。</w:t>
      </w:r>
      <w:bookmarkStart w:id="23" w:name="_Hlk196827713"/>
    </w:p>
    <w:p w:rsidR="00EC62C6" w:rsidRDefault="00EC62C6" w:rsidP="00EC62C6">
      <w:pPr>
        <w:numPr>
          <w:ilvl w:val="2"/>
          <w:numId w:val="37"/>
        </w:numPr>
        <w:suppressAutoHyphens w:val="0"/>
        <w:spacing w:line="400" w:lineRule="exact"/>
        <w:ind w:left="1560" w:hanging="426"/>
        <w:jc w:val="both"/>
        <w:textAlignment w:val="auto"/>
        <w:rPr>
          <w:rFonts w:ascii="標楷體" w:eastAsia="標楷體" w:hAnsi="標楷體"/>
          <w:kern w:val="0"/>
          <w:szCs w:val="24"/>
        </w:rPr>
      </w:pPr>
      <w:r>
        <w:rPr>
          <w:rFonts w:ascii="標楷體" w:eastAsia="標楷體" w:hAnsi="標楷體"/>
          <w:kern w:val="0"/>
          <w:szCs w:val="24"/>
        </w:rPr>
        <w:t>肺腺癌第三線用藥：</w:t>
      </w:r>
      <w:bookmarkEnd w:id="23"/>
      <w:r>
        <w:rPr>
          <w:rFonts w:ascii="標楷體" w:eastAsia="標楷體" w:hAnsi="標楷體"/>
          <w:kern w:val="0"/>
          <w:szCs w:val="24"/>
        </w:rPr>
        <w:t>先前已使用過platinum類及docetaxel/paclitaxel類二線(含)以上化學治療均失敗，又有疾病惡化，且EGFR/ALK/ROS-1腫瘤基因為原生型之晚期非小細胞肺腺癌成人病人。</w:t>
      </w:r>
    </w:p>
    <w:p w:rsidR="00EC62C6" w:rsidRDefault="00EC62C6" w:rsidP="00EC62C6">
      <w:pPr>
        <w:spacing w:line="400" w:lineRule="exact"/>
        <w:ind w:left="1134" w:hanging="386"/>
        <w:rPr>
          <w:rFonts w:ascii="標楷體" w:eastAsia="標楷體" w:hAnsi="標楷體"/>
          <w:color w:val="000000"/>
        </w:rPr>
      </w:pPr>
      <w:r>
        <w:rPr>
          <w:rFonts w:ascii="標楷體" w:eastAsia="標楷體" w:hAnsi="標楷體"/>
          <w:color w:val="000000"/>
        </w:rPr>
        <w:t>(3)典型何杰金氏淋巴瘤：先前已接受自體造血幹細胞移植(HSCT)與移植後brentuximab vedotin (BV)治療，但又復發或惡化的典型何杰金氏淋巴瘤成人患者。</w:t>
      </w:r>
    </w:p>
    <w:p w:rsidR="00EC62C6" w:rsidRDefault="00EC62C6" w:rsidP="00EC62C6">
      <w:pPr>
        <w:spacing w:line="400" w:lineRule="exact"/>
        <w:ind w:left="1134" w:hanging="386"/>
        <w:rPr>
          <w:rFonts w:ascii="標楷體" w:eastAsia="標楷體" w:hAnsi="標楷體"/>
          <w:color w:val="000000"/>
        </w:rPr>
      </w:pPr>
      <w:r>
        <w:rPr>
          <w:rFonts w:ascii="標楷體" w:eastAsia="標楷體" w:hAnsi="標楷體"/>
          <w:color w:val="000000"/>
        </w:rPr>
        <w:t>(4)泌尿道上皮癌：使用含atezolizumab藥品成分須於113年8月1日前審核同意用藥。(109/11/1、112/10/1、113/8/1)</w:t>
      </w:r>
    </w:p>
    <w:p w:rsidR="00EC62C6" w:rsidRDefault="00EC62C6" w:rsidP="00EC62C6">
      <w:pPr>
        <w:spacing w:line="400" w:lineRule="exact"/>
        <w:ind w:left="1558" w:hanging="245"/>
        <w:rPr>
          <w:rFonts w:ascii="標楷體" w:eastAsia="標楷體" w:hAnsi="標楷體"/>
          <w:color w:val="000000"/>
        </w:rPr>
      </w:pPr>
      <w:r>
        <w:rPr>
          <w:rFonts w:ascii="標楷體" w:eastAsia="標楷體" w:hAnsi="標楷體"/>
          <w:color w:val="000000"/>
        </w:rPr>
        <w:t>I.不適合接受化學治療之轉移性泌尿道上皮癌成人患者，且需符合下列條件之一：</w:t>
      </w:r>
    </w:p>
    <w:p w:rsidR="00EC62C6" w:rsidRDefault="00EC62C6" w:rsidP="00EC62C6">
      <w:pPr>
        <w:tabs>
          <w:tab w:val="left" w:pos="1185"/>
        </w:tabs>
        <w:spacing w:line="400" w:lineRule="exact"/>
        <w:ind w:left="1843" w:hanging="259"/>
        <w:rPr>
          <w:rFonts w:ascii="標楷體" w:eastAsia="標楷體" w:hAnsi="標楷體"/>
          <w:color w:val="000000"/>
        </w:rPr>
      </w:pPr>
      <w:r>
        <w:rPr>
          <w:rFonts w:ascii="標楷體" w:eastAsia="標楷體" w:hAnsi="標楷體"/>
          <w:color w:val="000000"/>
        </w:rPr>
        <w:t>i.CTCAE(the common terminology criteria for adverse events) v4.0 grade≧2 audiometric hearing loss</w:t>
      </w:r>
    </w:p>
    <w:p w:rsidR="00EC62C6" w:rsidRDefault="00EC62C6" w:rsidP="00EC62C6">
      <w:pPr>
        <w:tabs>
          <w:tab w:val="left" w:pos="1185"/>
        </w:tabs>
        <w:spacing w:line="400" w:lineRule="exact"/>
        <w:ind w:left="1584"/>
        <w:rPr>
          <w:rFonts w:ascii="標楷體" w:eastAsia="標楷體" w:hAnsi="標楷體"/>
          <w:color w:val="000000"/>
        </w:rPr>
      </w:pPr>
      <w:r>
        <w:rPr>
          <w:rFonts w:ascii="標楷體" w:eastAsia="標楷體" w:hAnsi="標楷體"/>
          <w:color w:val="000000"/>
        </w:rPr>
        <w:t>ii.CTCAE v4.0 grade≧2 peripheral neuropathy</w:t>
      </w:r>
    </w:p>
    <w:p w:rsidR="00EC62C6" w:rsidRDefault="00EC62C6" w:rsidP="00EC62C6">
      <w:pPr>
        <w:tabs>
          <w:tab w:val="left" w:pos="1185"/>
        </w:tabs>
        <w:spacing w:line="400" w:lineRule="exact"/>
        <w:ind w:left="1584"/>
        <w:rPr>
          <w:rFonts w:ascii="標楷體" w:eastAsia="標楷體" w:hAnsi="標楷體"/>
          <w:color w:val="000000"/>
        </w:rPr>
      </w:pPr>
      <w:r>
        <w:rPr>
          <w:rFonts w:ascii="標楷體" w:eastAsia="標楷體" w:hAnsi="標楷體"/>
          <w:color w:val="000000"/>
        </w:rPr>
        <w:t>iii.CIRS(the cumulative illness rating scale) score &gt;6</w:t>
      </w:r>
    </w:p>
    <w:p w:rsidR="00EC62C6" w:rsidRDefault="00EC62C6" w:rsidP="00EC62C6">
      <w:pPr>
        <w:tabs>
          <w:tab w:val="left" w:pos="1185"/>
        </w:tabs>
        <w:spacing w:line="400" w:lineRule="exact"/>
        <w:ind w:left="1685" w:hanging="409"/>
        <w:rPr>
          <w:rFonts w:ascii="標楷體" w:eastAsia="標楷體" w:hAnsi="標楷體"/>
          <w:color w:val="000000"/>
        </w:rPr>
      </w:pPr>
      <w:r>
        <w:rPr>
          <w:rFonts w:ascii="標楷體" w:eastAsia="標楷體" w:hAnsi="標楷體"/>
          <w:color w:val="000000"/>
        </w:rPr>
        <w:t>II.</w:t>
      </w:r>
      <w:r>
        <w:rPr>
          <w:rFonts w:ascii="標楷體" w:eastAsia="標楷體" w:hAnsi="標楷體"/>
          <w:color w:val="000000"/>
        </w:rPr>
        <w:tab/>
        <w:t>先前已使用過platinum類化學治療失敗後疾病惡化的局部晚期無法切除或轉移性泌尿道上皮癌成人患者。</w:t>
      </w:r>
    </w:p>
    <w:p w:rsidR="00EC62C6" w:rsidRDefault="00EC62C6" w:rsidP="00EC62C6">
      <w:pPr>
        <w:tabs>
          <w:tab w:val="left" w:pos="1185"/>
        </w:tabs>
        <w:spacing w:line="400" w:lineRule="exact"/>
        <w:ind w:left="1712" w:hanging="409"/>
      </w:pPr>
      <w:r>
        <w:rPr>
          <w:rFonts w:ascii="標楷體" w:eastAsia="標楷體" w:hAnsi="標楷體"/>
          <w:color w:val="000000"/>
        </w:rPr>
        <w:t>III.</w:t>
      </w:r>
      <w:r>
        <w:rPr>
          <w:rFonts w:ascii="標楷體" w:eastAsia="標楷體" w:hAnsi="標楷體"/>
          <w:szCs w:val="24"/>
        </w:rPr>
        <w:t>限avelumab用於接受第一線含鉑化學治療4至6個療程後，疾病未惡化，</w:t>
      </w:r>
      <w:r>
        <w:rPr>
          <w:rFonts w:ascii="標楷體" w:eastAsia="標楷體" w:hAnsi="標楷體"/>
          <w:color w:val="000000"/>
          <w:szCs w:val="24"/>
        </w:rPr>
        <w:t>且達部分緩解（PR）或疾病呈穩定狀態者(SD)</w:t>
      </w:r>
      <w:r>
        <w:rPr>
          <w:rFonts w:ascii="標楷體" w:eastAsia="標楷體" w:hAnsi="標楷體"/>
          <w:szCs w:val="24"/>
        </w:rPr>
        <w:t>之無法手術切除局部晚期(stage Ⅲ)或轉移性泌尿上皮癌(stage Ⅳ)成人患者之維持療法。(112/10/1）</w:t>
      </w:r>
    </w:p>
    <w:p w:rsidR="00EC62C6" w:rsidRDefault="00EC62C6" w:rsidP="00EC62C6">
      <w:pPr>
        <w:spacing w:line="400" w:lineRule="exact"/>
        <w:ind w:left="1134" w:hanging="386"/>
        <w:rPr>
          <w:rFonts w:ascii="標楷體" w:eastAsia="標楷體" w:hAnsi="標楷體"/>
          <w:szCs w:val="24"/>
          <w:lang w:val="zh-TW" w:bidi="zh-TW"/>
        </w:rPr>
      </w:pPr>
      <w:r>
        <w:rPr>
          <w:rFonts w:ascii="標楷體" w:eastAsia="標楷體" w:hAnsi="標楷體"/>
          <w:szCs w:val="24"/>
          <w:lang w:val="zh-TW" w:bidi="zh-TW"/>
        </w:rPr>
        <w:t>(5)頭頸部鱗狀細胞癌(不含鼻咽癌)：(108/4/1、109/11/1、112/12/1、115/2/1)</w:t>
      </w:r>
    </w:p>
    <w:p w:rsidR="00EC62C6" w:rsidRDefault="00EC62C6" w:rsidP="00EC62C6">
      <w:pPr>
        <w:tabs>
          <w:tab w:val="left" w:pos="1185"/>
        </w:tabs>
        <w:spacing w:line="400" w:lineRule="exact"/>
        <w:ind w:left="1560" w:hanging="360"/>
      </w:pPr>
      <w:r>
        <w:rPr>
          <w:rFonts w:ascii="標楷體" w:eastAsia="標楷體" w:hAnsi="標楷體"/>
          <w:szCs w:val="24"/>
          <w:lang w:val="zh-TW" w:bidi="zh-TW"/>
        </w:rPr>
        <w:t>I.先前未曾接受全身性治療</w:t>
      </w:r>
      <w:r>
        <w:rPr>
          <w:rFonts w:ascii="標楷體" w:eastAsia="標楷體" w:hAnsi="標楷體"/>
          <w:szCs w:val="24"/>
          <w:lang w:bidi="zh-TW"/>
        </w:rPr>
        <w:t>且無法手術切除之復發性或</w:t>
      </w:r>
      <w:r>
        <w:rPr>
          <w:rFonts w:ascii="標楷體" w:eastAsia="標楷體" w:hAnsi="標楷體"/>
          <w:szCs w:val="24"/>
          <w:lang w:val="zh-TW" w:bidi="zh-TW"/>
        </w:rPr>
        <w:t>轉移性(第三期或第四期)頭頸部鱗狀細胞癌成人患者。（112/12/1)</w:t>
      </w:r>
    </w:p>
    <w:p w:rsidR="00EC62C6" w:rsidRDefault="00EC62C6" w:rsidP="00EC62C6">
      <w:pPr>
        <w:tabs>
          <w:tab w:val="left" w:pos="1185"/>
        </w:tabs>
        <w:spacing w:line="400" w:lineRule="exact"/>
        <w:ind w:left="1560" w:hanging="360"/>
      </w:pPr>
      <w:r>
        <w:rPr>
          <w:rFonts w:ascii="標楷體" w:eastAsia="標楷體" w:hAnsi="標楷體"/>
          <w:szCs w:val="24"/>
          <w:lang w:val="zh-TW" w:bidi="zh-TW"/>
        </w:rPr>
        <w:t>II.先前已使用過platinum類化學治療失敗後，又有疾病惡化的復發</w:t>
      </w:r>
      <w:r>
        <w:rPr>
          <w:rFonts w:ascii="標楷體" w:eastAsia="標楷體" w:hAnsi="標楷體"/>
          <w:szCs w:val="24"/>
          <w:lang w:bidi="zh-TW"/>
        </w:rPr>
        <w:t>性或</w:t>
      </w:r>
      <w:r>
        <w:rPr>
          <w:rFonts w:ascii="標楷體" w:eastAsia="標楷體" w:hAnsi="標楷體"/>
          <w:szCs w:val="24"/>
          <w:lang w:val="zh-TW" w:bidi="zh-TW"/>
        </w:rPr>
        <w:t>轉移性(第三期或第四期)頭頸部鱗狀細胞癌成人患者。(108/4/1、109/11/1、</w:t>
      </w:r>
      <w:r>
        <w:rPr>
          <w:rFonts w:ascii="標楷體" w:eastAsia="標楷體" w:hAnsi="標楷體"/>
          <w:szCs w:val="24"/>
          <w:lang w:val="zh-TW" w:bidi="zh-TW"/>
        </w:rPr>
        <w:lastRenderedPageBreak/>
        <w:t>112/12/1）</w:t>
      </w:r>
    </w:p>
    <w:p w:rsidR="00EC62C6" w:rsidRDefault="00EC62C6" w:rsidP="00EC62C6">
      <w:pPr>
        <w:spacing w:line="400" w:lineRule="exact"/>
        <w:ind w:left="1134" w:hanging="386"/>
      </w:pPr>
      <w:r>
        <w:rPr>
          <w:rFonts w:ascii="標楷體" w:eastAsia="標楷體" w:hAnsi="標楷體"/>
          <w:color w:val="000000"/>
        </w:rPr>
        <w:t xml:space="preserve"> (6)轉移</w:t>
      </w:r>
      <w:r>
        <w:rPr>
          <w:rFonts w:ascii="標楷體" w:eastAsia="標楷體" w:hAnsi="標楷體"/>
          <w:szCs w:val="24"/>
          <w:lang w:val="zh-TW" w:bidi="zh-TW"/>
        </w:rPr>
        <w:t>性胃癌：先前已使用過二線(含)以上化學治療均失敗，又有疾病惡化的轉移性胃腺癌成人患者，且於109年4月1日前經審核同意用藥，後續評估符合續用申請條件者。(109/4/1)</w:t>
      </w:r>
    </w:p>
    <w:p w:rsidR="00EC62C6" w:rsidRPr="00293F77" w:rsidRDefault="00EC62C6" w:rsidP="00EC62C6">
      <w:pPr>
        <w:spacing w:line="400" w:lineRule="exact"/>
        <w:ind w:left="1134" w:hanging="386"/>
        <w:rPr>
          <w:rFonts w:ascii="標楷體" w:eastAsia="標楷體" w:hAnsi="標楷體"/>
          <w:szCs w:val="24"/>
          <w:lang w:bidi="zh-TW"/>
        </w:rPr>
      </w:pPr>
      <w:r w:rsidRPr="00293F77">
        <w:rPr>
          <w:rFonts w:ascii="標楷體" w:eastAsia="標楷體" w:hAnsi="標楷體"/>
          <w:szCs w:val="24"/>
          <w:lang w:bidi="zh-TW"/>
        </w:rPr>
        <w:t>(7)</w:t>
      </w:r>
      <w:r>
        <w:rPr>
          <w:rFonts w:ascii="標楷體" w:eastAsia="標楷體" w:hAnsi="標楷體"/>
          <w:szCs w:val="24"/>
          <w:lang w:val="zh-TW" w:bidi="zh-TW"/>
        </w:rPr>
        <w:t>晚期腎細胞癌</w:t>
      </w:r>
      <w:r w:rsidRPr="00293F77">
        <w:rPr>
          <w:rFonts w:ascii="標楷體" w:eastAsia="標楷體" w:hAnsi="標楷體"/>
          <w:szCs w:val="24"/>
          <w:lang w:bidi="zh-TW"/>
        </w:rPr>
        <w:t>：</w:t>
      </w:r>
      <w:r>
        <w:rPr>
          <w:rFonts w:ascii="標楷體" w:eastAsia="標楷體" w:hAnsi="標楷體"/>
          <w:szCs w:val="24"/>
          <w:lang w:val="zh-TW" w:bidi="zh-TW"/>
        </w:rPr>
        <w:t>先前已使用過至少二線標靶藥物治療均失敗</w:t>
      </w:r>
      <w:r w:rsidRPr="00293F77">
        <w:rPr>
          <w:rFonts w:ascii="標楷體" w:eastAsia="標楷體" w:hAnsi="標楷體"/>
          <w:szCs w:val="24"/>
          <w:lang w:bidi="zh-TW"/>
        </w:rPr>
        <w:t>，</w:t>
      </w:r>
      <w:r>
        <w:rPr>
          <w:rFonts w:ascii="標楷體" w:eastAsia="標楷體" w:hAnsi="標楷體"/>
          <w:szCs w:val="24"/>
          <w:lang w:val="zh-TW" w:bidi="zh-TW"/>
        </w:rPr>
        <w:t>又有疾病惡化之晚期腎細胞癌</w:t>
      </w:r>
      <w:r w:rsidRPr="00293F77">
        <w:rPr>
          <w:rFonts w:ascii="標楷體" w:eastAsia="標楷體" w:hAnsi="標楷體"/>
          <w:szCs w:val="24"/>
          <w:lang w:bidi="zh-TW"/>
        </w:rPr>
        <w:t>，</w:t>
      </w:r>
      <w:r>
        <w:rPr>
          <w:rFonts w:ascii="標楷體" w:eastAsia="標楷體" w:hAnsi="標楷體"/>
          <w:szCs w:val="24"/>
          <w:lang w:val="zh-TW" w:bidi="zh-TW"/>
        </w:rPr>
        <w:t>其病理上為亮細胞癌</w:t>
      </w:r>
      <w:r w:rsidRPr="00293F77">
        <w:rPr>
          <w:rFonts w:ascii="標楷體" w:eastAsia="標楷體" w:hAnsi="標楷體"/>
          <w:szCs w:val="24"/>
          <w:lang w:bidi="zh-TW"/>
        </w:rPr>
        <w:t>(clear cell renal carcinoma)</w:t>
      </w:r>
      <w:r>
        <w:rPr>
          <w:rFonts w:ascii="標楷體" w:eastAsia="標楷體" w:hAnsi="標楷體"/>
          <w:szCs w:val="24"/>
          <w:lang w:val="zh-TW" w:bidi="zh-TW"/>
        </w:rPr>
        <w:t>之成人患者。</w:t>
      </w:r>
    </w:p>
    <w:p w:rsidR="00EC62C6" w:rsidRDefault="00EC62C6" w:rsidP="00EC62C6">
      <w:pPr>
        <w:spacing w:line="400" w:lineRule="exact"/>
        <w:ind w:left="1134" w:hanging="386"/>
      </w:pPr>
      <w:r>
        <w:rPr>
          <w:rFonts w:ascii="標楷體" w:eastAsia="標楷體" w:hAnsi="標楷體"/>
          <w:szCs w:val="24"/>
          <w:lang w:val="zh-TW" w:bidi="zh-TW"/>
        </w:rPr>
        <w:t>(8)晚期肝</w:t>
      </w:r>
      <w:r>
        <w:rPr>
          <w:rFonts w:ascii="標楷體" w:eastAsia="標楷體" w:hAnsi="標楷體"/>
          <w:color w:val="000000"/>
        </w:rPr>
        <w:t>細胞癌：需同時符合下列所有條件：</w:t>
      </w:r>
    </w:p>
    <w:p w:rsidR="00EC62C6" w:rsidRDefault="00EC62C6" w:rsidP="00EC62C6">
      <w:pPr>
        <w:tabs>
          <w:tab w:val="left" w:pos="1185"/>
        </w:tabs>
        <w:spacing w:line="400" w:lineRule="exact"/>
        <w:ind w:left="1416" w:hanging="245"/>
        <w:rPr>
          <w:rFonts w:ascii="標楷體" w:eastAsia="標楷體" w:hAnsi="標楷體"/>
          <w:color w:val="000000"/>
        </w:rPr>
      </w:pPr>
      <w:r>
        <w:rPr>
          <w:rFonts w:ascii="標楷體" w:eastAsia="標楷體" w:hAnsi="標楷體"/>
          <w:color w:val="000000"/>
        </w:rPr>
        <w:t>Ⅰ.Child-Pugh A class肝細胞癌成人患者。</w:t>
      </w:r>
    </w:p>
    <w:p w:rsidR="00EC62C6" w:rsidRDefault="00EC62C6" w:rsidP="00EC62C6">
      <w:pPr>
        <w:tabs>
          <w:tab w:val="left" w:pos="1185"/>
        </w:tabs>
        <w:spacing w:line="400" w:lineRule="exact"/>
        <w:ind w:left="1416" w:hanging="245"/>
        <w:rPr>
          <w:rFonts w:ascii="標楷體" w:eastAsia="標楷體" w:hAnsi="標楷體"/>
          <w:color w:val="000000"/>
        </w:rPr>
      </w:pPr>
      <w:r>
        <w:rPr>
          <w:rFonts w:ascii="標楷體" w:eastAsia="標楷體" w:hAnsi="標楷體"/>
          <w:color w:val="000000"/>
        </w:rPr>
        <w:t>Ⅱ.先前經T.A.C.E.於12個月內&gt;=3次局部治療失敗者。</w:t>
      </w:r>
    </w:p>
    <w:p w:rsidR="00EC62C6" w:rsidRDefault="00EC62C6" w:rsidP="00EC62C6">
      <w:pPr>
        <w:tabs>
          <w:tab w:val="left" w:pos="1185"/>
        </w:tabs>
        <w:spacing w:line="400" w:lineRule="exact"/>
        <w:ind w:left="1416" w:hanging="245"/>
        <w:rPr>
          <w:rFonts w:ascii="標楷體" w:eastAsia="標楷體" w:hAnsi="標楷體"/>
          <w:color w:val="000000"/>
        </w:rPr>
      </w:pPr>
      <w:r>
        <w:rPr>
          <w:rFonts w:ascii="標楷體" w:eastAsia="標楷體" w:hAnsi="標楷體"/>
          <w:color w:val="000000"/>
        </w:rPr>
        <w:t>Ⅲ.已使用過至少一線標靶藥物治療失敗，又有疾病惡化者。本類藥品與regorafenib、ramucirumab僅能擇一使用，且治療失敗時不可互換。(108/6/1、110/5/1)</w:t>
      </w:r>
    </w:p>
    <w:p w:rsidR="00EC62C6" w:rsidRDefault="00EC62C6" w:rsidP="00EC62C6">
      <w:pPr>
        <w:tabs>
          <w:tab w:val="left" w:pos="1185"/>
        </w:tabs>
        <w:spacing w:line="400" w:lineRule="exact"/>
        <w:ind w:left="1416" w:hanging="245"/>
        <w:rPr>
          <w:rFonts w:ascii="標楷體" w:eastAsia="標楷體" w:hAnsi="標楷體"/>
          <w:color w:val="000000"/>
        </w:rPr>
      </w:pPr>
      <w:r>
        <w:rPr>
          <w:rFonts w:ascii="標楷體" w:eastAsia="標楷體" w:hAnsi="標楷體"/>
          <w:color w:val="000000"/>
        </w:rPr>
        <w:t>Ⅳ.未曾進行肝臟移植。</w:t>
      </w:r>
    </w:p>
    <w:p w:rsidR="00EC62C6" w:rsidRDefault="00EC62C6" w:rsidP="00EC62C6">
      <w:pPr>
        <w:tabs>
          <w:tab w:val="left" w:pos="1185"/>
        </w:tabs>
        <w:spacing w:line="400" w:lineRule="exact"/>
        <w:ind w:left="1416" w:hanging="245"/>
        <w:rPr>
          <w:rFonts w:ascii="標楷體" w:eastAsia="標楷體" w:hAnsi="標楷體"/>
          <w:color w:val="000000"/>
        </w:rPr>
      </w:pPr>
      <w:r>
        <w:rPr>
          <w:rFonts w:ascii="標楷體" w:eastAsia="標楷體" w:hAnsi="標楷體"/>
          <w:color w:val="000000"/>
        </w:rPr>
        <w:t>Ⅴ.於109年4月1日前經審核同意用藥，後續評估符合續用申請條件者。(109/4/1)</w:t>
      </w:r>
    </w:p>
    <w:p w:rsidR="00EC62C6" w:rsidRDefault="00EC62C6" w:rsidP="00EC62C6">
      <w:pPr>
        <w:spacing w:line="400" w:lineRule="exact"/>
        <w:ind w:left="1134" w:hanging="386"/>
      </w:pPr>
      <w:r>
        <w:rPr>
          <w:rFonts w:ascii="標楷體" w:eastAsia="標楷體" w:hAnsi="標楷體"/>
          <w:color w:val="000000"/>
        </w:rPr>
        <w:t>(9)默克細胞</w:t>
      </w:r>
      <w:r>
        <w:rPr>
          <w:rFonts w:ascii="標楷體" w:eastAsia="標楷體" w:hAnsi="標楷體"/>
          <w:szCs w:val="24"/>
          <w:lang w:val="zh-TW" w:bidi="zh-TW"/>
        </w:rPr>
        <w:t>癌</w:t>
      </w:r>
      <w:r>
        <w:rPr>
          <w:rFonts w:ascii="標楷體" w:eastAsia="標楷體" w:hAnsi="標楷體"/>
          <w:szCs w:val="24"/>
          <w:lang w:bidi="zh-TW"/>
        </w:rPr>
        <w:t>：</w:t>
      </w:r>
      <w:r>
        <w:rPr>
          <w:rFonts w:ascii="標楷體" w:eastAsia="標楷體" w:hAnsi="標楷體"/>
          <w:szCs w:val="24"/>
          <w:lang w:val="zh-TW" w:bidi="zh-TW"/>
        </w:rPr>
        <w:t>限</w:t>
      </w:r>
      <w:r>
        <w:rPr>
          <w:rFonts w:ascii="標楷體" w:eastAsia="標楷體" w:hAnsi="標楷體"/>
          <w:szCs w:val="24"/>
          <w:lang w:bidi="zh-TW"/>
        </w:rPr>
        <w:t>avelumab</w:t>
      </w:r>
      <w:r>
        <w:rPr>
          <w:rFonts w:ascii="標楷體" w:eastAsia="標楷體" w:hAnsi="標楷體"/>
          <w:szCs w:val="24"/>
          <w:lang w:val="zh-TW" w:bidi="zh-TW"/>
        </w:rPr>
        <w:t>用於先前已使用過</w:t>
      </w:r>
      <w:r>
        <w:rPr>
          <w:rFonts w:ascii="標楷體" w:eastAsia="標楷體" w:hAnsi="標楷體"/>
          <w:szCs w:val="24"/>
          <w:lang w:bidi="zh-TW"/>
        </w:rPr>
        <w:t>platinum</w:t>
      </w:r>
      <w:r>
        <w:rPr>
          <w:rFonts w:ascii="標楷體" w:eastAsia="標楷體" w:hAnsi="標楷體"/>
          <w:szCs w:val="24"/>
          <w:lang w:val="zh-TW" w:bidi="zh-TW"/>
        </w:rPr>
        <w:t>類化學治療失敗後</w:t>
      </w:r>
      <w:r>
        <w:rPr>
          <w:rFonts w:ascii="標楷體" w:eastAsia="標楷體" w:hAnsi="標楷體"/>
          <w:szCs w:val="24"/>
          <w:lang w:bidi="zh-TW"/>
        </w:rPr>
        <w:t>，</w:t>
      </w:r>
      <w:r>
        <w:rPr>
          <w:rFonts w:ascii="標楷體" w:eastAsia="標楷體" w:hAnsi="標楷體"/>
          <w:szCs w:val="24"/>
          <w:lang w:val="zh-TW" w:bidi="zh-TW"/>
        </w:rPr>
        <w:t>又有疾病惡化之轉移性第四期默克細胞癌</w:t>
      </w:r>
      <w:r>
        <w:rPr>
          <w:rFonts w:ascii="標楷體" w:eastAsia="標楷體" w:hAnsi="標楷體"/>
          <w:szCs w:val="24"/>
          <w:lang w:bidi="zh-TW"/>
        </w:rPr>
        <w:t>(Merkel Cell Carcinoma)</w:t>
      </w:r>
      <w:r>
        <w:rPr>
          <w:rFonts w:ascii="標楷體" w:eastAsia="標楷體" w:hAnsi="標楷體"/>
          <w:szCs w:val="24"/>
          <w:lang w:val="zh-TW" w:bidi="zh-TW"/>
        </w:rPr>
        <w:t>之成人患者。(109/6/1)</w:t>
      </w:r>
    </w:p>
    <w:p w:rsidR="00EC62C6" w:rsidRDefault="00EC62C6" w:rsidP="00EC62C6">
      <w:pPr>
        <w:spacing w:line="400" w:lineRule="exact"/>
        <w:ind w:left="1134" w:hanging="386"/>
        <w:rPr>
          <w:rFonts w:ascii="標楷體" w:eastAsia="標楷體" w:hAnsi="標楷體"/>
          <w:szCs w:val="24"/>
          <w:lang w:val="zh-TW" w:bidi="zh-TW"/>
        </w:rPr>
      </w:pPr>
      <w:r>
        <w:rPr>
          <w:rFonts w:ascii="標楷體" w:eastAsia="標楷體" w:hAnsi="標楷體"/>
          <w:szCs w:val="24"/>
          <w:lang w:val="zh-TW" w:bidi="zh-TW"/>
        </w:rPr>
        <w:t>(10)食道鱗狀細胞癌：限nivolumab用於曾接受合併含鉑及fluoropyrimidine化學治療之後惡化的無法切除晚期或復發性食道鱗狀細胞癌病人。(113/4/1、113/6/1、115/2/1)</w:t>
      </w:r>
    </w:p>
    <w:p w:rsidR="00EC62C6" w:rsidRDefault="00EC62C6" w:rsidP="00EC62C6">
      <w:pPr>
        <w:spacing w:line="400" w:lineRule="exact"/>
        <w:ind w:left="1134" w:hanging="386"/>
      </w:pPr>
      <w:r>
        <w:rPr>
          <w:rFonts w:ascii="標楷體" w:eastAsia="標楷體" w:hAnsi="標楷體"/>
          <w:szCs w:val="24"/>
          <w:lang w:val="zh-TW" w:bidi="zh-TW"/>
        </w:rPr>
        <w:t>(11)大腸直腸癌</w:t>
      </w:r>
      <w:r>
        <w:rPr>
          <w:rFonts w:ascii="標楷體" w:eastAsia="標楷體" w:hAnsi="標楷體" w:cs="標楷體.鬁..."/>
          <w:color w:val="000000"/>
          <w:kern w:val="0"/>
          <w:szCs w:val="24"/>
        </w:rPr>
        <w:t>：限pembrolizumab做為無法切除或轉移性高微衛星不穩定性(MSI-H)或錯誤配對修復功能不足性(dMMR)大腸直腸癌(CRC)之成年病人第一線治療。(114/6/1)</w:t>
      </w:r>
    </w:p>
    <w:p w:rsidR="00EC62C6" w:rsidRDefault="00EC62C6" w:rsidP="00EC62C6">
      <w:pPr>
        <w:tabs>
          <w:tab w:val="left" w:pos="945"/>
        </w:tabs>
        <w:spacing w:line="400" w:lineRule="exact"/>
        <w:ind w:left="708" w:hanging="142"/>
      </w:pPr>
      <w:r>
        <w:rPr>
          <w:rFonts w:ascii="標楷體" w:eastAsia="標楷體" w:hAnsi="標楷體"/>
          <w:color w:val="000000"/>
          <w:szCs w:val="24"/>
        </w:rPr>
        <w:t>2.</w:t>
      </w:r>
      <w:r>
        <w:rPr>
          <w:rFonts w:ascii="標楷體" w:eastAsia="標楷體" w:hAnsi="標楷體"/>
          <w:szCs w:val="24"/>
        </w:rPr>
        <w:t>本類藥品得於藥品</w:t>
      </w:r>
      <w:r>
        <w:rPr>
          <w:rFonts w:ascii="標楷體" w:eastAsia="標楷體" w:hAnsi="標楷體"/>
          <w:color w:val="000000"/>
        </w:rPr>
        <w:t>許可證</w:t>
      </w:r>
      <w:r>
        <w:rPr>
          <w:rFonts w:ascii="標楷體" w:eastAsia="標楷體" w:hAnsi="標楷體"/>
          <w:szCs w:val="24"/>
        </w:rPr>
        <w:t>登載之適應症及藥品仿單內，併用其他藥品於下列患者：</w:t>
      </w:r>
    </w:p>
    <w:p w:rsidR="00EC62C6" w:rsidRDefault="00EC62C6" w:rsidP="00EC62C6">
      <w:pPr>
        <w:tabs>
          <w:tab w:val="left" w:pos="945"/>
        </w:tabs>
        <w:spacing w:line="400" w:lineRule="exact"/>
        <w:ind w:left="708" w:firstLine="142"/>
      </w:pPr>
      <w:r>
        <w:rPr>
          <w:rFonts w:ascii="標楷體" w:eastAsia="標楷體" w:hAnsi="標楷體"/>
          <w:szCs w:val="24"/>
        </w:rPr>
        <w:t>(112/12/1</w:t>
      </w:r>
      <w:r>
        <w:rPr>
          <w:rFonts w:ascii="標楷體" w:eastAsia="標楷體" w:hAnsi="標楷體"/>
          <w:color w:val="000000"/>
        </w:rPr>
        <w:t>、113/4/1、113/6/1、113/8/1、114/2/1、</w:t>
      </w:r>
      <w:r>
        <w:rPr>
          <w:rFonts w:ascii="標楷體" w:eastAsia="標楷體" w:hAnsi="標楷體" w:cs="標楷體.鬁..."/>
          <w:color w:val="000000"/>
          <w:kern w:val="0"/>
          <w:szCs w:val="24"/>
        </w:rPr>
        <w:t>114/6/1</w:t>
      </w:r>
      <w:r>
        <w:rPr>
          <w:rFonts w:ascii="標楷體" w:eastAsia="標楷體" w:hAnsi="標楷體"/>
          <w:szCs w:val="24"/>
          <w:lang w:val="zh-TW" w:bidi="zh-TW"/>
        </w:rPr>
        <w:t>、115/2/1</w:t>
      </w:r>
      <w:r>
        <w:rPr>
          <w:rFonts w:ascii="標楷體" w:eastAsia="標楷體" w:hAnsi="標楷體" w:hint="eastAsia"/>
          <w:szCs w:val="24"/>
          <w:lang w:val="zh-TW" w:bidi="zh-TW"/>
        </w:rPr>
        <w:t>、115/4/1</w:t>
      </w:r>
      <w:r>
        <w:rPr>
          <w:rFonts w:ascii="標楷體" w:eastAsia="標楷體" w:hAnsi="標楷體"/>
          <w:szCs w:val="24"/>
        </w:rPr>
        <w:t>)</w:t>
      </w:r>
    </w:p>
    <w:p w:rsidR="00EC62C6" w:rsidRDefault="00EC62C6" w:rsidP="00EC62C6">
      <w:pPr>
        <w:spacing w:line="400" w:lineRule="exact"/>
        <w:ind w:left="1134" w:hanging="386"/>
      </w:pPr>
      <w:r>
        <w:rPr>
          <w:rFonts w:ascii="標楷體" w:eastAsia="標楷體" w:hAnsi="標楷體"/>
          <w:szCs w:val="24"/>
        </w:rPr>
        <w:t>(1)</w:t>
      </w:r>
      <w:r>
        <w:rPr>
          <w:rFonts w:ascii="標楷體" w:eastAsia="標楷體" w:hAnsi="標楷體"/>
          <w:szCs w:val="24"/>
          <w:lang w:val="zh-TW" w:bidi="zh-TW"/>
        </w:rPr>
        <w:t>晚期</w:t>
      </w:r>
      <w:r>
        <w:rPr>
          <w:rFonts w:ascii="標楷體" w:eastAsia="標楷體" w:hAnsi="標楷體"/>
          <w:szCs w:val="24"/>
        </w:rPr>
        <w:t>肝細胞癌第一線用藥(112/8/1、112/10/1、114/2/1):</w:t>
      </w:r>
    </w:p>
    <w:p w:rsidR="00EC62C6" w:rsidRDefault="00EC62C6" w:rsidP="00EC62C6">
      <w:pPr>
        <w:spacing w:line="400" w:lineRule="exact"/>
        <w:ind w:left="1514" w:hanging="386"/>
      </w:pPr>
      <w:r>
        <w:rPr>
          <w:rFonts w:ascii="標楷體" w:eastAsia="標楷體" w:hAnsi="標楷體"/>
          <w:szCs w:val="24"/>
        </w:rPr>
        <w:t>Ⅰ.限atezolizumab與bevacizumab併用，或限durvalumab與tremelimumab併用，適用於治療未曾接受全身性療法之轉移性或無法手術切除且不適合局部治療或局部治療失敗之Child-Pugh A class晚期肝細胞癌成人患者，並符合下列條件之一：（112/8/1、112/10/1、114/2/1)</w:t>
      </w:r>
    </w:p>
    <w:p w:rsidR="00EC62C6" w:rsidRDefault="00EC62C6" w:rsidP="00EC62C6">
      <w:pPr>
        <w:tabs>
          <w:tab w:val="left" w:pos="1185"/>
        </w:tabs>
        <w:spacing w:line="400" w:lineRule="exact"/>
        <w:ind w:left="1771" w:hanging="245"/>
        <w:rPr>
          <w:rFonts w:ascii="標楷體" w:eastAsia="標楷體" w:hAnsi="標楷體"/>
          <w:szCs w:val="24"/>
        </w:rPr>
      </w:pPr>
      <w:r>
        <w:rPr>
          <w:rFonts w:ascii="標楷體" w:eastAsia="標楷體" w:hAnsi="標楷體"/>
          <w:szCs w:val="24"/>
        </w:rPr>
        <w:t>i.肝外轉移（遠端轉移或肝外淋巴結侵犯）。</w:t>
      </w:r>
    </w:p>
    <w:p w:rsidR="00EC62C6" w:rsidRDefault="00EC62C6" w:rsidP="00EC62C6">
      <w:pPr>
        <w:tabs>
          <w:tab w:val="left" w:pos="1185"/>
        </w:tabs>
        <w:spacing w:line="400" w:lineRule="exact"/>
        <w:ind w:left="1771" w:hanging="245"/>
        <w:rPr>
          <w:rFonts w:ascii="標楷體" w:eastAsia="標楷體" w:hAnsi="標楷體"/>
          <w:szCs w:val="24"/>
        </w:rPr>
      </w:pPr>
      <w:r>
        <w:rPr>
          <w:rFonts w:ascii="標楷體" w:eastAsia="標楷體" w:hAnsi="標楷體"/>
          <w:szCs w:val="24"/>
        </w:rPr>
        <w:t>ii.大血管侵犯（腫瘤侵犯主門靜脈或侵犯左/右靜脈第一或第二分支）。</w:t>
      </w:r>
    </w:p>
    <w:p w:rsidR="00EC62C6" w:rsidRDefault="00EC62C6" w:rsidP="00EC62C6">
      <w:pPr>
        <w:tabs>
          <w:tab w:val="left" w:pos="1185"/>
        </w:tabs>
        <w:spacing w:line="400" w:lineRule="exact"/>
        <w:ind w:left="1980" w:hanging="454"/>
      </w:pPr>
      <w:r>
        <w:rPr>
          <w:rFonts w:ascii="標楷體" w:eastAsia="標楷體" w:hAnsi="標楷體"/>
          <w:szCs w:val="24"/>
        </w:rPr>
        <w:t>iii.經導管動脈化學藥物栓塞治療（Transcatheter arterial chemo embolization, T.A.C.E.）失敗者，需提供患者於12個月內&gt;=3次局部治療之紀錄。</w:t>
      </w:r>
    </w:p>
    <w:p w:rsidR="00EC62C6" w:rsidRDefault="00EC62C6" w:rsidP="00EC62C6">
      <w:pPr>
        <w:spacing w:line="400" w:lineRule="exact"/>
        <w:ind w:left="1514" w:hanging="386"/>
      </w:pPr>
      <w:r>
        <w:rPr>
          <w:rFonts w:ascii="標楷體" w:eastAsia="標楷體" w:hAnsi="標楷體"/>
          <w:color w:val="000000"/>
        </w:rPr>
        <w:lastRenderedPageBreak/>
        <w:t>II.</w:t>
      </w:r>
      <w:r>
        <w:rPr>
          <w:rFonts w:ascii="標楷體" w:eastAsia="標楷體" w:hAnsi="標楷體"/>
          <w:szCs w:val="24"/>
        </w:rPr>
        <w:t>須排除有以下任一情形：</w:t>
      </w:r>
    </w:p>
    <w:p w:rsidR="00EC62C6" w:rsidRDefault="00EC62C6" w:rsidP="00EC62C6">
      <w:pPr>
        <w:tabs>
          <w:tab w:val="left" w:pos="1185"/>
        </w:tabs>
        <w:spacing w:line="400" w:lineRule="exact"/>
        <w:ind w:left="1798" w:hanging="245"/>
        <w:rPr>
          <w:rFonts w:ascii="標楷體" w:eastAsia="標楷體" w:hAnsi="標楷體"/>
          <w:szCs w:val="24"/>
        </w:rPr>
      </w:pPr>
      <w:r>
        <w:rPr>
          <w:rFonts w:ascii="標楷體" w:eastAsia="標楷體" w:hAnsi="標楷體"/>
          <w:szCs w:val="24"/>
        </w:rPr>
        <w:t>i.曾接受器官移植。</w:t>
      </w:r>
    </w:p>
    <w:p w:rsidR="00EC62C6" w:rsidRDefault="00EC62C6" w:rsidP="00EC62C6">
      <w:pPr>
        <w:tabs>
          <w:tab w:val="left" w:pos="1185"/>
        </w:tabs>
        <w:spacing w:line="400" w:lineRule="exact"/>
        <w:ind w:left="1798" w:hanging="245"/>
        <w:rPr>
          <w:rFonts w:ascii="標楷體" w:eastAsia="標楷體" w:hAnsi="標楷體"/>
          <w:szCs w:val="24"/>
        </w:rPr>
      </w:pPr>
      <w:r>
        <w:rPr>
          <w:rFonts w:ascii="標楷體" w:eastAsia="標楷體" w:hAnsi="標楷體"/>
          <w:szCs w:val="24"/>
        </w:rPr>
        <w:t>ii.正在接受免疫抑制藥物治療。</w:t>
      </w:r>
    </w:p>
    <w:p w:rsidR="00EC62C6" w:rsidRDefault="00EC62C6" w:rsidP="00EC62C6">
      <w:pPr>
        <w:tabs>
          <w:tab w:val="left" w:pos="1185"/>
        </w:tabs>
        <w:spacing w:line="400" w:lineRule="exact"/>
        <w:ind w:left="2007" w:hanging="454"/>
        <w:rPr>
          <w:rFonts w:ascii="標楷體" w:eastAsia="標楷體" w:hAnsi="標楷體"/>
          <w:szCs w:val="24"/>
        </w:rPr>
      </w:pPr>
      <w:r>
        <w:rPr>
          <w:rFonts w:ascii="標楷體" w:eastAsia="標楷體" w:hAnsi="標楷體"/>
          <w:szCs w:val="24"/>
        </w:rPr>
        <w:t>iii.有上消化道出血之疑慮且未接受完全治療 (須有半年內之內視鏡評估報告)。</w:t>
      </w:r>
    </w:p>
    <w:p w:rsidR="00EC62C6" w:rsidRDefault="00EC62C6" w:rsidP="00EC62C6">
      <w:pPr>
        <w:spacing w:line="400" w:lineRule="exact"/>
        <w:ind w:left="1514" w:hanging="386"/>
      </w:pPr>
      <w:r>
        <w:rPr>
          <w:rFonts w:ascii="標楷體" w:eastAsia="標楷體" w:hAnsi="標楷體"/>
          <w:color w:val="000000"/>
        </w:rPr>
        <w:t>III.</w:t>
      </w:r>
      <w:r>
        <w:rPr>
          <w:rFonts w:ascii="標楷體" w:eastAsia="標楷體" w:hAnsi="標楷體" w:cs="Liberation Serif"/>
          <w:szCs w:val="24"/>
        </w:rPr>
        <w:t>sorafenib、lenvatinib、atezolizumab與bevacizumab併用、durvalumab與tremelimumab併用僅得擇一給付，不得互換。(114/2/1)</w:t>
      </w:r>
    </w:p>
    <w:p w:rsidR="00EC62C6" w:rsidRDefault="00EC62C6" w:rsidP="00EC62C6">
      <w:pPr>
        <w:spacing w:line="400" w:lineRule="exact"/>
        <w:ind w:left="1514" w:hanging="386"/>
      </w:pPr>
      <w:r>
        <w:rPr>
          <w:rFonts w:ascii="標楷體" w:eastAsia="標楷體" w:hAnsi="標楷體"/>
          <w:color w:val="000000"/>
        </w:rPr>
        <w:t>IV.</w:t>
      </w:r>
      <w:r>
        <w:rPr>
          <w:rFonts w:ascii="標楷體" w:eastAsia="標楷體" w:hAnsi="標楷體"/>
          <w:szCs w:val="24"/>
        </w:rPr>
        <w:t>atezolizumab與bevacizumab併用或durvalumab與tremelimumab併用治療失敗後，不得申請使用regorafenib或ramucirumab。(114/2/1)</w:t>
      </w:r>
    </w:p>
    <w:p w:rsidR="00EC62C6" w:rsidRDefault="00EC62C6" w:rsidP="00EC62C6">
      <w:pPr>
        <w:spacing w:line="400" w:lineRule="exact"/>
        <w:ind w:left="1134" w:hanging="386"/>
      </w:pPr>
      <w:r>
        <w:rPr>
          <w:rFonts w:ascii="標楷體" w:eastAsia="標楷體" w:hAnsi="標楷體"/>
          <w:kern w:val="0"/>
          <w:szCs w:val="24"/>
        </w:rPr>
        <w:t>(2)非小細胞肺癌：(112/12/1、113/4/1、113/8/1、</w:t>
      </w:r>
      <w:r>
        <w:rPr>
          <w:rFonts w:ascii="標楷體" w:eastAsia="標楷體" w:hAnsi="標楷體" w:cs="標楷體.鬁..."/>
          <w:color w:val="000000"/>
          <w:kern w:val="0"/>
          <w:szCs w:val="24"/>
        </w:rPr>
        <w:t>114/6/1</w:t>
      </w:r>
      <w:r>
        <w:rPr>
          <w:rFonts w:ascii="標楷體" w:eastAsia="標楷體" w:hAnsi="標楷體" w:cs="新細明體"/>
          <w:kern w:val="0"/>
          <w:szCs w:val="24"/>
        </w:rPr>
        <w:t>)</w:t>
      </w:r>
    </w:p>
    <w:p w:rsidR="00EC62C6" w:rsidRDefault="00EC62C6" w:rsidP="00EC62C6">
      <w:pPr>
        <w:numPr>
          <w:ilvl w:val="0"/>
          <w:numId w:val="38"/>
        </w:numPr>
        <w:spacing w:line="400" w:lineRule="exact"/>
        <w:ind w:left="1560" w:hanging="284"/>
        <w:rPr>
          <w:rFonts w:ascii="標楷體" w:eastAsia="標楷體" w:hAnsi="標楷體"/>
          <w:kern w:val="0"/>
          <w:szCs w:val="24"/>
        </w:rPr>
      </w:pPr>
      <w:r>
        <w:rPr>
          <w:rFonts w:ascii="標楷體" w:eastAsia="標楷體" w:hAnsi="標楷體"/>
          <w:kern w:val="0"/>
          <w:szCs w:val="24"/>
        </w:rPr>
        <w:t>轉移性鱗狀非小細胞肺癌第一線用藥：限pembrolizumab與carboplatin及paclitaxel併用至多使用4個療程，接續單用pembrolizumab治療。(112/12/1、113/4/1、113/8/1)</w:t>
      </w:r>
    </w:p>
    <w:p w:rsidR="00EC62C6" w:rsidRDefault="00EC62C6" w:rsidP="00EC62C6">
      <w:pPr>
        <w:numPr>
          <w:ilvl w:val="0"/>
          <w:numId w:val="38"/>
        </w:numPr>
        <w:spacing w:line="400" w:lineRule="exact"/>
        <w:ind w:left="1701" w:hanging="426"/>
      </w:pPr>
      <w:r>
        <w:rPr>
          <w:rFonts w:ascii="標楷體" w:eastAsia="標楷體" w:hAnsi="標楷體" w:cs="新細明體"/>
          <w:kern w:val="0"/>
          <w:szCs w:val="24"/>
        </w:rPr>
        <w:t>轉移</w:t>
      </w:r>
      <w:r>
        <w:rPr>
          <w:rFonts w:ascii="標楷體" w:eastAsia="標楷體" w:hAnsi="標楷體"/>
          <w:kern w:val="0"/>
          <w:szCs w:val="24"/>
        </w:rPr>
        <w:t>性非鱗狀非小細胞肺癌第一線：限pembrolizumab與</w:t>
      </w:r>
      <w:bookmarkStart w:id="24" w:name="_Hlk175765322"/>
      <w:r>
        <w:rPr>
          <w:rFonts w:ascii="標楷體" w:eastAsia="標楷體" w:hAnsi="標楷體"/>
          <w:kern w:val="0"/>
          <w:szCs w:val="24"/>
        </w:rPr>
        <w:t>pemetrexed</w:t>
      </w:r>
      <w:bookmarkEnd w:id="24"/>
      <w:r>
        <w:rPr>
          <w:rFonts w:ascii="標楷體" w:eastAsia="標楷體" w:hAnsi="標楷體"/>
          <w:kern w:val="0"/>
          <w:szCs w:val="24"/>
        </w:rPr>
        <w:t>(限使用Pexeda、Apeta或Pemetrexed Sandoz)及含鉑類化學療法併用，或限atezolizumab與bevacizumab(限使用Alymsys、Avastin、Abevmy、Vegzelma或Mvasi)及carboplatin、paclitaxel併用，做為轉移性且不具有EGFR/ALK/ROS-1腫瘤基因異常的非鱗狀非小細胞肺癌第一線治療。(114/6/1、114/8/1)</w:t>
      </w:r>
    </w:p>
    <w:p w:rsidR="00EC62C6" w:rsidRDefault="00EC62C6" w:rsidP="00EC62C6">
      <w:pPr>
        <w:spacing w:line="400" w:lineRule="exact"/>
        <w:ind w:left="1134" w:hanging="386"/>
      </w:pPr>
      <w:r>
        <w:rPr>
          <w:rFonts w:ascii="標楷體" w:eastAsia="標楷體" w:hAnsi="標楷體"/>
          <w:szCs w:val="24"/>
        </w:rPr>
        <w:t>(3)小細胞肺癌：</w:t>
      </w:r>
      <w:r>
        <w:rPr>
          <w:rFonts w:ascii="標楷體" w:eastAsia="標楷體" w:hAnsi="標楷體"/>
          <w:kern w:val="0"/>
          <w:szCs w:val="24"/>
        </w:rPr>
        <w:t>限atezolizumab與carboplatin及etoposide併用，或durvalumab與etoposide及carboplatin或cisplatin兩者之一併用，適用於先前未曾接受化療，且無腦部或無脊髓轉移之擴散期(extensive stage)小細胞肺癌成人患者。(112/12/1、114/2/1)</w:t>
      </w:r>
    </w:p>
    <w:p w:rsidR="00EC62C6" w:rsidRDefault="00EC62C6" w:rsidP="00EC62C6">
      <w:pPr>
        <w:spacing w:line="400" w:lineRule="exact"/>
        <w:ind w:left="1134" w:hanging="386"/>
      </w:pPr>
      <w:r>
        <w:rPr>
          <w:rFonts w:ascii="標楷體" w:eastAsia="標楷體" w:hAnsi="標楷體"/>
          <w:kern w:val="0"/>
          <w:szCs w:val="24"/>
        </w:rPr>
        <w:t>(4)惡性肋膜間皮瘤：限ipilimumab與nivolumab併用於無法切除之惡性肋膜間皮瘤且病理組織顯示為非上皮型(Non-epithelioid)成人病人的第一線治療。(113/4/1、113/6/1</w:t>
      </w:r>
      <w:r>
        <w:rPr>
          <w:rFonts w:ascii="標楷體" w:eastAsia="標楷體" w:hAnsi="標楷體"/>
          <w:szCs w:val="24"/>
          <w:lang w:val="zh-TW" w:bidi="zh-TW"/>
        </w:rPr>
        <w:t>、115/2/1</w:t>
      </w:r>
      <w:r>
        <w:rPr>
          <w:rFonts w:ascii="標楷體" w:eastAsia="標楷體" w:hAnsi="標楷體"/>
          <w:kern w:val="0"/>
          <w:szCs w:val="24"/>
        </w:rPr>
        <w:t>)</w:t>
      </w:r>
    </w:p>
    <w:p w:rsidR="00EC62C6" w:rsidRDefault="00EC62C6" w:rsidP="00EC62C6">
      <w:pPr>
        <w:spacing w:line="400" w:lineRule="exact"/>
        <w:ind w:left="1134" w:hanging="386"/>
        <w:rPr>
          <w:rFonts w:ascii="標楷體" w:eastAsia="標楷體" w:hAnsi="標楷體"/>
          <w:kern w:val="0"/>
          <w:szCs w:val="24"/>
        </w:rPr>
      </w:pPr>
      <w:r>
        <w:rPr>
          <w:rFonts w:ascii="標楷體" w:eastAsia="標楷體" w:hAnsi="標楷體"/>
          <w:kern w:val="0"/>
          <w:szCs w:val="24"/>
        </w:rPr>
        <w:t>(5)胃癌（不含胃腸基質瘤及神經內分泌腫瘤/癌）：</w:t>
      </w:r>
      <w:r w:rsidRPr="00FC01CE">
        <w:rPr>
          <w:rFonts w:ascii="標楷體" w:eastAsia="標楷體" w:hAnsi="標楷體"/>
          <w:kern w:val="0"/>
          <w:szCs w:val="24"/>
        </w:rPr>
        <w:t>(113/4/1、113/6/1</w:t>
      </w:r>
      <w:r w:rsidRPr="00FC01CE">
        <w:rPr>
          <w:rFonts w:ascii="標楷體" w:eastAsia="標楷體" w:hAnsi="標楷體"/>
          <w:szCs w:val="24"/>
          <w:lang w:val="zh-TW" w:bidi="zh-TW"/>
        </w:rPr>
        <w:t>、115/2/1</w:t>
      </w:r>
      <w:r>
        <w:rPr>
          <w:rFonts w:ascii="標楷體" w:eastAsia="標楷體" w:hAnsi="標楷體" w:hint="eastAsia"/>
          <w:szCs w:val="24"/>
          <w:lang w:val="zh-TW" w:bidi="zh-TW"/>
        </w:rPr>
        <w:t>、115/4/1</w:t>
      </w:r>
      <w:r w:rsidRPr="00FC01CE">
        <w:rPr>
          <w:rFonts w:ascii="標楷體" w:eastAsia="標楷體" w:hAnsi="標楷體"/>
          <w:kern w:val="0"/>
          <w:szCs w:val="24"/>
        </w:rPr>
        <w:t>)</w:t>
      </w:r>
    </w:p>
    <w:p w:rsidR="00EC62C6" w:rsidRPr="00FC01CE" w:rsidRDefault="00EC62C6" w:rsidP="00EC62C6">
      <w:pPr>
        <w:pStyle w:val="a9"/>
        <w:numPr>
          <w:ilvl w:val="0"/>
          <w:numId w:val="42"/>
        </w:numPr>
        <w:spacing w:line="400" w:lineRule="exact"/>
        <w:ind w:left="1418" w:hanging="284"/>
      </w:pPr>
      <w:r w:rsidRPr="00FC01CE">
        <w:rPr>
          <w:rFonts w:ascii="標楷體" w:eastAsia="標楷體" w:hAnsi="標楷體"/>
          <w:kern w:val="0"/>
        </w:rPr>
        <w:t>限nivolumab併用fluoropyrimidine（5-FU或capecitabine）及oxaliplatin，用於第一線治療晚期或轉移性且不具有HER2過度表現的胃癌病人。(113/4/1、113/6/1</w:t>
      </w:r>
      <w:r w:rsidRPr="00FC01CE">
        <w:rPr>
          <w:rFonts w:ascii="標楷體" w:eastAsia="標楷體" w:hAnsi="標楷體"/>
          <w:lang w:val="zh-TW" w:bidi="zh-TW"/>
        </w:rPr>
        <w:t>、115/2/1</w:t>
      </w:r>
      <w:r w:rsidRPr="00FC01CE">
        <w:rPr>
          <w:rFonts w:ascii="標楷體" w:eastAsia="標楷體" w:hAnsi="標楷體"/>
          <w:kern w:val="0"/>
        </w:rPr>
        <w:t>)</w:t>
      </w:r>
    </w:p>
    <w:p w:rsidR="00EC62C6" w:rsidRPr="00FC01CE" w:rsidRDefault="00EC62C6" w:rsidP="00EC62C6">
      <w:pPr>
        <w:pStyle w:val="a9"/>
        <w:numPr>
          <w:ilvl w:val="0"/>
          <w:numId w:val="42"/>
        </w:numPr>
        <w:spacing w:line="400" w:lineRule="exact"/>
        <w:ind w:left="1276" w:hanging="284"/>
        <w:rPr>
          <w:rFonts w:ascii="標楷體" w:eastAsia="標楷體" w:hAnsi="標楷體"/>
          <w:kern w:val="0"/>
        </w:rPr>
      </w:pPr>
      <w:r w:rsidRPr="00FC01CE">
        <w:rPr>
          <w:rFonts w:ascii="標楷體" w:eastAsia="標楷體" w:hAnsi="標楷體" w:hint="eastAsia"/>
          <w:kern w:val="0"/>
        </w:rPr>
        <w:t>與zolbetuximab僅得擇一使用，且治療失敗時不可互換。(115/4/1)</w:t>
      </w:r>
    </w:p>
    <w:p w:rsidR="00EC62C6" w:rsidRDefault="00EC62C6" w:rsidP="00EC62C6">
      <w:pPr>
        <w:spacing w:line="400" w:lineRule="exact"/>
        <w:ind w:left="1134" w:hanging="386"/>
        <w:rPr>
          <w:rFonts w:ascii="標楷體" w:eastAsia="標楷體" w:hAnsi="標楷體"/>
          <w:kern w:val="0"/>
          <w:szCs w:val="24"/>
        </w:rPr>
      </w:pPr>
      <w:r>
        <w:rPr>
          <w:rFonts w:ascii="標楷體" w:eastAsia="標楷體" w:hAnsi="標楷體"/>
          <w:kern w:val="0"/>
          <w:szCs w:val="24"/>
        </w:rPr>
        <w:t>(6)膽道癌第一線用藥：限durvalumab與cisplatin及 gemcitabine併用至多使用8個療程，接續單用durvalumab於先前未接受過治療或不可手術之局部晚期或轉移性膽道癌 (biliary tract cancer)，並須排除以下任一情形：(114/2/1)</w:t>
      </w:r>
    </w:p>
    <w:p w:rsidR="00EC62C6" w:rsidRDefault="00EC62C6" w:rsidP="00EC62C6">
      <w:pPr>
        <w:tabs>
          <w:tab w:val="left" w:pos="1418"/>
        </w:tabs>
        <w:spacing w:line="400" w:lineRule="exact"/>
        <w:ind w:left="1166" w:firstLine="110"/>
        <w:rPr>
          <w:rFonts w:ascii="標楷體" w:eastAsia="標楷體" w:hAnsi="標楷體"/>
          <w:kern w:val="0"/>
          <w:szCs w:val="24"/>
        </w:rPr>
      </w:pPr>
      <w:r>
        <w:rPr>
          <w:rFonts w:ascii="標楷體" w:eastAsia="標楷體" w:hAnsi="標楷體"/>
          <w:kern w:val="0"/>
          <w:szCs w:val="24"/>
        </w:rPr>
        <w:t>Ⅰ.壺腹癌。</w:t>
      </w:r>
    </w:p>
    <w:p w:rsidR="00EC62C6" w:rsidRDefault="00EC62C6" w:rsidP="00EC62C6">
      <w:pPr>
        <w:tabs>
          <w:tab w:val="left" w:pos="1418"/>
        </w:tabs>
        <w:spacing w:line="400" w:lineRule="exact"/>
        <w:ind w:left="1166" w:firstLine="110"/>
        <w:rPr>
          <w:rFonts w:ascii="標楷體" w:eastAsia="標楷體" w:hAnsi="標楷體"/>
          <w:kern w:val="0"/>
          <w:szCs w:val="24"/>
        </w:rPr>
      </w:pPr>
      <w:r>
        <w:rPr>
          <w:rFonts w:ascii="標楷體" w:eastAsia="標楷體" w:hAnsi="標楷體"/>
          <w:kern w:val="0"/>
          <w:szCs w:val="24"/>
        </w:rPr>
        <w:lastRenderedPageBreak/>
        <w:t>Ⅱ.曾接受異體器官移植。</w:t>
      </w:r>
    </w:p>
    <w:p w:rsidR="00EC62C6" w:rsidRDefault="00EC62C6" w:rsidP="00EC62C6">
      <w:pPr>
        <w:tabs>
          <w:tab w:val="left" w:pos="1418"/>
        </w:tabs>
        <w:spacing w:line="400" w:lineRule="exact"/>
        <w:ind w:left="1166" w:firstLine="110"/>
        <w:rPr>
          <w:rFonts w:ascii="標楷體" w:eastAsia="標楷體" w:hAnsi="標楷體"/>
          <w:kern w:val="0"/>
          <w:szCs w:val="24"/>
        </w:rPr>
      </w:pPr>
      <w:r>
        <w:rPr>
          <w:rFonts w:ascii="標楷體" w:eastAsia="標楷體" w:hAnsi="標楷體"/>
          <w:kern w:val="0"/>
          <w:szCs w:val="24"/>
        </w:rPr>
        <w:t>Ⅲ.具有或曾有活動性自體免疫或發炎性疾病。</w:t>
      </w:r>
    </w:p>
    <w:p w:rsidR="00EC62C6" w:rsidRDefault="00EC62C6" w:rsidP="00EC62C6">
      <w:pPr>
        <w:spacing w:line="400" w:lineRule="exact"/>
        <w:ind w:left="1134" w:hanging="386"/>
        <w:rPr>
          <w:rFonts w:ascii="標楷體" w:eastAsia="標楷體" w:hAnsi="標楷體"/>
          <w:kern w:val="0"/>
          <w:szCs w:val="24"/>
        </w:rPr>
      </w:pPr>
      <w:bookmarkStart w:id="25" w:name="_Hlk191060681"/>
      <w:r>
        <w:rPr>
          <w:rFonts w:ascii="標楷體" w:eastAsia="標楷體" w:hAnsi="標楷體"/>
          <w:kern w:val="0"/>
          <w:szCs w:val="24"/>
        </w:rPr>
        <w:t>(7)早期三陰性乳癌：非轉移性、第II期至第IIIb期</w:t>
      </w:r>
      <w:bookmarkEnd w:id="25"/>
      <w:r>
        <w:rPr>
          <w:rFonts w:ascii="標楷體" w:eastAsia="標楷體" w:hAnsi="標楷體"/>
          <w:kern w:val="0"/>
          <w:szCs w:val="24"/>
        </w:rPr>
        <w:t>（cT1c N1-2 或 T2-4 N0-2）成年病人(114/6/1)：</w:t>
      </w:r>
    </w:p>
    <w:p w:rsidR="00EC62C6" w:rsidRDefault="00EC62C6" w:rsidP="00EC62C6">
      <w:pPr>
        <w:numPr>
          <w:ilvl w:val="0"/>
          <w:numId w:val="39"/>
        </w:numPr>
        <w:tabs>
          <w:tab w:val="left" w:pos="1418"/>
        </w:tabs>
        <w:suppressAutoHyphens w:val="0"/>
        <w:spacing w:line="400" w:lineRule="exact"/>
        <w:ind w:left="1701" w:hanging="425"/>
        <w:jc w:val="both"/>
        <w:textAlignment w:val="auto"/>
      </w:pPr>
      <w:r>
        <w:rPr>
          <w:rFonts w:ascii="標楷體" w:eastAsia="標楷體" w:hAnsi="標楷體"/>
          <w:kern w:val="0"/>
          <w:szCs w:val="24"/>
        </w:rPr>
        <w:t>術前前導性治療：</w:t>
      </w:r>
      <w:r>
        <w:rPr>
          <w:rFonts w:ascii="標楷體" w:eastAsia="標楷體" w:hAnsi="標楷體" w:cs="新細明體"/>
          <w:kern w:val="0"/>
          <w:szCs w:val="24"/>
        </w:rPr>
        <w:t>限pembrolizumab每3週1次與carboplatin和paclitaxel併用至多4個療程，接續限pembrolizumab每3週1次與cyclophosphamide和doxorubicin或epirubicin併用至多4個療程，做為初診斷病人前導性治療用藥。</w:t>
      </w:r>
      <w:bookmarkStart w:id="26" w:name="_Hlk191373815"/>
    </w:p>
    <w:bookmarkEnd w:id="26"/>
    <w:p w:rsidR="00EC62C6" w:rsidRDefault="00EC62C6" w:rsidP="00EC62C6">
      <w:pPr>
        <w:numPr>
          <w:ilvl w:val="0"/>
          <w:numId w:val="39"/>
        </w:numPr>
        <w:tabs>
          <w:tab w:val="left" w:pos="1418"/>
        </w:tabs>
        <w:suppressAutoHyphens w:val="0"/>
        <w:spacing w:line="400" w:lineRule="exact"/>
        <w:ind w:left="1701" w:hanging="425"/>
        <w:jc w:val="both"/>
        <w:textAlignment w:val="auto"/>
        <w:rPr>
          <w:rFonts w:ascii="標楷體" w:eastAsia="標楷體" w:hAnsi="標楷體"/>
          <w:kern w:val="0"/>
          <w:szCs w:val="24"/>
        </w:rPr>
      </w:pPr>
      <w:r>
        <w:rPr>
          <w:rFonts w:ascii="標楷體" w:eastAsia="標楷體" w:hAnsi="標楷體"/>
          <w:kern w:val="0"/>
          <w:szCs w:val="24"/>
        </w:rPr>
        <w:t>術後輔助治療：上述病人接受過術前前導性治療後，限手術後未達pCR者，單用pembrolizumab每3週1次，做為輔助治療用藥，且至多使用9個療程。</w:t>
      </w:r>
    </w:p>
    <w:p w:rsidR="00EC62C6" w:rsidRDefault="00EC62C6" w:rsidP="00EC62C6">
      <w:pPr>
        <w:numPr>
          <w:ilvl w:val="0"/>
          <w:numId w:val="39"/>
        </w:numPr>
        <w:tabs>
          <w:tab w:val="left" w:pos="1418"/>
        </w:tabs>
        <w:suppressAutoHyphens w:val="0"/>
        <w:spacing w:line="400" w:lineRule="exact"/>
        <w:ind w:left="1701" w:hanging="425"/>
        <w:jc w:val="both"/>
        <w:textAlignment w:val="auto"/>
        <w:rPr>
          <w:rFonts w:ascii="標楷體" w:eastAsia="標楷體" w:hAnsi="標楷體"/>
          <w:kern w:val="0"/>
          <w:szCs w:val="24"/>
        </w:rPr>
      </w:pPr>
      <w:r>
        <w:rPr>
          <w:rFonts w:ascii="標楷體" w:eastAsia="標楷體" w:hAnsi="標楷體"/>
          <w:kern w:val="0"/>
          <w:szCs w:val="24"/>
        </w:rPr>
        <w:t>上述pembrolizumab用於早期三陰性乳癌依前述療程規定至多使用17個療程，且用於術後輔助治療，pembrolizumab與olaparib僅能擇一支付。</w:t>
      </w:r>
    </w:p>
    <w:p w:rsidR="00EC62C6" w:rsidRDefault="00EC62C6" w:rsidP="00EC62C6">
      <w:pPr>
        <w:pStyle w:val="a9"/>
        <w:numPr>
          <w:ilvl w:val="0"/>
          <w:numId w:val="40"/>
        </w:numPr>
        <w:suppressAutoHyphens w:val="0"/>
        <w:snapToGrid w:val="0"/>
        <w:spacing w:line="400" w:lineRule="exact"/>
        <w:ind w:left="1072" w:hanging="362"/>
        <w:textAlignment w:val="auto"/>
      </w:pPr>
      <w:r>
        <w:rPr>
          <w:rFonts w:ascii="標楷體" w:eastAsia="標楷體" w:hAnsi="標楷體"/>
        </w:rPr>
        <w:t>食道鱗狀細胞癌：</w:t>
      </w:r>
      <w:r>
        <w:rPr>
          <w:rFonts w:ascii="標楷體" w:eastAsia="標楷體" w:hAnsi="標楷體"/>
          <w:kern w:val="0"/>
        </w:rPr>
        <w:t>限nivolumab</w:t>
      </w:r>
      <w:r>
        <w:rPr>
          <w:rFonts w:ascii="標楷體" w:eastAsia="標楷體" w:hAnsi="標楷體"/>
        </w:rPr>
        <w:t>與fluoropyrimidine及cisplatin或oxaliplatin併用，用於無法接受化學放射性治療或手術切除等治癒性治療之晚期或轉移性食道鱗狀細胞癌成人病人的第一線治療。(115/2/1)</w:t>
      </w:r>
    </w:p>
    <w:p w:rsidR="00EC62C6" w:rsidRDefault="00EC62C6" w:rsidP="00EC62C6">
      <w:pPr>
        <w:tabs>
          <w:tab w:val="left" w:pos="1418"/>
        </w:tabs>
        <w:spacing w:line="400" w:lineRule="exact"/>
        <w:ind w:left="1072" w:hanging="362"/>
        <w:jc w:val="both"/>
        <w:rPr>
          <w:rFonts w:ascii="標楷體" w:eastAsia="標楷體" w:hAnsi="標楷體"/>
          <w:szCs w:val="24"/>
        </w:rPr>
      </w:pPr>
      <w:r>
        <w:rPr>
          <w:rFonts w:ascii="標楷體" w:eastAsia="標楷體" w:hAnsi="標楷體"/>
          <w:szCs w:val="24"/>
        </w:rPr>
        <w:t>(9)泌尿道上皮癌：限nivolumab與cisplatin及gemcitabine併用至多6個療程，接續限單用nivolumab，做為無法切除或轉移性泌尿道上皮癌成人病人的第一線治療。(115/2/1)</w:t>
      </w:r>
    </w:p>
    <w:p w:rsidR="00EC62C6" w:rsidRDefault="00EC62C6" w:rsidP="00EC62C6">
      <w:pPr>
        <w:tabs>
          <w:tab w:val="left" w:pos="945"/>
        </w:tabs>
        <w:spacing w:line="400" w:lineRule="exact"/>
        <w:ind w:left="-2" w:firstLine="569"/>
        <w:rPr>
          <w:rFonts w:ascii="標楷體" w:eastAsia="標楷體" w:hAnsi="標楷體"/>
          <w:color w:val="000000"/>
        </w:rPr>
      </w:pPr>
      <w:r>
        <w:rPr>
          <w:rFonts w:ascii="標楷體" w:eastAsia="標楷體" w:hAnsi="標楷體"/>
          <w:color w:val="000000"/>
        </w:rPr>
        <w:t>3.使用條件：</w:t>
      </w:r>
    </w:p>
    <w:p w:rsidR="00EC62C6" w:rsidRDefault="00EC62C6" w:rsidP="00EC62C6">
      <w:pPr>
        <w:spacing w:line="400" w:lineRule="exact"/>
        <w:ind w:left="1134" w:hanging="386"/>
      </w:pPr>
      <w:r>
        <w:rPr>
          <w:rFonts w:ascii="標楷體" w:eastAsia="標楷體" w:hAnsi="標楷體"/>
          <w:color w:val="000000"/>
        </w:rPr>
        <w:t>(1)</w:t>
      </w:r>
      <w:r>
        <w:rPr>
          <w:rFonts w:ascii="標楷體" w:eastAsia="標楷體" w:hAnsi="標楷體"/>
          <w:color w:val="000000"/>
        </w:rPr>
        <w:tab/>
        <w:t>病人</w:t>
      </w:r>
      <w:r>
        <w:rPr>
          <w:rFonts w:ascii="標楷體" w:eastAsia="標楷體" w:hAnsi="標楷體"/>
          <w:kern w:val="0"/>
          <w:szCs w:val="24"/>
        </w:rPr>
        <w:t>身體狀況良好(ECOG≦1)。</w:t>
      </w:r>
    </w:p>
    <w:p w:rsidR="00EC62C6" w:rsidRDefault="00EC62C6" w:rsidP="00EC62C6">
      <w:pPr>
        <w:spacing w:line="400" w:lineRule="exact"/>
        <w:ind w:left="1134" w:hanging="386"/>
      </w:pPr>
      <w:r>
        <w:rPr>
          <w:rFonts w:ascii="標楷體" w:eastAsia="標楷體" w:hAnsi="標楷體"/>
          <w:kern w:val="0"/>
          <w:szCs w:val="24"/>
        </w:rPr>
        <w:t>(2)</w:t>
      </w:r>
      <w:r>
        <w:rPr>
          <w:rFonts w:ascii="標楷體" w:eastAsia="標楷體" w:hAnsi="標楷體"/>
          <w:kern w:val="0"/>
          <w:szCs w:val="24"/>
        </w:rPr>
        <w:tab/>
        <w:t>病人之</w:t>
      </w:r>
      <w:r>
        <w:rPr>
          <w:rFonts w:ascii="標楷體" w:eastAsia="標楷體" w:hAnsi="標楷體"/>
          <w:color w:val="000000"/>
        </w:rPr>
        <w:t>心肺與肝腎功能須符合下列所有條件：</w:t>
      </w:r>
    </w:p>
    <w:p w:rsidR="00EC62C6" w:rsidRDefault="00EC62C6" w:rsidP="00EC62C6">
      <w:pPr>
        <w:tabs>
          <w:tab w:val="left" w:pos="1418"/>
        </w:tabs>
        <w:spacing w:line="400" w:lineRule="exact"/>
        <w:ind w:left="1418" w:hanging="284"/>
        <w:jc w:val="both"/>
        <w:rPr>
          <w:rFonts w:ascii="標楷體" w:eastAsia="標楷體" w:hAnsi="標楷體"/>
          <w:color w:val="000000"/>
        </w:rPr>
      </w:pPr>
      <w:r>
        <w:rPr>
          <w:rFonts w:ascii="標楷體" w:eastAsia="標楷體" w:hAnsi="標楷體"/>
          <w:color w:val="000000"/>
        </w:rPr>
        <w:t>I.NYHA(the New York Heart Association) Functional Class I或II</w:t>
      </w:r>
    </w:p>
    <w:p w:rsidR="00EC62C6" w:rsidRDefault="00EC62C6" w:rsidP="00EC62C6">
      <w:pPr>
        <w:tabs>
          <w:tab w:val="left" w:pos="1418"/>
          <w:tab w:val="left" w:pos="2552"/>
        </w:tabs>
        <w:spacing w:line="400" w:lineRule="exact"/>
        <w:ind w:left="1276" w:hanging="284"/>
        <w:jc w:val="both"/>
        <w:rPr>
          <w:rFonts w:ascii="標楷體" w:eastAsia="標楷體" w:hAnsi="標楷體"/>
          <w:color w:val="000000"/>
        </w:rPr>
      </w:pPr>
      <w:r>
        <w:rPr>
          <w:rFonts w:ascii="標楷體" w:eastAsia="標楷體" w:hAnsi="標楷體"/>
          <w:color w:val="000000"/>
        </w:rPr>
        <w:t>II.GOT&lt;60U/L及GPT&lt;60U/L，且T-bilirubin&lt;1.5mg/dL (晚期肝細胞癌以及膽道癌病人可免除此條件)(114/2/1)</w:t>
      </w:r>
    </w:p>
    <w:p w:rsidR="00EC62C6" w:rsidRDefault="00EC62C6" w:rsidP="00EC62C6">
      <w:pPr>
        <w:tabs>
          <w:tab w:val="left" w:pos="1418"/>
          <w:tab w:val="left" w:pos="2552"/>
        </w:tabs>
        <w:spacing w:line="400" w:lineRule="exact"/>
        <w:ind w:left="1276" w:hanging="284"/>
        <w:jc w:val="both"/>
      </w:pPr>
      <w:r>
        <w:rPr>
          <w:rFonts w:ascii="標楷體" w:eastAsia="標楷體" w:hAnsi="標楷體"/>
          <w:color w:val="000000"/>
        </w:rPr>
        <w:t>III.腎功能：(晚期腎細胞癌病人可免除此條件) (109/4/1、112/10/1</w:t>
      </w:r>
      <w:r>
        <w:rPr>
          <w:rFonts w:ascii="標楷體" w:eastAsia="標楷體" w:hAnsi="標楷體"/>
          <w:szCs w:val="24"/>
          <w:lang w:val="zh-TW" w:bidi="zh-TW"/>
        </w:rPr>
        <w:t>、115/2/1</w:t>
      </w:r>
      <w:r>
        <w:rPr>
          <w:rFonts w:ascii="標楷體" w:eastAsia="標楷體" w:hAnsi="標楷體"/>
          <w:color w:val="000000"/>
        </w:rPr>
        <w:t>)</w:t>
      </w:r>
    </w:p>
    <w:p w:rsidR="00EC62C6" w:rsidRDefault="00EC62C6" w:rsidP="00EC62C6">
      <w:pPr>
        <w:tabs>
          <w:tab w:val="left" w:pos="1185"/>
          <w:tab w:val="left" w:pos="1418"/>
        </w:tabs>
        <w:spacing w:line="400" w:lineRule="exact"/>
        <w:ind w:left="1560" w:hanging="284"/>
        <w:jc w:val="both"/>
      </w:pPr>
      <w:r>
        <w:rPr>
          <w:rFonts w:ascii="標楷體" w:eastAsia="標楷體" w:hAnsi="標楷體"/>
          <w:color w:val="000000"/>
        </w:rPr>
        <w:t>i.泌尿道上皮癌第一線用藥：</w:t>
      </w:r>
      <w:r>
        <w:rPr>
          <w:rFonts w:ascii="標楷體" w:eastAsia="標楷體" w:hAnsi="標楷體"/>
          <w:szCs w:val="24"/>
        </w:rPr>
        <w:t>單獨使用pembrolizumab須符合</w:t>
      </w:r>
      <w:r>
        <w:rPr>
          <w:rFonts w:ascii="標楷體" w:eastAsia="標楷體" w:hAnsi="標楷體"/>
        </w:rPr>
        <w:t>eGFR&gt;30mL/min/1.73</w:t>
      </w:r>
      <w:r>
        <w:rPr>
          <w:rFonts w:ascii="標楷體" w:eastAsia="標楷體" w:hAnsi="標楷體"/>
          <w:szCs w:val="24"/>
        </w:rPr>
        <w:t>m</w:t>
      </w:r>
      <w:r>
        <w:rPr>
          <w:rFonts w:ascii="標楷體" w:eastAsia="標楷體" w:hAnsi="標楷體"/>
          <w:szCs w:val="24"/>
          <w:vertAlign w:val="superscript"/>
        </w:rPr>
        <w:t>2</w:t>
      </w:r>
      <w:r>
        <w:rPr>
          <w:rFonts w:ascii="標楷體" w:eastAsia="標楷體" w:hAnsi="標楷體"/>
        </w:rPr>
        <w:t>且&lt;60mL/min/1.73</w:t>
      </w:r>
      <w:r>
        <w:rPr>
          <w:rFonts w:ascii="標楷體" w:eastAsia="標楷體" w:hAnsi="標楷體"/>
          <w:szCs w:val="24"/>
        </w:rPr>
        <w:t>m</w:t>
      </w:r>
      <w:r>
        <w:rPr>
          <w:rFonts w:ascii="標楷體" w:eastAsia="標楷體" w:hAnsi="標楷體"/>
          <w:szCs w:val="24"/>
          <w:vertAlign w:val="superscript"/>
        </w:rPr>
        <w:t>2</w:t>
      </w:r>
      <w:r>
        <w:rPr>
          <w:rFonts w:ascii="標楷體" w:eastAsia="標楷體" w:hAnsi="標楷體"/>
          <w:szCs w:val="24"/>
        </w:rPr>
        <w:t xml:space="preserve">；nivolumab併用化療須符合eGFR </w:t>
      </w:r>
      <w:r>
        <w:rPr>
          <w:rFonts w:ascii="Times New Roman" w:eastAsia="標楷體" w:hAnsi="Times New Roman"/>
          <w:szCs w:val="24"/>
        </w:rPr>
        <w:t>≥</w:t>
      </w:r>
      <w:r>
        <w:rPr>
          <w:rFonts w:ascii="標楷體" w:eastAsia="標楷體" w:hAnsi="標楷體"/>
          <w:szCs w:val="24"/>
        </w:rPr>
        <w:t>60mL/min/1.73m2</w:t>
      </w:r>
      <w:r>
        <w:rPr>
          <w:rFonts w:ascii="標楷體" w:eastAsia="標楷體" w:hAnsi="標楷體"/>
        </w:rPr>
        <w:t>。</w:t>
      </w:r>
    </w:p>
    <w:p w:rsidR="00EC62C6" w:rsidRDefault="00EC62C6" w:rsidP="00EC62C6">
      <w:pPr>
        <w:tabs>
          <w:tab w:val="left" w:pos="1185"/>
          <w:tab w:val="left" w:pos="1418"/>
        </w:tabs>
        <w:spacing w:line="400" w:lineRule="exact"/>
        <w:ind w:left="1560" w:hanging="284"/>
        <w:jc w:val="both"/>
      </w:pPr>
      <w:r>
        <w:rPr>
          <w:rFonts w:ascii="標楷體" w:eastAsia="標楷體" w:hAnsi="標楷體"/>
          <w:color w:val="000000"/>
        </w:rPr>
        <w:t>ii.泌尿道上皮癌第二線用藥：eGFR&gt;30mL/min/1.73</w:t>
      </w:r>
      <w:r>
        <w:rPr>
          <w:rFonts w:ascii="標楷體" w:eastAsia="標楷體" w:hAnsi="標楷體"/>
          <w:szCs w:val="24"/>
        </w:rPr>
        <w:t>m</w:t>
      </w:r>
      <w:r>
        <w:rPr>
          <w:rFonts w:ascii="標楷體" w:eastAsia="標楷體" w:hAnsi="標楷體"/>
          <w:szCs w:val="24"/>
          <w:vertAlign w:val="superscript"/>
        </w:rPr>
        <w:t>2</w:t>
      </w:r>
      <w:r>
        <w:rPr>
          <w:rFonts w:ascii="標楷體" w:eastAsia="標楷體" w:hAnsi="標楷體"/>
          <w:color w:val="000000"/>
        </w:rPr>
        <w:t>。</w:t>
      </w:r>
    </w:p>
    <w:p w:rsidR="00EC62C6" w:rsidRDefault="00EC62C6" w:rsidP="00EC62C6">
      <w:pPr>
        <w:tabs>
          <w:tab w:val="left" w:pos="1185"/>
          <w:tab w:val="left" w:pos="1418"/>
        </w:tabs>
        <w:spacing w:line="400" w:lineRule="exact"/>
        <w:ind w:left="1560" w:hanging="284"/>
        <w:jc w:val="both"/>
      </w:pPr>
      <w:r>
        <w:rPr>
          <w:rFonts w:ascii="標楷體" w:eastAsia="標楷體" w:hAnsi="標楷體"/>
          <w:color w:val="000000"/>
          <w:szCs w:val="24"/>
        </w:rPr>
        <w:t>iii.</w:t>
      </w:r>
      <w:r>
        <w:rPr>
          <w:rFonts w:ascii="標楷體" w:eastAsia="標楷體" w:hAnsi="標楷體"/>
          <w:szCs w:val="24"/>
        </w:rPr>
        <w:t>泌尿道上皮癌維持治療（112/10/1）</w:t>
      </w:r>
      <w:r>
        <w:rPr>
          <w:rFonts w:ascii="標楷體" w:eastAsia="標楷體" w:hAnsi="標楷體"/>
          <w:color w:val="000000"/>
        </w:rPr>
        <w:t>：</w:t>
      </w:r>
      <w:r>
        <w:rPr>
          <w:rFonts w:ascii="標楷體" w:eastAsia="標楷體" w:hAnsi="標楷體"/>
          <w:szCs w:val="24"/>
        </w:rPr>
        <w:t>eGFR&gt;30mL/min/1.73m</w:t>
      </w:r>
      <w:r>
        <w:rPr>
          <w:rFonts w:ascii="標楷體" w:eastAsia="標楷體" w:hAnsi="標楷體"/>
          <w:szCs w:val="24"/>
          <w:vertAlign w:val="superscript"/>
        </w:rPr>
        <w:t>2</w:t>
      </w:r>
      <w:r>
        <w:rPr>
          <w:rFonts w:ascii="標楷體" w:eastAsia="標楷體" w:hAnsi="標楷體"/>
          <w:szCs w:val="24"/>
        </w:rPr>
        <w:t>。</w:t>
      </w:r>
    </w:p>
    <w:p w:rsidR="00EC62C6" w:rsidRDefault="00EC62C6" w:rsidP="00EC62C6">
      <w:pPr>
        <w:tabs>
          <w:tab w:val="left" w:pos="1185"/>
          <w:tab w:val="left" w:pos="1418"/>
        </w:tabs>
        <w:spacing w:line="400" w:lineRule="exact"/>
        <w:ind w:left="1560" w:hanging="284"/>
        <w:jc w:val="both"/>
      </w:pPr>
      <w:r>
        <w:rPr>
          <w:rFonts w:ascii="標楷體" w:eastAsia="標楷體" w:hAnsi="標楷體"/>
          <w:szCs w:val="24"/>
        </w:rPr>
        <w:t>iv.</w:t>
      </w:r>
      <w:r>
        <w:rPr>
          <w:rFonts w:ascii="標楷體" w:eastAsia="標楷體" w:hAnsi="標楷體"/>
          <w:color w:val="000000"/>
        </w:rPr>
        <w:t>其他癌別：Creatinine&lt;1.5mg/dL且eGFR&gt;60mL/min/1.73m</w:t>
      </w:r>
      <w:r>
        <w:rPr>
          <w:rFonts w:ascii="標楷體" w:eastAsia="標楷體" w:hAnsi="標楷體"/>
          <w:color w:val="000000"/>
          <w:vertAlign w:val="superscript"/>
        </w:rPr>
        <w:t>2</w:t>
      </w:r>
      <w:r>
        <w:rPr>
          <w:rFonts w:ascii="標楷體" w:eastAsia="標楷體" w:hAnsi="標楷體"/>
          <w:color w:val="000000"/>
        </w:rPr>
        <w:t>。</w:t>
      </w:r>
    </w:p>
    <w:p w:rsidR="00EC62C6" w:rsidRDefault="00EC62C6" w:rsidP="00EC62C6">
      <w:pPr>
        <w:tabs>
          <w:tab w:val="left" w:pos="2552"/>
        </w:tabs>
        <w:spacing w:line="400" w:lineRule="exact"/>
        <w:ind w:left="1133" w:hanging="564"/>
        <w:jc w:val="both"/>
      </w:pPr>
      <w:r>
        <w:rPr>
          <w:rFonts w:ascii="標楷體" w:eastAsia="標楷體" w:hAnsi="標楷體"/>
          <w:color w:val="000000"/>
        </w:rPr>
        <w:t xml:space="preserve"> (3)病人</w:t>
      </w:r>
      <w:r>
        <w:rPr>
          <w:rFonts w:ascii="標楷體" w:eastAsia="標楷體" w:hAnsi="標楷體"/>
          <w:szCs w:val="24"/>
        </w:rPr>
        <w:t>之生物標記表現：除ipilimumab與nivolumab併用於惡性肋膜間皮瘤外，依個別藥品使用其對應之第三等級體外診斷醫療器材(class III IVD)所檢測之PD-L1表現量需符合下表：(109/4/1、109/6/1、111/4/1、112/8/1、112/10/1、112/12/1、113/2/1、113/4/1、113/6/1、113/8/1、114/2/1、114/6/1、114/8/1、114/10/1</w:t>
      </w:r>
      <w:r>
        <w:rPr>
          <w:rFonts w:ascii="標楷體" w:eastAsia="標楷體" w:hAnsi="標楷體"/>
          <w:szCs w:val="24"/>
          <w:lang w:val="zh-TW" w:bidi="zh-TW"/>
        </w:rPr>
        <w:t>、</w:t>
      </w:r>
      <w:r>
        <w:rPr>
          <w:rFonts w:ascii="標楷體" w:eastAsia="標楷體" w:hAnsi="標楷體"/>
          <w:szCs w:val="24"/>
          <w:lang w:bidi="zh-TW"/>
        </w:rPr>
        <w:t>115/2/1</w:t>
      </w:r>
      <w:r>
        <w:rPr>
          <w:rFonts w:ascii="標楷體" w:eastAsia="標楷體" w:hAnsi="標楷體"/>
          <w:szCs w:val="24"/>
        </w:rPr>
        <w:t>)</w:t>
      </w:r>
    </w:p>
    <w:tbl>
      <w:tblPr>
        <w:tblW w:w="5009" w:type="pct"/>
        <w:jc w:val="center"/>
        <w:tblCellMar>
          <w:left w:w="10" w:type="dxa"/>
          <w:right w:w="10" w:type="dxa"/>
        </w:tblCellMar>
        <w:tblLook w:val="04A0" w:firstRow="1" w:lastRow="0" w:firstColumn="1" w:lastColumn="0" w:noHBand="0" w:noVBand="1"/>
      </w:tblPr>
      <w:tblGrid>
        <w:gridCol w:w="1730"/>
        <w:gridCol w:w="577"/>
        <w:gridCol w:w="1605"/>
        <w:gridCol w:w="1404"/>
        <w:gridCol w:w="1562"/>
        <w:gridCol w:w="1235"/>
        <w:gridCol w:w="1532"/>
      </w:tblGrid>
      <w:tr w:rsidR="00EC62C6" w:rsidTr="00764C6C">
        <w:trPr>
          <w:cantSplit/>
          <w:trHeight w:val="406"/>
          <w:tblHeader/>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widowControl/>
              <w:spacing w:line="400" w:lineRule="exact"/>
              <w:jc w:val="center"/>
              <w:rPr>
                <w:rFonts w:ascii="標楷體" w:eastAsia="標楷體" w:hAnsi="標楷體"/>
                <w:kern w:val="0"/>
                <w:sz w:val="20"/>
                <w:szCs w:val="20"/>
              </w:rPr>
            </w:pPr>
            <w:r>
              <w:rPr>
                <w:rFonts w:ascii="標楷體" w:eastAsia="標楷體" w:hAnsi="標楷體"/>
                <w:kern w:val="0"/>
                <w:sz w:val="20"/>
                <w:szCs w:val="20"/>
              </w:rPr>
              <w:lastRenderedPageBreak/>
              <w:t>給付範圍</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事審代碼</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pembrolizumab</w:t>
            </w:r>
          </w:p>
          <w:p w:rsidR="00EC62C6" w:rsidRDefault="00EC62C6" w:rsidP="00764C6C">
            <w:pPr>
              <w:spacing w:line="400" w:lineRule="exact"/>
              <w:jc w:val="center"/>
            </w:pPr>
            <w:r>
              <w:rPr>
                <w:rFonts w:ascii="標楷體" w:eastAsia="標楷體" w:hAnsi="標楷體"/>
                <w:sz w:val="20"/>
                <w:szCs w:val="20"/>
              </w:rPr>
              <w:t>(Dako 22C3或Ventana SP263*)</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nivolumab</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(Dako 28-8或Ventana SP263*)</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atezolizumab</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(Ventana SP142)</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avelumab</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(Ventana SP263*)</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Durvalumab</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(Ventana SP263*)</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黑色素瘤</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P001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kern w:val="0"/>
                <w:sz w:val="20"/>
                <w:szCs w:val="20"/>
              </w:rPr>
            </w:pPr>
            <w:r>
              <w:rPr>
                <w:rFonts w:ascii="標楷體" w:eastAsia="標楷體" w:hAnsi="標楷體"/>
                <w:kern w:val="0"/>
                <w:sz w:val="20"/>
                <w:szCs w:val="20"/>
              </w:rPr>
              <w:t>非小細胞肺癌</w:t>
            </w:r>
          </w:p>
          <w:p w:rsidR="00EC62C6" w:rsidRDefault="00EC62C6" w:rsidP="00764C6C">
            <w:pPr>
              <w:spacing w:line="400" w:lineRule="exact"/>
              <w:jc w:val="center"/>
              <w:rPr>
                <w:rFonts w:ascii="標楷體" w:eastAsia="標楷體" w:hAnsi="標楷體"/>
                <w:kern w:val="0"/>
                <w:sz w:val="20"/>
                <w:szCs w:val="20"/>
              </w:rPr>
            </w:pPr>
            <w:r>
              <w:rPr>
                <w:rFonts w:ascii="標楷體" w:eastAsia="標楷體" w:hAnsi="標楷體"/>
                <w:kern w:val="0"/>
                <w:sz w:val="20"/>
                <w:szCs w:val="20"/>
              </w:rPr>
              <w:t>鞏固治療</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kern w:val="0"/>
                <w:sz w:val="20"/>
                <w:szCs w:val="20"/>
              </w:rPr>
            </w:pPr>
            <w:r>
              <w:rPr>
                <w:rFonts w:ascii="標楷體" w:eastAsia="標楷體" w:hAnsi="標楷體"/>
                <w:kern w:val="0"/>
                <w:sz w:val="20"/>
                <w:szCs w:val="20"/>
              </w:rPr>
              <w:t>P015</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autoSpaceDE w:val="0"/>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autoSpaceDE w:val="0"/>
              <w:snapToGrid w:val="0"/>
              <w:spacing w:line="400" w:lineRule="exact"/>
              <w:jc w:val="center"/>
            </w:pPr>
            <w:r>
              <w:rPr>
                <w:rFonts w:ascii="標楷體" w:eastAsia="標楷體" w:hAnsi="標楷體"/>
                <w:kern w:val="0"/>
                <w:sz w:val="20"/>
                <w:szCs w:val="20"/>
              </w:rPr>
              <w:t>PD-L1</w:t>
            </w:r>
            <w:r>
              <w:rPr>
                <w:rFonts w:ascii="標楷體" w:eastAsia="標楷體" w:hAnsi="標楷體" w:cs="微軟正黑體"/>
                <w:kern w:val="0"/>
                <w:sz w:val="20"/>
                <w:szCs w:val="20"/>
              </w:rPr>
              <w:t>≧</w:t>
            </w:r>
            <w:r>
              <w:rPr>
                <w:rFonts w:ascii="標楷體" w:eastAsia="標楷體" w:hAnsi="標楷體"/>
                <w:kern w:val="0"/>
                <w:sz w:val="20"/>
                <w:szCs w:val="20"/>
              </w:rPr>
              <w:t xml:space="preserve"> 1%</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kern w:val="0"/>
                <w:sz w:val="20"/>
                <w:szCs w:val="20"/>
              </w:rPr>
              <w:t>鱗狀、非鱗狀非小細胞肺癌第一線用藥(單用)</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P013</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TC≧50%或IC≧10%</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非鱗狀非小細胞肺癌第一線用藥</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(併用)</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P013</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color w:val="000000"/>
                <w:sz w:val="20"/>
                <w:szCs w:val="20"/>
              </w:rPr>
              <w:t>鱗狀</w:t>
            </w:r>
            <w:r>
              <w:rPr>
                <w:rFonts w:ascii="標楷體" w:eastAsia="標楷體" w:hAnsi="標楷體"/>
                <w:sz w:val="20"/>
                <w:szCs w:val="20"/>
              </w:rPr>
              <w:t>非小細胞肺癌第二線用藥</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P011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50%或IC</w:t>
            </w:r>
            <w:r>
              <w:rPr>
                <w:rFonts w:ascii="標楷體" w:eastAsia="標楷體" w:hAnsi="標楷體" w:cs="新細明體"/>
                <w:sz w:val="20"/>
                <w:szCs w:val="20"/>
              </w:rPr>
              <w:t>≧</w:t>
            </w:r>
            <w:r>
              <w:rPr>
                <w:rFonts w:ascii="標楷體" w:eastAsia="標楷體" w:hAnsi="標楷體"/>
                <w:sz w:val="20"/>
                <w:szCs w:val="20"/>
              </w:rPr>
              <w:t>10%</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color w:val="000000"/>
                <w:sz w:val="20"/>
                <w:szCs w:val="20"/>
              </w:rPr>
              <w:t>非鱗狀</w:t>
            </w:r>
            <w:r>
              <w:rPr>
                <w:rFonts w:ascii="標楷體" w:eastAsia="標楷體" w:hAnsi="標楷體"/>
                <w:sz w:val="20"/>
                <w:szCs w:val="20"/>
              </w:rPr>
              <w:t>非小細胞肺癌第三線用藥</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P012</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50%或IC</w:t>
            </w:r>
            <w:r>
              <w:rPr>
                <w:rFonts w:ascii="標楷體" w:eastAsia="標楷體" w:hAnsi="標楷體" w:cs="新細明體"/>
                <w:sz w:val="20"/>
                <w:szCs w:val="20"/>
              </w:rPr>
              <w:t>≧</w:t>
            </w:r>
            <w:r>
              <w:rPr>
                <w:rFonts w:ascii="標楷體" w:eastAsia="標楷體" w:hAnsi="標楷體"/>
                <w:sz w:val="20"/>
                <w:szCs w:val="20"/>
              </w:rPr>
              <w:t>10%</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鱗狀非小細胞肺癌第一線用藥（併用化療）</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P014</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TPS 1~49%</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小細胞肺癌</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(併用化療)</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P021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典型何杰金氏淋巴瘤</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P031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泌尿道上皮癌維持療法</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P043</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pPr>
            <w:r>
              <w:rPr>
                <w:rFonts w:ascii="標楷體" w:eastAsia="標楷體" w:hAnsi="標楷體"/>
                <w:sz w:val="20"/>
                <w:szCs w:val="20"/>
              </w:rPr>
              <w:t>不需檢附報告</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泌尿道上皮癌第一線用藥</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(單用)</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P042</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w:t>
            </w:r>
            <w:r>
              <w:rPr>
                <w:rFonts w:ascii="標楷體" w:eastAsia="標楷體" w:hAnsi="標楷體"/>
                <w:sz w:val="20"/>
                <w:szCs w:val="20"/>
              </w:rPr>
              <w:t>10</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IC≧5%</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(113年8月1日前審核同意符合續用申請條件者)</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泌尿道上皮癌第一線用藥(併用化療)</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P044</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TC</w:t>
            </w:r>
            <w:r>
              <w:rPr>
                <w:rFonts w:ascii="Times New Roman" w:eastAsia="標楷體" w:hAnsi="Times New Roman"/>
                <w:sz w:val="20"/>
                <w:szCs w:val="20"/>
              </w:rPr>
              <w:t>≥</w:t>
            </w:r>
            <w:r>
              <w:rPr>
                <w:rFonts w:ascii="標楷體" w:eastAsia="標楷體" w:hAnsi="標楷體"/>
                <w:sz w:val="20"/>
                <w:szCs w:val="20"/>
              </w:rPr>
              <w:t>1%</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lastRenderedPageBreak/>
              <w:t>泌尿道上皮癌第二線用藥</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P041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w:t>
            </w:r>
            <w:r>
              <w:rPr>
                <w:rFonts w:ascii="標楷體" w:eastAsia="標楷體" w:hAnsi="標楷體"/>
                <w:sz w:val="20"/>
                <w:szCs w:val="20"/>
              </w:rPr>
              <w:t>10</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IC≧5%</w:t>
            </w:r>
          </w:p>
          <w:p w:rsidR="00EC62C6" w:rsidRDefault="00EC62C6" w:rsidP="00764C6C">
            <w:pPr>
              <w:spacing w:line="400" w:lineRule="exact"/>
              <w:jc w:val="center"/>
            </w:pPr>
            <w:r>
              <w:rPr>
                <w:rFonts w:ascii="標楷體" w:eastAsia="標楷體" w:hAnsi="標楷體"/>
                <w:sz w:val="20"/>
                <w:szCs w:val="20"/>
              </w:rPr>
              <w:t>(113年8月1日前審核同意符合續用申請條件者)</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胃腺癌</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(109年4月1日前審核同意符合續用申請條件者)</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P051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w:t>
            </w:r>
            <w:r>
              <w:rPr>
                <w:rFonts w:ascii="標楷體" w:eastAsia="標楷體" w:hAnsi="標楷體"/>
                <w:sz w:val="20"/>
                <w:szCs w:val="20"/>
              </w:rPr>
              <w:t>1</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胃癌第一線用藥 (併用化療)</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P052</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≧5</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晚期腎細胞癌</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P061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晚期肝細胞癌(109年4月1日前審核同意符合續用)</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P071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(109年4月1日前審核同意符合續用申請條件者)</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晚期肝細胞癌第一線用藥</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（併用）</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P072</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不需檢附報告（併用bevacizumab）</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不需檢附報告(併用tremelimumab)</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頭頸部鱗狀細胞癌第一線用藥</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kern w:val="0"/>
                <w:sz w:val="20"/>
                <w:szCs w:val="20"/>
                <w:lang w:val="zh-TW" w:bidi="zh-TW"/>
              </w:rPr>
            </w:pPr>
            <w:r>
              <w:rPr>
                <w:rFonts w:ascii="標楷體" w:eastAsia="標楷體" w:hAnsi="標楷體"/>
                <w:kern w:val="0"/>
                <w:sz w:val="20"/>
                <w:szCs w:val="20"/>
                <w:lang w:val="zh-TW" w:bidi="zh-TW"/>
              </w:rPr>
              <w:t>P082</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kern w:val="0"/>
                <w:sz w:val="20"/>
                <w:szCs w:val="20"/>
                <w:lang w:val="zh-TW" w:bidi="zh-TW"/>
              </w:rPr>
              <w:t>CPS</w:t>
            </w:r>
            <w:r>
              <w:rPr>
                <w:rFonts w:ascii="標楷體" w:eastAsia="標楷體" w:hAnsi="標楷體" w:cs="新細明體"/>
                <w:kern w:val="0"/>
                <w:sz w:val="20"/>
                <w:szCs w:val="20"/>
                <w:lang w:val="zh-TW" w:bidi="zh-TW"/>
              </w:rPr>
              <w:t>≧</w:t>
            </w:r>
            <w:r>
              <w:rPr>
                <w:rFonts w:ascii="標楷體" w:eastAsia="標楷體" w:hAnsi="標楷體"/>
                <w:kern w:val="0"/>
                <w:sz w:val="20"/>
                <w:szCs w:val="20"/>
                <w:lang w:val="zh-TW" w:bidi="zh-TW"/>
              </w:rPr>
              <w:t>20</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頭頸部鱗狀細胞癌第二線用藥</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P081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10%</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默克細胞癌</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P091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食道鱗狀細胞癌第一線用藥(併用化療)</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pPr>
            <w:r>
              <w:rPr>
                <w:rFonts w:ascii="標楷體" w:eastAsia="標楷體" w:hAnsi="標楷體"/>
                <w:kern w:val="0"/>
                <w:sz w:val="20"/>
                <w:szCs w:val="20"/>
              </w:rPr>
              <w:t>P102</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TC</w:t>
            </w:r>
            <w:r>
              <w:rPr>
                <w:rFonts w:ascii="標楷體" w:eastAsia="標楷體" w:hAnsi="標楷體" w:cs="新細明體"/>
                <w:sz w:val="20"/>
                <w:szCs w:val="20"/>
              </w:rPr>
              <w:t>≧1</w:t>
            </w:r>
            <w:r>
              <w:rPr>
                <w:rFonts w:ascii="標楷體" w:eastAsia="標楷體" w:hAnsi="標楷體"/>
                <w:sz w:val="20"/>
                <w:szCs w:val="20"/>
              </w:rPr>
              <w:t>%</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lastRenderedPageBreak/>
              <w:t>食道鱗狀細胞癌第二線用藥</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(單用)</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P101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TC</w:t>
            </w:r>
            <w:r>
              <w:rPr>
                <w:rFonts w:ascii="標楷體" w:eastAsia="標楷體" w:hAnsi="標楷體" w:cs="新細明體"/>
                <w:sz w:val="20"/>
                <w:szCs w:val="20"/>
              </w:rPr>
              <w:t>≧1</w:t>
            </w:r>
            <w:r>
              <w:rPr>
                <w:rFonts w:ascii="標楷體" w:eastAsia="標楷體" w:hAnsi="標楷體"/>
                <w:sz w:val="20"/>
                <w:szCs w:val="20"/>
              </w:rPr>
              <w:t>%</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惡性肋膜間皮瘤(ipilimumab併用nivolumab)</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P111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pPr>
            <w:r>
              <w:rPr>
                <w:rFonts w:ascii="標楷體" w:eastAsia="標楷體" w:hAnsi="標楷體"/>
                <w:sz w:val="20"/>
                <w:szCs w:val="20"/>
              </w:rPr>
              <w:t>不需檢附報告，</w:t>
            </w:r>
          </w:p>
          <w:p w:rsidR="00EC62C6" w:rsidRDefault="00EC62C6" w:rsidP="00764C6C">
            <w:pPr>
              <w:spacing w:line="400" w:lineRule="exact"/>
              <w:jc w:val="center"/>
            </w:pPr>
            <w:r>
              <w:rPr>
                <w:rFonts w:ascii="標楷體" w:eastAsia="標楷體" w:hAnsi="標楷體"/>
                <w:kern w:val="0"/>
                <w:sz w:val="20"/>
                <w:szCs w:val="20"/>
              </w:rPr>
              <w:t>病理組織為非上皮型(Non-epithelioid)</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膽道癌</w:t>
            </w:r>
          </w:p>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(併用化療)</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P121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早期三陰性乳癌(併用化療)</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P131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EC62C6" w:rsidTr="00764C6C">
        <w:trPr>
          <w:cantSplit/>
          <w:trHeight w:val="406"/>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大腸直腸癌</w:t>
            </w:r>
          </w:p>
        </w:tc>
        <w:tc>
          <w:tcPr>
            <w:tcW w:w="57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P141</w:t>
            </w:r>
          </w:p>
        </w:tc>
        <w:tc>
          <w:tcPr>
            <w:tcW w:w="1605"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40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62"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35"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32"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EC62C6" w:rsidRDefault="00EC62C6" w:rsidP="00764C6C">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bl>
    <w:p w:rsidR="00EC62C6" w:rsidRDefault="00EC62C6" w:rsidP="00EC62C6">
      <w:pPr>
        <w:tabs>
          <w:tab w:val="left" w:pos="1185"/>
        </w:tabs>
        <w:spacing w:line="400" w:lineRule="exact"/>
        <w:ind w:left="588" w:hanging="590"/>
      </w:pPr>
      <w:r>
        <w:rPr>
          <w:rFonts w:ascii="標楷體" w:eastAsia="標楷體" w:hAnsi="標楷體"/>
          <w:color w:val="000000"/>
          <w:sz w:val="20"/>
          <w:szCs w:val="20"/>
        </w:rPr>
        <w:t>* Ventana SP263僅適用於檢測非小細胞肺癌或</w:t>
      </w:r>
      <w:r>
        <w:rPr>
          <w:rFonts w:ascii="標楷體" w:eastAsia="標楷體" w:hAnsi="標楷體"/>
          <w:sz w:val="20"/>
          <w:szCs w:val="20"/>
        </w:rPr>
        <w:t>泌尿道上皮癌維持療法</w:t>
      </w:r>
    </w:p>
    <w:p w:rsidR="00EC62C6" w:rsidRDefault="00EC62C6" w:rsidP="00EC62C6">
      <w:pPr>
        <w:tabs>
          <w:tab w:val="left" w:pos="1185"/>
        </w:tabs>
        <w:spacing w:line="400" w:lineRule="exact"/>
        <w:ind w:left="1291" w:hanging="440"/>
      </w:pPr>
      <w:r>
        <w:rPr>
          <w:rFonts w:ascii="標楷體" w:eastAsia="標楷體" w:hAnsi="標楷體"/>
          <w:color w:val="000000"/>
        </w:rPr>
        <w:t>(4)每位病人每個適應症限給付一種免疫檢查點抑制劑且不得互換，治療期間亦不可合併申報該適應症之標靶藥物（atezolizumab與bevacizumab併用於晚期肝細胞癌第一線用藥及非鱗狀非小細胞肺癌第一線用藥除外），無效後或給付時程期滿後則不再給付該適應症相關之標靶藥物。（enfortumab vedotin用於局部晚期或轉移性泌尿道上皮癌第三線用藥</w:t>
      </w:r>
      <w:r>
        <w:rPr>
          <w:rFonts w:ascii="標楷體" w:eastAsia="標楷體" w:hAnsi="標楷體"/>
        </w:rPr>
        <w:t>及cetuximab用於頭頸部鱗狀細胞癌(不含鼻咽癌) 除外 ）。(108/4/1、111/6/1、112/8/1、113/5/1、115/2/1)</w:t>
      </w:r>
    </w:p>
    <w:p w:rsidR="00EC62C6" w:rsidRDefault="00EC62C6" w:rsidP="00EC62C6">
      <w:pPr>
        <w:tabs>
          <w:tab w:val="left" w:pos="1185"/>
        </w:tabs>
        <w:spacing w:line="400" w:lineRule="exact"/>
        <w:ind w:left="1291" w:hanging="440"/>
        <w:rPr>
          <w:rFonts w:ascii="標楷體" w:eastAsia="標楷體" w:hAnsi="標楷體"/>
          <w:color w:val="000000"/>
        </w:rPr>
      </w:pPr>
      <w:r>
        <w:rPr>
          <w:rFonts w:ascii="標楷體" w:eastAsia="標楷體" w:hAnsi="標楷體"/>
          <w:color w:val="000000"/>
        </w:rPr>
        <w:t>(5)給付時程期限：自初次處方用藥日起算2年（pembrolizumab用於早期三陰性乳癌依前述給付時程期限至多使用17個療程、durvalumab用於鞏固治療自初次處方用藥日起算1年）。(109/4/1、109/11/1、114/6/1、114/8/1)</w:t>
      </w:r>
    </w:p>
    <w:p w:rsidR="00EC62C6" w:rsidRDefault="00EC62C6" w:rsidP="00EC62C6">
      <w:pPr>
        <w:tabs>
          <w:tab w:val="left" w:pos="1185"/>
        </w:tabs>
        <w:spacing w:line="400" w:lineRule="exact"/>
        <w:ind w:left="1291" w:hanging="440"/>
        <w:rPr>
          <w:rFonts w:ascii="標楷體" w:eastAsia="標楷體" w:hAnsi="標楷體"/>
          <w:color w:val="000000"/>
        </w:rPr>
      </w:pPr>
      <w:r>
        <w:rPr>
          <w:rFonts w:ascii="標楷體" w:eastAsia="標楷體" w:hAnsi="標楷體"/>
          <w:color w:val="000000"/>
        </w:rPr>
        <w:t>(6)需經單筆電子申請事前審查核准後使用，申請時需上傳病歷資料(不適用特殊病例事前審查，亦不適用緊急報備，惟已獲核定用藥之病人因轉院可緊急報備申請續用)。(108/4/1、110/10/1、111/6/1)</w:t>
      </w:r>
    </w:p>
    <w:p w:rsidR="00EC62C6" w:rsidRDefault="00EC62C6" w:rsidP="00EC62C6">
      <w:pPr>
        <w:tabs>
          <w:tab w:val="left" w:pos="1185"/>
        </w:tabs>
        <w:spacing w:line="400" w:lineRule="exact"/>
        <w:ind w:left="1291" w:hanging="440"/>
      </w:pPr>
      <w:r>
        <w:rPr>
          <w:rFonts w:ascii="標楷體" w:eastAsia="標楷體" w:hAnsi="標楷體"/>
          <w:color w:val="000000"/>
        </w:rPr>
        <w:t>(7)每次申請以12週為限，初次申請時需檢附以下資料：(108/6/1、109/11/1、111/6/1、113/6/1、114/6/1</w:t>
      </w:r>
      <w:r>
        <w:rPr>
          <w:rFonts w:ascii="標楷體" w:eastAsia="標楷體" w:hAnsi="標楷體"/>
        </w:rPr>
        <w:t>、115/2/1</w:t>
      </w:r>
      <w:r>
        <w:rPr>
          <w:rFonts w:ascii="標楷體" w:eastAsia="標楷體" w:hAnsi="標楷體"/>
          <w:color w:val="000000"/>
        </w:rPr>
        <w:t>)</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I.確實患有相關癌症之病理或細胞檢查報告，黑色素瘤患者需另檢附BRAF腫瘤基因檢測結果、非小細胞肺癌患者需另檢附符合給付適應症內容規定之腫瘤基</w:t>
      </w:r>
      <w:r>
        <w:rPr>
          <w:rFonts w:ascii="標楷體" w:eastAsia="標楷體" w:hAnsi="標楷體"/>
          <w:color w:val="000000"/>
        </w:rPr>
        <w:lastRenderedPageBreak/>
        <w:t>因檢測結果報告，上述基因檢測須符合全民健康保險藥品給付規定之通則十二。(113/6/1)</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Ⅱ.生物標記表現量檢測報告：PD-L1表現量檢測結果需符合全民健康保險藥品給付規定之通則十二。(111/6/1、113/6/1)</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Ⅲ.病人身體狀況良好(ECOG≦1)及心肺與肝腎功能之評估資料。</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IV.病人12週內之疾病影像檢查及報告(如胸部X光、電腦斷層或其他可作為評估的影像)，此影像證明以可測量(measurable)的病灶為優先，如沒有可以測量的病灶，則可評估(evaluable)的病灶亦可採用。</w:t>
      </w:r>
    </w:p>
    <w:p w:rsidR="00EC62C6" w:rsidRDefault="00EC62C6" w:rsidP="00EC62C6">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備註：上述影像檢查之給付範圍不包括正子造影(PET)。</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V.先前已接受過之治療與完整用藥資料(如化學治療、標靶藥物及自費等用藥之劑量及療程)及其治療結果；典型何杰金氏淋巴瘤患者需另檢附自體造血幹細胞移植之病歷紀錄；肝細胞癌患者需另檢附T.A.C.E.治療紀錄。</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VI.使用免疫檢查點抑制劑之治療計畫(treatment protocol)。</w:t>
      </w:r>
    </w:p>
    <w:p w:rsidR="00EC62C6" w:rsidRDefault="00EC62C6" w:rsidP="00EC62C6">
      <w:pPr>
        <w:tabs>
          <w:tab w:val="left" w:pos="1418"/>
        </w:tabs>
        <w:spacing w:line="400" w:lineRule="exact"/>
        <w:ind w:left="1418" w:hanging="141"/>
        <w:jc w:val="both"/>
      </w:pPr>
      <w:r>
        <w:rPr>
          <w:rFonts w:ascii="標楷體" w:eastAsia="標楷體" w:hAnsi="標楷體"/>
          <w:color w:val="000000"/>
        </w:rPr>
        <w:t>Ⅶ.</w:t>
      </w:r>
      <w:r>
        <w:rPr>
          <w:rFonts w:ascii="標楷體" w:eastAsia="標楷體" w:hAnsi="標楷體"/>
          <w:szCs w:val="24"/>
        </w:rPr>
        <w:t>單獨使用pembrolizumab</w:t>
      </w:r>
      <w:r>
        <w:rPr>
          <w:rFonts w:ascii="標楷體" w:eastAsia="標楷體" w:hAnsi="標楷體"/>
          <w:color w:val="000000"/>
          <w:szCs w:val="24"/>
        </w:rPr>
        <w:t>於泌尿道上皮癌第一線用藥時，須另檢附下列其中一項佐證資料：(111/2/1、114/6/1</w:t>
      </w:r>
      <w:r>
        <w:rPr>
          <w:rFonts w:ascii="標楷體" w:eastAsia="標楷體" w:hAnsi="標楷體"/>
          <w:szCs w:val="24"/>
        </w:rPr>
        <w:t>、115/2/1</w:t>
      </w:r>
      <w:r>
        <w:rPr>
          <w:rFonts w:ascii="標楷體" w:eastAsia="標楷體" w:hAnsi="標楷體"/>
          <w:color w:val="000000"/>
          <w:szCs w:val="24"/>
        </w:rPr>
        <w:t>)</w:t>
      </w:r>
    </w:p>
    <w:p w:rsidR="00EC62C6" w:rsidRDefault="00EC62C6" w:rsidP="00EC62C6">
      <w:pPr>
        <w:tabs>
          <w:tab w:val="left" w:pos="1185"/>
        </w:tabs>
        <w:spacing w:line="400" w:lineRule="exact"/>
        <w:ind w:left="1985" w:hanging="284"/>
        <w:jc w:val="both"/>
      </w:pPr>
      <w:r>
        <w:rPr>
          <w:rFonts w:ascii="標楷體" w:eastAsia="標楷體" w:hAnsi="標楷體"/>
          <w:color w:val="000000"/>
        </w:rPr>
        <w:t>i.</w:t>
      </w:r>
      <w:r>
        <w:rPr>
          <w:rFonts w:ascii="標楷體" w:eastAsia="標楷體" w:hAnsi="標楷體"/>
          <w:color w:val="000000"/>
          <w:szCs w:val="24"/>
        </w:rPr>
        <w:t>CTCAE</w:t>
      </w:r>
      <w:r>
        <w:rPr>
          <w:rFonts w:ascii="標楷體" w:eastAsia="標楷體" w:hAnsi="標楷體"/>
          <w:color w:val="000000"/>
        </w:rPr>
        <w:t>(the common terminology criteria for adverse events) v4.0 grade≧2 audiometric hearing loss</w:t>
      </w:r>
    </w:p>
    <w:p w:rsidR="00EC62C6" w:rsidRDefault="00EC62C6" w:rsidP="00EC62C6">
      <w:pPr>
        <w:tabs>
          <w:tab w:val="left" w:pos="1185"/>
        </w:tabs>
        <w:spacing w:line="400" w:lineRule="exact"/>
        <w:ind w:left="1985" w:hanging="284"/>
        <w:jc w:val="both"/>
      </w:pPr>
      <w:r>
        <w:rPr>
          <w:rFonts w:ascii="新細明體" w:hAnsi="新細明體" w:cs="新細明體"/>
          <w:color w:val="000000"/>
        </w:rPr>
        <w:t>ⅱ</w:t>
      </w:r>
      <w:r>
        <w:rPr>
          <w:rFonts w:ascii="標楷體" w:eastAsia="標楷體" w:hAnsi="標楷體"/>
          <w:color w:val="000000"/>
        </w:rPr>
        <w:t>.CTCAE v4.0 grade≧2 peripheral neuropathy</w:t>
      </w:r>
    </w:p>
    <w:p w:rsidR="00EC62C6" w:rsidRDefault="00EC62C6" w:rsidP="00EC62C6">
      <w:pPr>
        <w:tabs>
          <w:tab w:val="left" w:pos="1185"/>
        </w:tabs>
        <w:spacing w:line="400" w:lineRule="exact"/>
        <w:ind w:left="1985" w:hanging="284"/>
        <w:jc w:val="both"/>
      </w:pPr>
      <w:r>
        <w:rPr>
          <w:rFonts w:ascii="新細明體" w:hAnsi="新細明體" w:cs="新細明體"/>
          <w:color w:val="000000"/>
        </w:rPr>
        <w:t>ⅲ</w:t>
      </w:r>
      <w:r>
        <w:rPr>
          <w:rFonts w:ascii="標楷體" w:eastAsia="標楷體" w:hAnsi="標楷體"/>
          <w:color w:val="000000"/>
        </w:rPr>
        <w:t>.CIRS(the cumulative illness rating scale) score &gt;6</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Ⅷ.使用於早期三陰性乳癌</w:t>
      </w:r>
      <w:bookmarkStart w:id="27" w:name="_Hlk183189870"/>
      <w:r>
        <w:rPr>
          <w:rFonts w:ascii="標楷體" w:eastAsia="標楷體" w:hAnsi="標楷體"/>
          <w:color w:val="000000"/>
        </w:rPr>
        <w:t>用藥時，初次申請時需檢附</w:t>
      </w:r>
      <w:bookmarkEnd w:id="27"/>
      <w:r>
        <w:rPr>
          <w:rFonts w:ascii="標楷體" w:eastAsia="標楷體" w:hAnsi="標楷體"/>
          <w:color w:val="000000"/>
        </w:rPr>
        <w:t>ER、PR及HER2為陰性之</w:t>
      </w:r>
    </w:p>
    <w:p w:rsidR="00EC62C6" w:rsidRDefault="00EC62C6" w:rsidP="00EC62C6">
      <w:pPr>
        <w:tabs>
          <w:tab w:val="left" w:pos="1985"/>
        </w:tabs>
        <w:spacing w:line="400" w:lineRule="exact"/>
        <w:ind w:left="1701" w:hanging="141"/>
        <w:jc w:val="both"/>
        <w:rPr>
          <w:rFonts w:ascii="標楷體" w:eastAsia="標楷體" w:hAnsi="標楷體"/>
          <w:color w:val="000000"/>
        </w:rPr>
      </w:pPr>
      <w:r>
        <w:rPr>
          <w:rFonts w:ascii="標楷體" w:eastAsia="標楷體" w:hAnsi="標楷體"/>
          <w:color w:val="000000"/>
        </w:rPr>
        <w:t>檢測報告。(114/6/1)</w:t>
      </w:r>
    </w:p>
    <w:p w:rsidR="00EC62C6" w:rsidRDefault="00EC62C6" w:rsidP="00EC62C6">
      <w:pPr>
        <w:numPr>
          <w:ilvl w:val="0"/>
          <w:numId w:val="41"/>
        </w:numPr>
        <w:suppressAutoHyphens w:val="0"/>
        <w:spacing w:line="400" w:lineRule="exact"/>
        <w:ind w:left="1701" w:hanging="422"/>
        <w:textAlignment w:val="auto"/>
        <w:rPr>
          <w:rFonts w:ascii="標楷體" w:eastAsia="標楷體" w:hAnsi="標楷體"/>
          <w:color w:val="000000"/>
        </w:rPr>
      </w:pPr>
      <w:r>
        <w:rPr>
          <w:rFonts w:ascii="標楷體" w:eastAsia="標楷體" w:hAnsi="標楷體"/>
          <w:color w:val="000000"/>
        </w:rPr>
        <w:t>其他佐證病歷資料。</w:t>
      </w:r>
    </w:p>
    <w:p w:rsidR="00EC62C6" w:rsidRDefault="00EC62C6" w:rsidP="00EC62C6">
      <w:pPr>
        <w:tabs>
          <w:tab w:val="left" w:pos="1185"/>
        </w:tabs>
        <w:spacing w:line="400" w:lineRule="exact"/>
        <w:ind w:left="1291" w:hanging="440"/>
        <w:rPr>
          <w:rFonts w:ascii="標楷體" w:eastAsia="標楷體" w:hAnsi="標楷體"/>
          <w:color w:val="000000"/>
        </w:rPr>
      </w:pPr>
      <w:r>
        <w:rPr>
          <w:rFonts w:ascii="標楷體" w:eastAsia="標楷體" w:hAnsi="標楷體"/>
          <w:color w:val="000000"/>
        </w:rPr>
        <w:t xml:space="preserve"> (8)用藥後每12週至少評估一次，以i-RECIST標準(HCC患者以mRECIST標準)評定藥物療效反應，依下列原則申請續用：(109/4/1、109/11/1、114/6/1、114/8/1)</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I.有療效反應(PR及CR)者得繼續用藥；</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II.出現疾病惡化(PD)或出現中、重度或危及生命之藥物不良反應者，應停止用藥；</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Ⅲ.出現疾病併發症或輕度藥物不良反應等，暫停用藥超過原事前審查核定日起24週期限者，不得申請續用。</w:t>
      </w:r>
    </w:p>
    <w:p w:rsidR="00EC62C6" w:rsidRDefault="00EC62C6" w:rsidP="00EC62C6">
      <w:pPr>
        <w:tabs>
          <w:tab w:val="left" w:pos="1418"/>
        </w:tabs>
        <w:spacing w:line="400" w:lineRule="exact"/>
        <w:ind w:left="1418" w:hanging="141"/>
        <w:jc w:val="both"/>
        <w:rPr>
          <w:rFonts w:ascii="標楷體" w:eastAsia="標楷體" w:hAnsi="標楷體" w:cs="新細明體"/>
          <w:color w:val="000000"/>
          <w:kern w:val="0"/>
          <w:szCs w:val="24"/>
        </w:rPr>
      </w:pPr>
      <w:r>
        <w:rPr>
          <w:rFonts w:ascii="標楷體" w:eastAsia="標楷體" w:hAnsi="標楷體" w:cs="新細明體"/>
          <w:color w:val="000000"/>
          <w:kern w:val="0"/>
          <w:szCs w:val="24"/>
        </w:rPr>
        <w:t>Ⅳ用藥後評估疾病呈穩定狀態者(SD)，可持續再用藥12週，並於12週後再次評估；經連續二次評估皆為SD者，不得申請續用。durvalumab用於非小細胞肺癌之鞏固治療不在此限。(114/8/1)</w:t>
      </w:r>
    </w:p>
    <w:p w:rsidR="00EC62C6" w:rsidRDefault="00EC62C6" w:rsidP="00EC62C6">
      <w:pPr>
        <w:tabs>
          <w:tab w:val="left" w:pos="1418"/>
        </w:tabs>
        <w:spacing w:line="400" w:lineRule="exact"/>
        <w:ind w:left="1418" w:hanging="141"/>
        <w:jc w:val="both"/>
        <w:rPr>
          <w:rFonts w:ascii="標楷體" w:eastAsia="標楷體" w:hAnsi="標楷體" w:cs="新細明體"/>
          <w:color w:val="000000"/>
          <w:kern w:val="0"/>
          <w:szCs w:val="24"/>
        </w:rPr>
      </w:pPr>
      <w:r>
        <w:rPr>
          <w:rFonts w:ascii="標楷體" w:eastAsia="標楷體" w:hAnsi="標楷體" w:cs="新細明體"/>
          <w:color w:val="000000"/>
          <w:kern w:val="0"/>
          <w:szCs w:val="24"/>
        </w:rPr>
        <w:t>Ⅴ使用於早期三陰性乳癌，術前前導性治療腫瘤惡化(PD)者，或術後輔助治療復發者，不得申請續用。(114/6/1)</w:t>
      </w:r>
    </w:p>
    <w:p w:rsidR="00EC62C6" w:rsidRDefault="00EC62C6" w:rsidP="00EC62C6">
      <w:pPr>
        <w:tabs>
          <w:tab w:val="left" w:pos="1185"/>
        </w:tabs>
        <w:spacing w:line="400" w:lineRule="exact"/>
        <w:ind w:left="1291" w:hanging="440"/>
        <w:rPr>
          <w:rFonts w:ascii="標楷體" w:eastAsia="標楷體" w:hAnsi="標楷體"/>
          <w:color w:val="000000"/>
        </w:rPr>
      </w:pPr>
      <w:r>
        <w:rPr>
          <w:rFonts w:ascii="標楷體" w:eastAsia="標楷體" w:hAnsi="標楷體"/>
          <w:color w:val="000000"/>
        </w:rPr>
        <w:t>(9)申請續用時，需檢附病人12週內之評估資料如下：(108/6/1、109/11/1)</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lastRenderedPageBreak/>
        <w:t>I.病人身體狀況良好(ECOG≦1)及心肺與肝腎功能之評估資料。</w:t>
      </w:r>
    </w:p>
    <w:p w:rsidR="00EC62C6" w:rsidRDefault="00EC62C6" w:rsidP="00EC62C6">
      <w:pPr>
        <w:tabs>
          <w:tab w:val="left" w:pos="1418"/>
        </w:tabs>
        <w:spacing w:line="400" w:lineRule="exact"/>
        <w:ind w:left="1418" w:hanging="141"/>
        <w:jc w:val="both"/>
        <w:rPr>
          <w:rFonts w:ascii="標楷體" w:eastAsia="標楷體" w:hAnsi="標楷體"/>
          <w:color w:val="000000"/>
        </w:rPr>
      </w:pPr>
      <w:r>
        <w:rPr>
          <w:rFonts w:ascii="標楷體" w:eastAsia="標楷體" w:hAnsi="標楷體"/>
          <w:color w:val="000000"/>
        </w:rPr>
        <w:t>II.以i-RECIST標準(HCC患者以mRECIST標準)評定之藥物療效反應(PR、CR、SD)資料、影像檢查及報告(如胸部X光、電腦斷層或其他可作為評估的影像)，此影像證明以可測量(measurable)的病灶為優先，如沒有可以測量的病灶，則可評估(evaluable)的病灶亦可採用。</w:t>
      </w:r>
    </w:p>
    <w:p w:rsidR="00EC62C6" w:rsidRDefault="00EC62C6" w:rsidP="00EC62C6">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備註：上述影像檢查之給付範圍不包括正子造影(PET)。</w:t>
      </w:r>
    </w:p>
    <w:p w:rsidR="00EC62C6" w:rsidRDefault="00EC62C6" w:rsidP="00EC62C6">
      <w:pPr>
        <w:tabs>
          <w:tab w:val="left" w:pos="1418"/>
        </w:tabs>
        <w:spacing w:line="400" w:lineRule="exact"/>
        <w:ind w:left="1418" w:hanging="141"/>
        <w:jc w:val="both"/>
      </w:pPr>
      <w:r>
        <w:rPr>
          <w:rFonts w:ascii="標楷體" w:eastAsia="標楷體" w:hAnsi="標楷體"/>
          <w:color w:val="000000"/>
        </w:rPr>
        <w:t>Ⅲ.</w:t>
      </w:r>
      <w:r>
        <w:rPr>
          <w:rFonts w:ascii="標楷體" w:eastAsia="標楷體" w:hAnsi="標楷體"/>
          <w:szCs w:val="24"/>
        </w:rPr>
        <w:t>單獨使用pembrolizumab</w:t>
      </w:r>
      <w:r>
        <w:rPr>
          <w:rFonts w:ascii="標楷體" w:eastAsia="標楷體" w:hAnsi="標楷體"/>
          <w:color w:val="000000"/>
          <w:szCs w:val="24"/>
        </w:rPr>
        <w:t>於泌尿道上皮癌第一線用藥時，須另檢附下列其中一項佐證資料：(108/6/1、109/11/1、114/6/1</w:t>
      </w:r>
      <w:r>
        <w:rPr>
          <w:rFonts w:ascii="標楷體" w:eastAsia="標楷體" w:hAnsi="標楷體"/>
          <w:szCs w:val="24"/>
        </w:rPr>
        <w:t>、115/2/1</w:t>
      </w:r>
      <w:r>
        <w:rPr>
          <w:rFonts w:ascii="標楷體" w:eastAsia="標楷體" w:hAnsi="標楷體"/>
          <w:color w:val="000000"/>
          <w:szCs w:val="24"/>
        </w:rPr>
        <w:t>)</w:t>
      </w:r>
    </w:p>
    <w:p w:rsidR="00EC62C6" w:rsidRDefault="00EC62C6" w:rsidP="00EC62C6">
      <w:pPr>
        <w:tabs>
          <w:tab w:val="left" w:pos="1185"/>
        </w:tabs>
        <w:spacing w:line="400" w:lineRule="exact"/>
        <w:ind w:left="1985" w:hanging="284"/>
        <w:jc w:val="both"/>
        <w:rPr>
          <w:rFonts w:ascii="標楷體" w:eastAsia="標楷體" w:hAnsi="標楷體"/>
          <w:color w:val="000000"/>
        </w:rPr>
      </w:pPr>
      <w:r>
        <w:rPr>
          <w:rFonts w:ascii="標楷體" w:eastAsia="標楷體" w:hAnsi="標楷體"/>
          <w:color w:val="000000"/>
        </w:rPr>
        <w:t>i.CTCAE(the common terminology criteria for adverse events) v4.0 grade≧2 audiometric hearing loss</w:t>
      </w:r>
    </w:p>
    <w:p w:rsidR="00EC62C6" w:rsidRDefault="00EC62C6" w:rsidP="00EC62C6">
      <w:pPr>
        <w:tabs>
          <w:tab w:val="left" w:pos="1185"/>
        </w:tabs>
        <w:spacing w:line="400" w:lineRule="exact"/>
        <w:ind w:left="1985" w:hanging="284"/>
        <w:jc w:val="both"/>
      </w:pPr>
      <w:r>
        <w:rPr>
          <w:rFonts w:ascii="新細明體" w:hAnsi="新細明體" w:cs="新細明體"/>
          <w:color w:val="000000"/>
        </w:rPr>
        <w:t>ⅱ</w:t>
      </w:r>
      <w:r>
        <w:rPr>
          <w:rFonts w:ascii="標楷體" w:eastAsia="標楷體" w:hAnsi="標楷體"/>
          <w:color w:val="000000"/>
        </w:rPr>
        <w:t>.CTCAE v4.0 grade≧2 peripheral neuropathy</w:t>
      </w:r>
    </w:p>
    <w:p w:rsidR="00EC62C6" w:rsidRDefault="00EC62C6" w:rsidP="00EC62C6">
      <w:pPr>
        <w:tabs>
          <w:tab w:val="left" w:pos="1185"/>
        </w:tabs>
        <w:spacing w:line="400" w:lineRule="exact"/>
        <w:ind w:left="1985" w:hanging="284"/>
        <w:jc w:val="both"/>
      </w:pPr>
      <w:r>
        <w:rPr>
          <w:rFonts w:ascii="新細明體" w:hAnsi="新細明體" w:cs="新細明體"/>
          <w:color w:val="000000"/>
        </w:rPr>
        <w:t>ⅲ</w:t>
      </w:r>
      <w:r>
        <w:rPr>
          <w:rFonts w:ascii="標楷體" w:eastAsia="標楷體" w:hAnsi="標楷體"/>
          <w:color w:val="000000"/>
        </w:rPr>
        <w:t>.CIRS(the cumulative illness rating scale) score &gt;6</w:t>
      </w:r>
    </w:p>
    <w:p w:rsidR="00EC62C6" w:rsidRDefault="00EC62C6" w:rsidP="00EC62C6">
      <w:pPr>
        <w:tabs>
          <w:tab w:val="left" w:pos="1418"/>
        </w:tabs>
        <w:spacing w:line="400" w:lineRule="exact"/>
        <w:ind w:left="1418" w:hanging="141"/>
        <w:jc w:val="both"/>
      </w:pPr>
      <w:r>
        <w:rPr>
          <w:rFonts w:ascii="標楷體" w:eastAsia="標楷體" w:hAnsi="標楷體"/>
          <w:color w:val="000000"/>
          <w:szCs w:val="24"/>
        </w:rPr>
        <w:t>IV.</w:t>
      </w:r>
      <w:r>
        <w:rPr>
          <w:rFonts w:ascii="標楷體" w:eastAsia="標楷體" w:hAnsi="標楷體"/>
          <w:szCs w:val="24"/>
        </w:rPr>
        <w:t>使用於早期三陰性乳癌術後輔助治療時，須檢附於乳房和/或手術切除的淋巴結中發現有殘餘的侵襲性癌症(non-pCR)佐證。(114/6/1)</w:t>
      </w:r>
    </w:p>
    <w:p w:rsidR="00EC62C6" w:rsidRDefault="00EC62C6" w:rsidP="00EC62C6">
      <w:pPr>
        <w:tabs>
          <w:tab w:val="left" w:pos="1418"/>
        </w:tabs>
        <w:spacing w:line="400" w:lineRule="exact"/>
        <w:ind w:left="1418" w:hanging="141"/>
        <w:jc w:val="both"/>
      </w:pPr>
      <w:r>
        <w:rPr>
          <w:rFonts w:ascii="標楷體" w:eastAsia="標楷體" w:hAnsi="標楷體" w:cs="新細明體"/>
          <w:color w:val="000000"/>
          <w:kern w:val="0"/>
          <w:szCs w:val="24"/>
        </w:rPr>
        <w:t>Ⅴ其他佐證病歷資料。</w:t>
      </w:r>
    </w:p>
    <w:p w:rsidR="00EC62C6" w:rsidRDefault="00EC62C6" w:rsidP="00EC62C6">
      <w:pPr>
        <w:tabs>
          <w:tab w:val="left" w:pos="710"/>
        </w:tabs>
        <w:spacing w:line="400" w:lineRule="exact"/>
        <w:ind w:left="991" w:hanging="422"/>
        <w:rPr>
          <w:rFonts w:ascii="標楷體" w:eastAsia="標楷體" w:hAnsi="標楷體"/>
          <w:color w:val="000000"/>
        </w:rPr>
      </w:pPr>
      <w:r>
        <w:rPr>
          <w:rFonts w:ascii="標楷體" w:eastAsia="標楷體" w:hAnsi="標楷體"/>
          <w:color w:val="000000"/>
        </w:rPr>
        <w:t>4.登錄與結案作業：(109/11/1、114/1/1）</w:t>
      </w:r>
    </w:p>
    <w:p w:rsidR="00EC62C6" w:rsidRDefault="00EC62C6" w:rsidP="00EC62C6">
      <w:pPr>
        <w:tabs>
          <w:tab w:val="left" w:pos="1185"/>
        </w:tabs>
        <w:spacing w:line="400" w:lineRule="exact"/>
        <w:ind w:left="1291" w:hanging="440"/>
        <w:rPr>
          <w:rFonts w:ascii="標楷體" w:eastAsia="標楷體" w:hAnsi="標楷體"/>
          <w:color w:val="000000"/>
        </w:rPr>
      </w:pPr>
      <w:r>
        <w:rPr>
          <w:rFonts w:ascii="標楷體" w:eastAsia="標楷體" w:hAnsi="標楷體"/>
          <w:color w:val="000000"/>
        </w:rPr>
        <w:t>(1)醫師處方使用本類藥品，倘病人結束治療、停止用藥、未通過續用申請或達給付時程期限時，醫事機構須在28天內於VPN系統登錄結案。逾期未登錄結案者，系統自動結案，且不予支付該個案自前次事前審查核定日後申報之藥費。(109/11/1、114/1/1)</w:t>
      </w:r>
    </w:p>
    <w:p w:rsidR="00B96EA0" w:rsidRDefault="00EC62C6" w:rsidP="00EC62C6">
      <w:pPr>
        <w:tabs>
          <w:tab w:val="left" w:pos="1185"/>
        </w:tabs>
        <w:spacing w:line="400" w:lineRule="exact"/>
        <w:ind w:left="1291" w:hanging="440"/>
        <w:rPr>
          <w:rFonts w:ascii="標楷體" w:eastAsia="標楷體" w:hAnsi="標楷體"/>
          <w:color w:val="000000"/>
        </w:rPr>
      </w:pPr>
      <w:r>
        <w:rPr>
          <w:rFonts w:ascii="標楷體" w:eastAsia="標楷體" w:hAnsi="標楷體"/>
          <w:color w:val="000000"/>
        </w:rPr>
        <w:t>(2)已結案者自結案日後不予支付藥費。</w:t>
      </w:r>
    </w:p>
    <w:p w:rsidR="00A15393" w:rsidRDefault="002F7398" w:rsidP="00A15393">
      <w:pPr>
        <w:spacing w:line="400" w:lineRule="exact"/>
        <w:ind w:left="283"/>
        <w:rPr>
          <w:rFonts w:ascii="標楷體" w:eastAsia="標楷體" w:hAnsi="標楷體"/>
          <w:color w:val="000000"/>
        </w:rPr>
      </w:pPr>
      <w:bookmarkStart w:id="28" w:name="_Hlk212113299"/>
      <w:r>
        <w:rPr>
          <w:rFonts w:ascii="標楷體" w:eastAsia="標楷體" w:hAnsi="標楷體"/>
          <w:color w:val="000000"/>
        </w:rPr>
        <w:t>9.70.</w:t>
      </w:r>
      <w:bookmarkEnd w:id="28"/>
      <w:r w:rsidR="00A15393" w:rsidRPr="00A15393">
        <w:rPr>
          <w:rFonts w:ascii="標楷體" w:eastAsia="標楷體" w:hAnsi="標楷體"/>
          <w:color w:val="000000"/>
        </w:rPr>
        <w:t xml:space="preserve"> </w:t>
      </w:r>
      <w:r w:rsidR="00A15393">
        <w:rPr>
          <w:rFonts w:ascii="標楷體" w:eastAsia="標楷體" w:hAnsi="標楷體"/>
          <w:color w:val="000000"/>
        </w:rPr>
        <w:t>Pertuzumab(如Perjeta)：(108/5/1、108/12/1、112/8/1、113/12/1、114/1/1、114/5/1</w:t>
      </w:r>
      <w:r w:rsidR="00A15393" w:rsidRPr="00C437AA">
        <w:rPr>
          <w:rFonts w:ascii="標楷體" w:eastAsia="標楷體" w:hAnsi="標楷體"/>
          <w:color w:val="000000"/>
        </w:rPr>
        <w:t>、114/12/1</w:t>
      </w:r>
      <w:r w:rsidR="00A15393">
        <w:rPr>
          <w:rFonts w:ascii="標楷體" w:eastAsia="標楷體" w:hAnsi="標楷體"/>
          <w:color w:val="000000"/>
        </w:rPr>
        <w:t>)</w:t>
      </w:r>
    </w:p>
    <w:p w:rsidR="00A15393" w:rsidRDefault="00A15393" w:rsidP="00A15393">
      <w:pPr>
        <w:spacing w:line="400" w:lineRule="exact"/>
        <w:ind w:left="806" w:hanging="240"/>
        <w:rPr>
          <w:rFonts w:ascii="標楷體" w:eastAsia="標楷體" w:hAnsi="標楷體"/>
          <w:color w:val="000000"/>
        </w:rPr>
      </w:pPr>
      <w:r>
        <w:rPr>
          <w:rFonts w:ascii="標楷體" w:eastAsia="標楷體" w:hAnsi="標楷體"/>
          <w:color w:val="000000"/>
        </w:rPr>
        <w:t>1.本藥品與trastuzumab及化學療法併用於具HER2過度表現（IHC3+或FISH+），且具腋下淋巴結轉移但無遠處臟器轉移之早期乳癌病人（113/12/1、114/5/1</w:t>
      </w:r>
      <w:r w:rsidRPr="00C437AA">
        <w:rPr>
          <w:rFonts w:ascii="標楷體" w:eastAsia="標楷體" w:hAnsi="標楷體"/>
          <w:color w:val="000000"/>
        </w:rPr>
        <w:t>、114/12/1</w:t>
      </w:r>
      <w:r>
        <w:rPr>
          <w:rFonts w:ascii="標楷體" w:eastAsia="標楷體" w:hAnsi="標楷體"/>
          <w:color w:val="000000"/>
        </w:rPr>
        <w:t>）</w:t>
      </w:r>
    </w:p>
    <w:p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(1)使用於術前輔助治療，經外科手術後達病理上完全緩解者（pCR），得繼續使用至18個療程為上限。</w:t>
      </w:r>
    </w:p>
    <w:p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(2)若未接受術前輔助治療，即先行手術者，可給予術後輔助治療，以18個療程為使用上限。</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(3)下列Ｉ~Ⅲ使用於外科手術前後之總療程合併計算，依藥品仿單記載以18個療程為上限：</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Ｉ：pertuzumab與trastuzumab併用</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Ⅱ：trastuzumab</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Ⅲ：pertuzumab與trastuzumab皮下注射複方製劑(如Phesgo)</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(4)須經事前審查核准後使用，核准後每24週須檢附療效評估資料再次申請，若疾病</w:t>
      </w:r>
      <w:r>
        <w:rPr>
          <w:rFonts w:ascii="標楷體" w:eastAsia="標楷體" w:hAnsi="標楷體"/>
          <w:color w:val="000000"/>
        </w:rPr>
        <w:lastRenderedPageBreak/>
        <w:t>有惡化情形即不應再行申請。（113/12/1、114/5/1）</w:t>
      </w:r>
    </w:p>
    <w:p w:rsidR="00A15393" w:rsidRDefault="00A15393" w:rsidP="00A15393">
      <w:pPr>
        <w:spacing w:line="400" w:lineRule="exact"/>
        <w:ind w:left="566"/>
        <w:rPr>
          <w:rFonts w:ascii="標楷體" w:eastAsia="標楷體" w:hAnsi="標楷體"/>
          <w:color w:val="000000"/>
        </w:rPr>
      </w:pPr>
      <w:r>
        <w:rPr>
          <w:rFonts w:ascii="標楷體" w:eastAsia="標楷體" w:hAnsi="標楷體"/>
          <w:color w:val="000000"/>
        </w:rPr>
        <w:t>2.轉移性乳癌(108/5/1、108/12/1、112/8/1、113/12/1)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(1)Pertuzumab與trastuzumab及docetaxel併用於治療轉移後未曾以抗HER2或化學療法治療之HER2過度表現(IHC3+或FISH+)轉移性乳癌病人。(108/12/1、112/8/1)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(2)須經事前審查核准後使用，核准後每18週須檢附療效評估資料再次申請，若疾病有惡化情形即不應再行申請，每位病人至多給付18個月為限。(108/5/1)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(3)下列Ｉ~Ⅱ使用於轉移性乳癌總療程合併計算，以全部18個月為上限(113/12/1)：</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Ｉ：pertuzumab與trastuzumab併用</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Ⅱ：pertuzumab與trastuzumab皮下注射複方製劑(如Phesgo)</w:t>
      </w:r>
    </w:p>
    <w:p w:rsidR="00B96EA0" w:rsidRDefault="00A15393" w:rsidP="00A15393">
      <w:pPr>
        <w:spacing w:line="400" w:lineRule="exact"/>
        <w:ind w:left="851"/>
        <w:rPr>
          <w:rFonts w:ascii="標楷體" w:eastAsia="標楷體" w:hAnsi="標楷體"/>
          <w:color w:val="000000"/>
        </w:rPr>
      </w:pPr>
      <w:r>
        <w:rPr>
          <w:rFonts w:ascii="標楷體" w:eastAsia="標楷體" w:hAnsi="標楷體"/>
          <w:color w:val="000000"/>
        </w:rPr>
        <w:t>(4)先前於早期乳癌已使用pertuzumab與trastuzumab併用或使用pertuzumab與trastuzumab皮下注射複方製劑(如Phesgo)者，不得再次申請pertuzumab與trastuzumab併用，惟於早期乳癌治療結束至首次疾病復發轉移時間超過12個月以上者得再次申請。(113/12/1)</w:t>
      </w:r>
    </w:p>
    <w:p w:rsidR="008B5474" w:rsidRPr="008E774D" w:rsidRDefault="008B5474" w:rsidP="008B5474">
      <w:pPr>
        <w:spacing w:line="400" w:lineRule="exact"/>
        <w:ind w:left="283"/>
      </w:pPr>
      <w:bookmarkStart w:id="29" w:name="_Hlk75424822"/>
      <w:bookmarkStart w:id="30" w:name="_Hlk204092271"/>
      <w:r w:rsidRPr="008E774D">
        <w:rPr>
          <w:rFonts w:ascii="標楷體" w:eastAsia="標楷體" w:hAnsi="標楷體"/>
          <w:color w:val="000000"/>
        </w:rPr>
        <w:t>9.71.</w:t>
      </w:r>
      <w:bookmarkEnd w:id="29"/>
      <w:r w:rsidRPr="008E774D">
        <w:t xml:space="preserve"> </w:t>
      </w:r>
      <w:r w:rsidRPr="008E774D">
        <w:rPr>
          <w:rFonts w:ascii="標楷體" w:eastAsia="標楷體" w:hAnsi="標楷體"/>
          <w:color w:val="000000"/>
        </w:rPr>
        <w:t>Venetoclax (如Venclexta)：(108/9/1、110/7/1、112/7/1</w:t>
      </w:r>
      <w:r w:rsidRPr="008E774D">
        <w:rPr>
          <w:rFonts w:ascii="標楷體" w:eastAsia="標楷體" w:hAnsi="標楷體" w:hint="eastAsia"/>
          <w:color w:val="000000"/>
        </w:rPr>
        <w:t>、114/8/1</w:t>
      </w:r>
      <w:r>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993" w:hanging="426"/>
        <w:rPr>
          <w:rFonts w:ascii="標楷體" w:eastAsia="標楷體" w:hAnsi="標楷體"/>
          <w:color w:val="000000"/>
        </w:rPr>
      </w:pPr>
      <w:r w:rsidRPr="008E774D">
        <w:rPr>
          <w:rFonts w:ascii="標楷體" w:eastAsia="標楷體" w:hAnsi="標楷體"/>
          <w:color w:val="000000"/>
        </w:rPr>
        <w:t>1.單獨使用於具有17p 缺失的慢性淋巴球性白血病(CLL) 成年患者。（108/9/1、112/7/1</w:t>
      </w:r>
      <w:r w:rsidR="00086754">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(1)限先前曾接受至少1種包括alkylating agent與anti-CD20 (如R-CVP、R-CHOP、rituximab加bendamustine等)的治療2個療程以上仍惡化或復發者。</w:t>
      </w:r>
    </w:p>
    <w:p w:rsidR="008B5474" w:rsidRPr="008E774D" w:rsidRDefault="008B5474" w:rsidP="008B5474">
      <w:pPr>
        <w:spacing w:line="400" w:lineRule="exact"/>
        <w:ind w:leftChars="381" w:left="914"/>
        <w:rPr>
          <w:rFonts w:ascii="標楷體" w:eastAsia="標楷體" w:hAnsi="標楷體"/>
          <w:color w:val="000000"/>
        </w:rPr>
      </w:pPr>
      <w:r w:rsidRPr="008E774D">
        <w:rPr>
          <w:rFonts w:ascii="標楷體" w:eastAsia="標楷體" w:hAnsi="標楷體"/>
          <w:color w:val="000000"/>
        </w:rPr>
        <w:t>(2)開始使用前之疾病狀態需出現下列任一情形：</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Ⅰ.進行性的血液相惡化至Hb&lt; 10.0gm/dL或PLT&lt;100K/uL，且無其他原因可以解釋。</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Ⅱ.脾臟腫大超過左肋骨下緣6cm。</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Ⅲ.淋巴結腫大，最長徑超過10cm。</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Ⅳ.周邊血液淋巴球在2個月內增加50%以上，或倍增時間(doubling time)小於6個月。</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Ⅴ.出現自體免疫併發症，且經類固醇治療無效。</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Ⅵ.出現具症狀的淋巴結外病灶。</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(3)需經事前審查核准後使用，每3個月需再次申請。再次申請時需檢附療效評估資料，若未達iwCLL(International Workshop on CLL)最新定義之partial remission或complete remission，則不予給付。</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 xml:space="preserve">(4) </w:t>
      </w:r>
      <w:r>
        <w:rPr>
          <w:rFonts w:ascii="標楷體" w:eastAsia="標楷體" w:hAnsi="標楷體" w:hint="eastAsia"/>
          <w:color w:val="000000"/>
        </w:rPr>
        <w:t>在具有17</w:t>
      </w:r>
      <w:r>
        <w:rPr>
          <w:rFonts w:ascii="標楷體" w:eastAsia="標楷體" w:hAnsi="標楷體"/>
          <w:color w:val="000000"/>
        </w:rPr>
        <w:t>p</w:t>
      </w:r>
      <w:r>
        <w:rPr>
          <w:rFonts w:ascii="標楷體" w:eastAsia="標楷體" w:hAnsi="標楷體" w:hint="eastAsia"/>
          <w:color w:val="000000"/>
        </w:rPr>
        <w:t>缺失病人，v</w:t>
      </w:r>
      <w:r w:rsidRPr="008E774D">
        <w:rPr>
          <w:rFonts w:ascii="標楷體" w:eastAsia="標楷體" w:hAnsi="標楷體"/>
          <w:color w:val="000000"/>
        </w:rPr>
        <w:t>enetoclax、acalabrutinib</w:t>
      </w:r>
      <w:r>
        <w:rPr>
          <w:rFonts w:ascii="標楷體" w:eastAsia="標楷體" w:hAnsi="標楷體" w:hint="eastAsia"/>
          <w:color w:val="000000"/>
        </w:rPr>
        <w:t>、</w:t>
      </w:r>
      <w:r w:rsidRPr="008E774D">
        <w:rPr>
          <w:rFonts w:ascii="標楷體" w:eastAsia="標楷體" w:hAnsi="標楷體"/>
          <w:color w:val="000000"/>
        </w:rPr>
        <w:t>ibrutinib</w:t>
      </w:r>
      <w:r>
        <w:rPr>
          <w:rFonts w:ascii="標楷體" w:eastAsia="標楷體" w:hAnsi="標楷體" w:hint="eastAsia"/>
          <w:color w:val="000000"/>
        </w:rPr>
        <w:t>及z</w:t>
      </w:r>
      <w:r>
        <w:rPr>
          <w:rFonts w:ascii="標楷體" w:eastAsia="標楷體" w:hAnsi="標楷體"/>
          <w:color w:val="000000"/>
        </w:rPr>
        <w:t>anubrutinib</w:t>
      </w:r>
      <w:r>
        <w:rPr>
          <w:rFonts w:ascii="標楷體" w:eastAsia="標楷體" w:hAnsi="標楷體" w:hint="eastAsia"/>
          <w:color w:val="000000"/>
        </w:rPr>
        <w:t>四</w:t>
      </w:r>
      <w:r w:rsidRPr="008E774D">
        <w:rPr>
          <w:rFonts w:ascii="標楷體" w:eastAsia="標楷體" w:hAnsi="標楷體"/>
          <w:color w:val="000000"/>
        </w:rPr>
        <w:t>者僅能擇一使用，唯有在出現無法忍受其副作用時方可互換。三者使用總療程合併計算，以全部24個月為上限。（108/9/1、112/7/1</w:t>
      </w:r>
      <w:r>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lastRenderedPageBreak/>
        <w:t>(5)每日至多處方4粒。</w:t>
      </w:r>
    </w:p>
    <w:p w:rsidR="008B5474" w:rsidRPr="008E774D" w:rsidRDefault="008B5474" w:rsidP="008B5474">
      <w:pPr>
        <w:spacing w:line="400" w:lineRule="exact"/>
        <w:ind w:left="993" w:hanging="240"/>
        <w:rPr>
          <w:rFonts w:ascii="標楷體" w:eastAsia="標楷體" w:hAnsi="標楷體"/>
          <w:color w:val="000000"/>
        </w:rPr>
      </w:pPr>
      <w:r w:rsidRPr="008E774D">
        <w:rPr>
          <w:rFonts w:ascii="標楷體" w:eastAsia="標楷體" w:hAnsi="標楷體"/>
          <w:color w:val="000000"/>
        </w:rPr>
        <w:t>2.</w:t>
      </w:r>
      <w:r w:rsidRPr="008E774D">
        <w:rPr>
          <w:rFonts w:ascii="標楷體" w:eastAsia="標楷體" w:hAnsi="標楷體" w:hint="eastAsia"/>
          <w:color w:val="000000"/>
        </w:rPr>
        <w:t>併用低劑量cytarabine或azacitidine(除Winduza及Azacitidine Lyophilized Inj 100mg"GBC"以外)，使用於無法接受高強度化學治療之初診斷急性骨髓性白血病(AML)病人：(110/7/1、114/8/1)</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(1)需具有下列I.或Ⅱ.的條件之一：</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I.75歲以上。</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Ⅱ.18歲以上但未滿75歲時，需ECOG performance status為2或3，且符合下列任一條件者：</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A.具有心臟衰竭治療病史，且left ventricle ejection fraction (LVEF)＜50%。</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B.具慢性肺部疾病史，且 DLCO＜65%。</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C.具肝功能異常：Bilirubin level 在1.5-3.0倍正常值間。</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(2)需未曾因骨髓化生不良症候群(myelodysplastic syndrome, MDS)接受過azacitidine治療者。</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(3)需經事前審查核准後使用，每2個療程需再次申請；再次申請時需檢附療效評估資料，若病情惡化應即停止使用。</w:t>
      </w:r>
    </w:p>
    <w:p w:rsidR="00B96EA0"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(4)</w:t>
      </w:r>
      <w:r w:rsidRPr="008E774D">
        <w:rPr>
          <w:rFonts w:ascii="標楷體" w:eastAsia="標楷體" w:hAnsi="標楷體" w:hint="eastAsia"/>
          <w:color w:val="000000"/>
        </w:rPr>
        <w:t>若併用低劑</w:t>
      </w:r>
      <w:r w:rsidRPr="008E774D">
        <w:rPr>
          <w:rFonts w:ascii="標楷體" w:eastAsia="標楷體" w:hAnsi="標楷體" w:hint="eastAsia"/>
        </w:rPr>
        <w:t>量cytarabine，每日至多處方6粒，最多給付4個療程。若併用azacitidine治療，每日至多處方4粒，最多給付6個療程。(110/7/1、114/8/1)</w:t>
      </w:r>
      <w:bookmarkEnd w:id="30"/>
    </w:p>
    <w:p w:rsidR="00C51017" w:rsidRDefault="00C51017" w:rsidP="00C51017">
      <w:pPr>
        <w:spacing w:line="400" w:lineRule="exact"/>
        <w:ind w:left="993" w:hanging="708"/>
      </w:pPr>
      <w:r>
        <w:rPr>
          <w:rFonts w:ascii="標楷體" w:eastAsia="標楷體" w:hAnsi="標楷體"/>
          <w:color w:val="000000"/>
        </w:rPr>
        <w:t>9.72.</w:t>
      </w:r>
      <w:r>
        <w:rPr>
          <w:rFonts w:ascii="標楷體" w:eastAsia="標楷體" w:hAnsi="標楷體"/>
        </w:rPr>
        <w:t xml:space="preserve"> </w:t>
      </w:r>
      <w:r>
        <w:rPr>
          <w:rFonts w:ascii="標楷體" w:eastAsia="標楷體" w:hAnsi="標楷體"/>
          <w:color w:val="000000"/>
        </w:rPr>
        <w:t>CDK4/6抑制劑 (如 ribociclib；palbociclib)：(108/10/1、108/12/1、109/4/1、109/10/1、110/5/1、110/10/1、113/1/1、113/3/1、114/7/1</w:t>
      </w:r>
      <w:r w:rsidR="003F2C2F">
        <w:rPr>
          <w:rFonts w:ascii="標楷體" w:eastAsia="標楷體" w:hAnsi="標楷體" w:hint="eastAsia"/>
          <w:color w:val="000000"/>
        </w:rPr>
        <w:t>、115/1/1</w:t>
      </w:r>
      <w:r>
        <w:rPr>
          <w:rFonts w:ascii="標楷體" w:eastAsia="標楷體" w:hAnsi="標楷體"/>
          <w:color w:val="000000"/>
        </w:rPr>
        <w:t>)</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1.用於停經後乳癌婦女發生遠端轉移後之全身性藥物治療，須完全符合以下條件：(109/10/1、110/5/1、110/10/1、113/1/1)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(1)荷爾蒙接受體為：ER或PR &gt;30%。（109/10/1、113/1/1)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(2)HER-2 檢測為陰性。</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crisis)且無中樞神經系統(CNS)轉移。（110/10/1）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(4)骨轉移不可為唯一轉移部位。（110/10/1）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(5)病患目前未接受卵巢功能抑制治療 (包含GnRH analogue等) 且滿足下列條件之一：（110/5/1）</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Ⅰ.年齡滿55歲。</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Ⅱ.曾接受雙側卵巢切除術。</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Ⅲ.FSH及estradiol血液檢測值在停經後數值範圍內。</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2.用於停經前/正在停經乳癌婦女及男性乳癌發生遠端轉移後之全身性藥物治療，須與芳香環轉化酶抑制劑及GnRH analogue 併用。（113/1/1、114/7/1）</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(1)荷爾蒙接受體為：ER或PR &gt;30%。</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lastRenderedPageBreak/>
        <w:t>(2)HER-2 檢測為陰性。</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(4)骨轉移不可為唯一轉移部位。</w:t>
      </w:r>
    </w:p>
    <w:p w:rsidR="00C51017" w:rsidRPr="002E042D"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3.</w:t>
      </w:r>
      <w:r w:rsidRPr="002E042D">
        <w:rPr>
          <w:rFonts w:ascii="標楷體" w:eastAsia="標楷體" w:hAnsi="標楷體"/>
          <w:color w:val="000000"/>
        </w:rPr>
        <w:t>限palbociclib與fulvestrant併用於治療曾接受過內分泌療法之局部晚期或轉移性乳癌病人，且須完全符合下列條件：(115/1/1)</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(1)荷爾蒙接受體為：ER或PR &gt;30%。</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(2)HER-2 檢測為陰性。</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(3)經完整疾病評估後未出現器官轉移危急症狀 (visceral crisis)且無中樞神經系統(CNS)轉移。</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(4)骨轉移不可為唯一轉移部位。</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4.</w:t>
      </w:r>
      <w:r>
        <w:rPr>
          <w:rFonts w:ascii="標楷體" w:eastAsia="標楷體" w:hAnsi="標楷體"/>
          <w:color w:val="000000"/>
        </w:rPr>
        <w:t>經事前審查核准後使用，核准後每24週須檢附療效評估資料再次申請，若疾病惡化即必須停止使用，且後續不得再申請使用</w:t>
      </w:r>
      <w:r w:rsidRPr="002E042D">
        <w:rPr>
          <w:rFonts w:ascii="標楷體" w:eastAsia="標楷體" w:hAnsi="標楷體"/>
          <w:color w:val="000000"/>
        </w:rPr>
        <w:t>ribociclib、palbociclib</w:t>
      </w:r>
      <w:r>
        <w:rPr>
          <w:rFonts w:ascii="標楷體" w:eastAsia="標楷體" w:hAnsi="標楷體"/>
          <w:color w:val="000000"/>
        </w:rPr>
        <w:t>。（110/10/1）</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5</w:t>
      </w:r>
      <w:r>
        <w:rPr>
          <w:rFonts w:ascii="標楷體" w:eastAsia="標楷體" w:hAnsi="標楷體"/>
          <w:color w:val="000000"/>
        </w:rPr>
        <w:t>.使用限制：</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(1)ribociclib 每日最多處方3粒。</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(2)palbociclib 每日最多處方1粒。</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(3)</w:t>
      </w:r>
      <w:r w:rsidRPr="00B14F70">
        <w:rPr>
          <w:rFonts w:ascii="標楷體" w:eastAsia="標楷體" w:hAnsi="標楷體"/>
          <w:color w:val="000000"/>
        </w:rPr>
        <w:t xml:space="preserve"> ribociclib與palbociclib</w:t>
      </w:r>
      <w:r>
        <w:rPr>
          <w:rFonts w:ascii="標楷體" w:eastAsia="標楷體" w:hAnsi="標楷體"/>
          <w:color w:val="000000"/>
        </w:rPr>
        <w:t>僅得擇一使用，唯有在耐受不良時方可轉換使用，使用總療程合併計算，以每人終生給付24個月為上限。</w:t>
      </w:r>
      <w:r w:rsidRPr="00B14F70">
        <w:rPr>
          <w:rFonts w:ascii="標楷體" w:eastAsia="標楷體" w:hAnsi="標楷體"/>
          <w:color w:val="000000"/>
        </w:rPr>
        <w:t>(108/12/1)</w:t>
      </w:r>
    </w:p>
    <w:p w:rsidR="00C51017" w:rsidRPr="00C51017" w:rsidRDefault="00C51017" w:rsidP="00C51017">
      <w:pPr>
        <w:spacing w:line="400" w:lineRule="exact"/>
        <w:ind w:left="1275" w:hanging="424"/>
        <w:rPr>
          <w:rFonts w:ascii="標楷體" w:eastAsia="標楷體" w:hAnsi="標楷體"/>
          <w:color w:val="000000"/>
        </w:rPr>
      </w:pPr>
      <w:r w:rsidRPr="00B14F70">
        <w:rPr>
          <w:rFonts w:ascii="標楷體" w:eastAsia="標楷體" w:hAnsi="標楷體"/>
          <w:color w:val="000000"/>
        </w:rPr>
        <w:t>(4)若先前於早期乳癌使用abemaciclib無效後，或於晚期乳癌使用ribociclib、palbociclib無效後，不得再申請ribociclib、palbociclib。(113/3/1、115/1/1)</w:t>
      </w:r>
    </w:p>
    <w:p w:rsidR="00C51017" w:rsidRDefault="00C51017" w:rsidP="00C51017">
      <w:pPr>
        <w:spacing w:line="400" w:lineRule="exact"/>
        <w:ind w:left="851" w:hanging="283"/>
        <w:rPr>
          <w:rFonts w:ascii="標楷體" w:eastAsia="標楷體" w:hAnsi="標楷體"/>
          <w:color w:val="000000"/>
        </w:rPr>
      </w:pPr>
      <w:r>
        <w:rPr>
          <w:rFonts w:ascii="標楷體" w:eastAsia="標楷體" w:hAnsi="標楷體" w:hint="eastAsia"/>
          <w:color w:val="000000"/>
        </w:rPr>
        <w:t>6</w:t>
      </w:r>
      <w:r>
        <w:rPr>
          <w:rFonts w:ascii="標楷體" w:eastAsia="標楷體" w:hAnsi="標楷體"/>
          <w:color w:val="000000"/>
        </w:rPr>
        <w:t>.110年9月30日以前已核定用藥之病人，得經事前審查核准後，使用至總療程(即終生24個月)或總療程期間疾病惡化為止，且後續不得再申請使用本類藥品。（110/10/1、113/1/1）</w:t>
      </w:r>
    </w:p>
    <w:p w:rsidR="00B96EA0"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7</w:t>
      </w:r>
      <w:r>
        <w:rPr>
          <w:rFonts w:ascii="標楷體" w:eastAsia="標楷體" w:hAnsi="標楷體"/>
          <w:color w:val="000000"/>
        </w:rPr>
        <w:t>.若先前使用 everolimus 無效後，不得再申請本類藥品。(109/4/1)</w:t>
      </w:r>
    </w:p>
    <w:p w:rsidR="00B96EA0" w:rsidRDefault="007D66B8" w:rsidP="005142EB">
      <w:pPr>
        <w:spacing w:line="400" w:lineRule="exact"/>
        <w:ind w:left="708" w:hanging="425"/>
        <w:rPr>
          <w:rFonts w:ascii="標楷體" w:eastAsia="標楷體" w:hAnsi="標楷體"/>
          <w:color w:val="000000"/>
        </w:rPr>
      </w:pPr>
      <w:r>
        <w:rPr>
          <w:rFonts w:ascii="標楷體" w:eastAsia="標楷體" w:hAnsi="標楷體"/>
          <w:color w:val="000000"/>
        </w:rPr>
        <w:t>9.73.Inotuzumab ozogamicin (如Besponsa)：(108/11/1、112/12/1)</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1.適用於治療患有復發型或頑固型且CD22為陽性之B細胞前驅因子之急性淋巴芽細胞白血病(B-ALL)，且計畫進行造血幹細胞移植之成人病患。</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2.上述成人病患如具費城染色體陽性(Ph+)，應至少使用過兩種酪胺酸激酶抑制劑(TKI)藥物治療無效。</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3.每位病人限給付2療程，需事前審查核准後使用。申請時需檢附完整之造血幹細胞移植計畫，並詳細記載確認移植之執行醫院及移植前調適治療等資料。</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4.不得與blinatumomab（如Blincyto）或酪胺酸激酶抑制劑(TKI)（如imatinib、dasatinib、ponatinib）等併用。</w:t>
      </w:r>
    </w:p>
    <w:p w:rsidR="00B96EA0" w:rsidRDefault="007D66B8" w:rsidP="005142EB">
      <w:pPr>
        <w:spacing w:line="400" w:lineRule="exact"/>
        <w:ind w:left="960" w:hanging="240"/>
      </w:pPr>
      <w:r>
        <w:rPr>
          <w:rFonts w:ascii="標楷體" w:eastAsia="標楷體" w:hAnsi="標楷體"/>
          <w:szCs w:val="24"/>
        </w:rPr>
        <w:t>5.病人若已依達完全緩解但仍有殘餘疾病(MRD)之條件取得 blinatumomab 給付同意</w:t>
      </w:r>
      <w:r>
        <w:rPr>
          <w:rFonts w:ascii="標楷體" w:eastAsia="標楷體" w:hAnsi="標楷體"/>
          <w:szCs w:val="24"/>
        </w:rPr>
        <w:lastRenderedPageBreak/>
        <w:t>並接受治療後</w:t>
      </w:r>
      <w:r>
        <w:rPr>
          <w:rFonts w:ascii="新細明體" w:hAnsi="新細明體"/>
          <w:szCs w:val="24"/>
        </w:rPr>
        <w:t>，</w:t>
      </w:r>
      <w:r>
        <w:rPr>
          <w:rFonts w:ascii="標楷體" w:eastAsia="標楷體" w:hAnsi="標楷體"/>
          <w:szCs w:val="24"/>
        </w:rPr>
        <w:t>MRD若未消失但疾病仍在完全緩解時</w:t>
      </w:r>
      <w:r>
        <w:rPr>
          <w:rFonts w:ascii="新細明體" w:hAnsi="新細明體"/>
          <w:szCs w:val="24"/>
        </w:rPr>
        <w:t>，</w:t>
      </w:r>
      <w:r>
        <w:rPr>
          <w:rFonts w:ascii="標楷體" w:eastAsia="標楷體" w:hAnsi="標楷體"/>
          <w:szCs w:val="24"/>
        </w:rPr>
        <w:t>不得申請給付inotuzumab ozogamicin。（112</w:t>
      </w:r>
      <w:r>
        <w:rPr>
          <w:rFonts w:ascii="標楷體" w:eastAsia="標楷體" w:hAnsi="標楷體"/>
          <w:bCs/>
          <w:szCs w:val="24"/>
        </w:rPr>
        <w:t>/12/1）</w:t>
      </w:r>
    </w:p>
    <w:p w:rsidR="00105765" w:rsidRPr="00105765" w:rsidRDefault="00105765" w:rsidP="00105765">
      <w:pPr>
        <w:spacing w:line="400" w:lineRule="exact"/>
        <w:ind w:left="284"/>
        <w:rPr>
          <w:rFonts w:ascii="標楷體" w:eastAsia="標楷體" w:hAnsi="標楷體"/>
          <w:color w:val="000000"/>
        </w:rPr>
      </w:pPr>
      <w:bookmarkStart w:id="31" w:name="_Hlk204092375"/>
      <w:r w:rsidRPr="00105765">
        <w:rPr>
          <w:rFonts w:ascii="標楷體" w:eastAsia="標楷體" w:hAnsi="標楷體"/>
          <w:color w:val="000000"/>
        </w:rPr>
        <w:t>9.74.Cabozantinib (如Cabometyx)： (108/12/1、110/12/1、</w:t>
      </w:r>
      <w:r w:rsidRPr="00105765">
        <w:rPr>
          <w:rFonts w:ascii="標楷體" w:eastAsia="標楷體" w:hAnsi="標楷體" w:hint="eastAsia"/>
          <w:color w:val="000000"/>
        </w:rPr>
        <w:t>114/8/1</w:t>
      </w:r>
      <w:r w:rsidRPr="00105765">
        <w:rPr>
          <w:rFonts w:ascii="標楷體" w:eastAsia="標楷體" w:hAnsi="標楷體"/>
          <w:color w:val="000000"/>
        </w:rPr>
        <w:t>)</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1.腎細胞癌(108/12/1、110/12/1)</w:t>
      </w:r>
    </w:p>
    <w:p w:rsidR="00105765" w:rsidRPr="00105765" w:rsidRDefault="00105765" w:rsidP="00105765">
      <w:pPr>
        <w:spacing w:line="400" w:lineRule="exact"/>
        <w:ind w:leftChars="100" w:left="960" w:hangingChars="300" w:hanging="720"/>
        <w:rPr>
          <w:rFonts w:ascii="標楷體" w:eastAsia="標楷體" w:hAnsi="標楷體"/>
        </w:rPr>
      </w:pPr>
      <w:r w:rsidRPr="00105765">
        <w:rPr>
          <w:rFonts w:ascii="標楷體" w:eastAsia="標楷體" w:hAnsi="標楷體" w:hint="eastAsia"/>
        </w:rPr>
        <w:t xml:space="preserve">     (1)適用於未曾接受過治療的中度/重度風險晚期腎細胞癌病人。（110/12/1）</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color w:val="000000"/>
        </w:rPr>
        <w:t xml:space="preserve">         </w:t>
      </w:r>
      <w:r w:rsidRPr="00105765">
        <w:rPr>
          <w:rFonts w:ascii="標楷體" w:eastAsia="標楷體" w:hAnsi="標楷體"/>
          <w:color w:val="000000"/>
        </w:rPr>
        <w:t>Ⅰ.</w:t>
      </w:r>
      <w:r w:rsidRPr="00105765">
        <w:rPr>
          <w:rFonts w:ascii="標楷體" w:eastAsia="標楷體" w:hAnsi="標楷體" w:hint="eastAsia"/>
        </w:rPr>
        <w:t>無效後則不給付temsirolimus。</w:t>
      </w:r>
    </w:p>
    <w:p w:rsidR="00105765" w:rsidRPr="00105765" w:rsidRDefault="00105765" w:rsidP="00105765">
      <w:pPr>
        <w:spacing w:line="400" w:lineRule="exact"/>
        <w:ind w:leftChars="450" w:left="1440" w:hangingChars="150" w:hanging="360"/>
        <w:rPr>
          <w:rFonts w:ascii="標楷體" w:eastAsia="標楷體" w:hAnsi="標楷體"/>
        </w:rPr>
      </w:pPr>
      <w:r w:rsidRPr="00105765">
        <w:rPr>
          <w:rFonts w:ascii="標楷體" w:eastAsia="標楷體" w:hAnsi="標楷體"/>
          <w:color w:val="000000"/>
        </w:rPr>
        <w:t>Ⅱ.</w:t>
      </w:r>
      <w:r w:rsidRPr="00105765">
        <w:rPr>
          <w:rFonts w:ascii="標楷體" w:eastAsia="標楷體" w:hAnsi="標楷體" w:hint="eastAsia"/>
        </w:rPr>
        <w:t>病人若對藥物產生耐受性不佳（intolerance），則以原來藥物減量為原則，若嚴重耐受性不佳，可以換其他TKI。</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(2)適用於先前經抗血管新生療法 (anti-angiogenic therapy)治療無效的晚期腎細胞癌病人。</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(3)須經事前審查核准後使用，每次申請療程以3個月為限，送審時需檢送影像資料，每3個月評估一次，無疾病惡化方可繼續使用。（110/12/1）</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(4)病人於第一線使用本藥物後再復發或惡化時，不得再次申請使用。（110/12/1）</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2.甲狀腺癌(1</w:t>
      </w:r>
      <w:r w:rsidRPr="00105765">
        <w:rPr>
          <w:rFonts w:ascii="標楷體" w:eastAsia="標楷體" w:hAnsi="標楷體"/>
        </w:rPr>
        <w:t>14</w:t>
      </w:r>
      <w:r w:rsidRPr="00105765">
        <w:rPr>
          <w:rFonts w:ascii="標楷體" w:eastAsia="標楷體" w:hAnsi="標楷體" w:hint="eastAsia"/>
        </w:rPr>
        <w:t>/8/1)</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(1)適用於治療成人及12歲以上兒童曾接受VEGFR標靶治療後惡化、放射碘治療無效或不適用放射碘治療的局部晚期或轉移性分化型甲狀腺癌病人。</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(2)須經事前審查核准後使用，每次申請療程以3個月為限，送審時需檢送影像資料，每3個月評估一次，無疾病惡化方可繼續使用。</w:t>
      </w:r>
    </w:p>
    <w:p w:rsidR="00105765" w:rsidRPr="00105765" w:rsidRDefault="00105765" w:rsidP="00105765">
      <w:pPr>
        <w:spacing w:line="400" w:lineRule="exact"/>
        <w:ind w:firstLineChars="200" w:firstLine="480"/>
        <w:rPr>
          <w:rFonts w:ascii="標楷體" w:eastAsia="標楷體" w:hAnsi="標楷體"/>
        </w:rPr>
      </w:pPr>
      <w:r w:rsidRPr="00105765">
        <w:rPr>
          <w:rFonts w:ascii="標楷體" w:eastAsia="標楷體" w:hAnsi="標楷體" w:hint="eastAsia"/>
        </w:rPr>
        <w:t xml:space="preserve"> 3.每日限用1粒。</w:t>
      </w:r>
      <w:bookmarkEnd w:id="31"/>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9.75. Carfilzomib (如Kyprolis)：(109/2/1、112/4/1、113/4/1)</w:t>
      </w:r>
    </w:p>
    <w:p w:rsidR="00B96EA0" w:rsidRDefault="007D66B8" w:rsidP="005142EB">
      <w:pPr>
        <w:spacing w:line="400" w:lineRule="exact"/>
        <w:ind w:left="991" w:hanging="283"/>
      </w:pPr>
      <w:r>
        <w:rPr>
          <w:rFonts w:ascii="標楷體" w:eastAsia="標楷體" w:hAnsi="標楷體"/>
          <w:color w:val="000000"/>
        </w:rPr>
        <w:t xml:space="preserve">1.與dexamethasone合併使用於先前曾接受含bortezomib及lenalidomide兩種治療後無法耐受或惡化之病患，且須具有良好日常體能狀態(ECOG &lt; 2)及足夠腎功能(CrCl </w:t>
      </w:r>
      <w:r>
        <w:rPr>
          <w:rFonts w:ascii="Times New Roman" w:eastAsia="標楷體" w:hAnsi="Times New Roman"/>
          <w:sz w:val="28"/>
          <w:szCs w:val="28"/>
        </w:rPr>
        <w:t>≥</w:t>
      </w:r>
      <w:r>
        <w:rPr>
          <w:rFonts w:ascii="標楷體" w:eastAsia="標楷體" w:hAnsi="標楷體"/>
          <w:color w:val="000000"/>
        </w:rPr>
        <w:t>50 ml/minute)的多發性骨髓瘤成年患者。</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2.與isatuximab/dexamethasone併用，治療先前曾接受至少一種含bortezomib 或 lenalidomide 之療法治療失敗的多發性骨髓瘤成人患者，且須具有良好日常體能狀態 (ECOG &lt; 2) 者。（113/4/1）</w:t>
      </w:r>
    </w:p>
    <w:p w:rsidR="00B96EA0" w:rsidRDefault="007D66B8" w:rsidP="005142EB">
      <w:pPr>
        <w:spacing w:line="400" w:lineRule="exact"/>
        <w:ind w:left="708"/>
      </w:pPr>
      <w:r>
        <w:rPr>
          <w:rFonts w:ascii="標楷體" w:eastAsia="標楷體" w:hAnsi="標楷體"/>
          <w:color w:val="000000"/>
        </w:rPr>
        <w:t>3.</w:t>
      </w:r>
      <w:r>
        <w:t xml:space="preserve"> </w:t>
      </w:r>
      <w:r>
        <w:rPr>
          <w:rFonts w:ascii="標楷體" w:eastAsia="標楷體" w:hAnsi="標楷體"/>
          <w:color w:val="000000"/>
        </w:rPr>
        <w:t>需經事前審查核准後使用：（109/2/1、112/4/1）</w:t>
      </w:r>
    </w:p>
    <w:p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(1)初次申請以4個療程(每療程為4週)為限，且需同時符合下列Ⅰ.與Ⅱ.的條件：（109/2/1、112/4/1）</w:t>
      </w:r>
    </w:p>
    <w:p w:rsidR="00B96EA0" w:rsidRDefault="007D66B8" w:rsidP="005142EB">
      <w:pPr>
        <w:spacing w:line="400" w:lineRule="exact"/>
        <w:ind w:left="1548" w:hanging="360"/>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(但若為plamacytoma 體積增加，或是新產生的bone lesion(s)或新plasmacytoma，則僅需1次評估)：（112/4/1）</w:t>
      </w:r>
    </w:p>
    <w:p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spacing w:line="400" w:lineRule="exact"/>
        <w:ind w:left="1788" w:hanging="360"/>
      </w:pPr>
      <w:r>
        <w:rPr>
          <w:rFonts w:ascii="新細明體" w:hAnsi="新細明體" w:cs="新細明體"/>
          <w:color w:val="000000"/>
        </w:rPr>
        <w:t>ⅱ</w:t>
      </w:r>
      <w:r>
        <w:rPr>
          <w:rFonts w:ascii="標楷體" w:eastAsia="標楷體" w:hAnsi="標楷體"/>
          <w:color w:val="000000"/>
        </w:rPr>
        <w:t>.Urine M-protein需增加≧0.2 gm/24Hr，且需較前一線治療中的最低值增</w:t>
      </w:r>
      <w:r>
        <w:rPr>
          <w:rFonts w:ascii="標楷體" w:eastAsia="標楷體" w:hAnsi="標楷體"/>
          <w:color w:val="000000"/>
        </w:rPr>
        <w:lastRenderedPageBreak/>
        <w:t>加≧25%。</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 Plasmacytoma體積增加≧50%。</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spacing w:line="400" w:lineRule="exact"/>
        <w:ind w:left="1188"/>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spacing w:line="400" w:lineRule="exact"/>
        <w:ind w:left="1788" w:hanging="360"/>
      </w:pPr>
      <w:r>
        <w:rPr>
          <w:rFonts w:ascii="新細明體" w:hAnsi="新細明體" w:cs="新細明體"/>
          <w:color w:val="000000"/>
        </w:rPr>
        <w:t>ⅱ</w:t>
      </w:r>
      <w:r>
        <w:rPr>
          <w:rFonts w:ascii="標楷體" w:eastAsia="標楷體" w:hAnsi="標楷體"/>
          <w:color w:val="000000"/>
        </w:rPr>
        <w:t>.Plasmacytoma 體積增加≧50%。</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spacing w:line="400" w:lineRule="exact"/>
        <w:ind w:left="1428" w:hanging="480"/>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MM病人以骨髓檢查plasma cell為療效依據，證明為對藥物有反應或為穩定狀態，方可繼續使用。續用時的申請每次以3個療程為限。</w:t>
      </w:r>
    </w:p>
    <w:p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 xml:space="preserve">(3)每人終生以10個療程為上限。 （109/2/1、112/4/1） </w:t>
      </w:r>
    </w:p>
    <w:p w:rsidR="00B96EA0" w:rsidRDefault="007D66B8" w:rsidP="005142EB">
      <w:pPr>
        <w:spacing w:line="400" w:lineRule="exact"/>
        <w:ind w:left="991" w:hanging="283"/>
      </w:pPr>
      <w:r>
        <w:rPr>
          <w:rFonts w:ascii="標楷體" w:eastAsia="標楷體" w:hAnsi="標楷體"/>
          <w:color w:val="000000"/>
        </w:rPr>
        <w:t>4.</w:t>
      </w:r>
      <w:r>
        <w:t xml:space="preserve"> </w:t>
      </w:r>
      <w:r>
        <w:rPr>
          <w:rFonts w:ascii="標楷體" w:eastAsia="標楷體" w:hAnsi="標楷體"/>
          <w:color w:val="000000"/>
        </w:rPr>
        <w:t>不得與其他蛋白酶體抑制劑(proteasome inhibitor)或免疫調節劑(immunomodulatory drugs) 或daratumumab併用。（109/2/1、112/4/1、113/4/1）</w:t>
      </w:r>
    </w:p>
    <w:p w:rsidR="00B96EA0" w:rsidRDefault="007D66B8" w:rsidP="005142EB">
      <w:pPr>
        <w:spacing w:line="400" w:lineRule="exact"/>
        <w:ind w:left="991" w:hanging="283"/>
      </w:pPr>
      <w:r>
        <w:rPr>
          <w:rFonts w:ascii="標楷體" w:eastAsia="標楷體" w:hAnsi="標楷體"/>
          <w:color w:val="000000"/>
        </w:rPr>
        <w:t>5.</w:t>
      </w:r>
      <w:r>
        <w:t xml:space="preserve"> </w:t>
      </w:r>
      <w:r>
        <w:rPr>
          <w:rFonts w:ascii="標楷體" w:eastAsia="標楷體" w:hAnsi="標楷體"/>
          <w:color w:val="000000"/>
        </w:rPr>
        <w:t>112年3月31日以前已核定用藥之病人，得經事前審查核准後，使用至總療程上限（即終生10個療程）或使用期間發生疾病惡化為止。（112/4/1）</w:t>
      </w:r>
    </w:p>
    <w:p w:rsidR="00F95F32" w:rsidRDefault="00F95F32" w:rsidP="00F95F32">
      <w:pPr>
        <w:spacing w:line="400" w:lineRule="exact"/>
        <w:rPr>
          <w:rFonts w:ascii="標楷體" w:eastAsia="標楷體" w:hAnsi="標楷體"/>
          <w:color w:val="000000"/>
        </w:rPr>
      </w:pPr>
      <w:bookmarkStart w:id="32" w:name="_Hlk209192170"/>
      <w:r>
        <w:rPr>
          <w:rFonts w:ascii="標楷體" w:eastAsia="標楷體" w:hAnsi="標楷體"/>
          <w:color w:val="000000"/>
        </w:rPr>
        <w:t>9.76.Midostaurin (如Rydapt)：(109/2/1、113/6/1、114/10/1)</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 xml:space="preserve">限用於新確診為FLT3突變陽性的急性骨髓性白血病(AML)成人病患之標準前導與鞏固性化療時合併使用。 </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需排除急性前骨髓性細胞白血病（acute promyelocytic leukemia，APL）的患者。</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首次用於標準前導期，可免事前審查，以2個療程為限，若2個療程後仍未達完全緩解之病患即不得再使用。</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續用時需經事前審查核准後使用，申請時須檢附FLT3突變陽性檢測結果報告，且需符合全民健康保險藥品給付規定之通則十二，及日期、化學治療處方紀錄及療效評估，每次續用申請以2個療程為限，並需檢附前次治療結果評估資料證實無疾病進展，才可繼續使用。每人以總共給付6個療程為上限。(113/6/1)</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5.</w:t>
      </w:r>
      <w:r>
        <w:rPr>
          <w:rFonts w:ascii="標楷體" w:eastAsia="標楷體" w:hAnsi="標楷體"/>
          <w:color w:val="000000"/>
        </w:rPr>
        <w:tab/>
        <w:t>若病患接受造血幹細胞移植後則將不再給付本藥品。</w:t>
      </w:r>
    </w:p>
    <w:p w:rsidR="00B96EA0"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6.本藥品與quizartinib僅得擇一使用，除因耐受性不良，不得互換。(114/10/1)</w:t>
      </w:r>
      <w:bookmarkEnd w:id="32"/>
    </w:p>
    <w:p w:rsidR="00B96EA0" w:rsidRDefault="007D66B8" w:rsidP="00F95F32">
      <w:pPr>
        <w:spacing w:line="400" w:lineRule="exact"/>
      </w:pPr>
      <w:r>
        <w:rPr>
          <w:rFonts w:ascii="標楷體" w:eastAsia="標楷體" w:hAnsi="標楷體"/>
          <w:color w:val="000000"/>
        </w:rPr>
        <w:t>9.77.</w:t>
      </w:r>
      <w:r>
        <w:t xml:space="preserve"> </w:t>
      </w:r>
      <w:r>
        <w:rPr>
          <w:rFonts w:ascii="標楷體" w:eastAsia="標楷體" w:hAnsi="標楷體"/>
          <w:color w:val="000000"/>
        </w:rPr>
        <w:t>Ixazomib (如Ninlaro)：(109/3/1、112/4/1)</w:t>
      </w:r>
    </w:p>
    <w:p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lastRenderedPageBreak/>
        <w:t>1.與lenalidomide及dexamethasone合併使用於先前已接受至少一種治療失敗之多發性骨髓瘤病患，並符合下列條件之一：</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(1)體能不適合(unfit)化療標靶注射治療者。</w:t>
      </w:r>
    </w:p>
    <w:p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曾接受bortezomib治療失敗，但有嚴重心血管共病無法接受carfizomib 治療之病患。（109/3/1、112/4/1）</w:t>
      </w:r>
    </w:p>
    <w:p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2.前述病患若於第二線治療使用，則需為具高風險細胞遺傳異常的病人群 (包括具del（17p）、t（4；14）、t(14；16)及1q21 amplification等染色體變化者)；若為第三線以上治療使用，則不需為具高風險遺傳異常者。</w:t>
      </w:r>
    </w:p>
    <w:p w:rsidR="00B96EA0" w:rsidRDefault="007D66B8" w:rsidP="00F95F32">
      <w:pPr>
        <w:spacing w:line="400" w:lineRule="exact"/>
        <w:ind w:left="567" w:hanging="282"/>
      </w:pPr>
      <w:r>
        <w:rPr>
          <w:rFonts w:ascii="標楷體" w:eastAsia="標楷體" w:hAnsi="標楷體"/>
          <w:color w:val="000000"/>
        </w:rPr>
        <w:t>3.</w:t>
      </w:r>
      <w:r w:rsidRPr="00F95F32">
        <w:rPr>
          <w:rFonts w:ascii="標楷體" w:eastAsia="標楷體" w:hAnsi="標楷體"/>
          <w:color w:val="000000"/>
        </w:rPr>
        <w:t xml:space="preserve"> </w:t>
      </w:r>
      <w:r>
        <w:rPr>
          <w:rFonts w:ascii="標楷體" w:eastAsia="標楷體" w:hAnsi="標楷體"/>
          <w:color w:val="000000"/>
        </w:rPr>
        <w:t>需經事前審查核准後使用：（109/3/1、112/4/1）</w:t>
      </w:r>
    </w:p>
    <w:p w:rsidR="00B96EA0" w:rsidRDefault="007D66B8" w:rsidP="005142EB">
      <w:pPr>
        <w:spacing w:line="400" w:lineRule="exact"/>
        <w:ind w:left="1231" w:hanging="283"/>
      </w:pPr>
      <w:r>
        <w:rPr>
          <w:rFonts w:ascii="標楷體" w:eastAsia="標楷體" w:hAnsi="標楷體"/>
          <w:color w:val="000000"/>
        </w:rPr>
        <w:t>(1)</w:t>
      </w:r>
      <w:r>
        <w:t xml:space="preserve"> </w:t>
      </w:r>
      <w:r>
        <w:rPr>
          <w:rFonts w:ascii="標楷體" w:eastAsia="標楷體" w:hAnsi="標楷體"/>
          <w:color w:val="000000"/>
        </w:rPr>
        <w:t>初次申請以4個療程為限，且需同時符合下列Ⅰ.與Ⅱ.的條件：（109/3/1、112/4/1）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(但若為plamacytoma 體積增加，或是新產生的bone lesion(s)或新plasmacytoma，則僅需1次評估)：（112/4/1）</w:t>
      </w:r>
    </w:p>
    <w:p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xml:space="preserve">.Urine M-protein需增加≧0.2 gm/24Hr，且需較前一線治療中的最低值增加≧25%。 </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 Plasmacytoma體積增加≧50%。</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Plasmacytoma 體積增加≧50%。</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後續每次申請以4個療程(每療程為4週)為限，續用申請時必須確定paraprotein (M-protein)未上升(即表示對藥物有反應或為穩定狀態)或對部分non-secretory type MM病人以骨髓檢查plasma cell為療效依據，方可繼續使用。（109/3/1、112/4/1）</w:t>
      </w:r>
    </w:p>
    <w:p w:rsidR="00B96EA0" w:rsidRDefault="007D66B8" w:rsidP="005142EB">
      <w:pPr>
        <w:spacing w:line="400" w:lineRule="exact"/>
        <w:ind w:left="1231" w:hanging="283"/>
      </w:pPr>
      <w:r>
        <w:rPr>
          <w:rFonts w:ascii="標楷體" w:eastAsia="標楷體" w:hAnsi="標楷體"/>
          <w:color w:val="000000"/>
        </w:rPr>
        <w:t>(3)</w:t>
      </w:r>
      <w:r>
        <w:t xml:space="preserve"> </w:t>
      </w:r>
      <w:r>
        <w:rPr>
          <w:rFonts w:ascii="標楷體" w:eastAsia="標楷體" w:hAnsi="標楷體"/>
          <w:color w:val="000000"/>
        </w:rPr>
        <w:t xml:space="preserve">每人終生以12個療程為上限。（109/3/1、112/4/1） </w:t>
      </w:r>
    </w:p>
    <w:p w:rsidR="00B96EA0" w:rsidRPr="00F95F32"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4.</w:t>
      </w:r>
      <w:r>
        <w:t xml:space="preserve"> </w:t>
      </w:r>
      <w:r>
        <w:rPr>
          <w:rFonts w:ascii="標楷體" w:eastAsia="標楷體" w:hAnsi="標楷體"/>
          <w:color w:val="000000"/>
        </w:rPr>
        <w:t>除lenalidomide外，本案藥品不得與其他蛋白酶體抑制劑(proteasome inhibitor)或</w:t>
      </w:r>
      <w:r>
        <w:rPr>
          <w:rFonts w:ascii="標楷體" w:eastAsia="標楷體" w:hAnsi="標楷體"/>
          <w:color w:val="000000"/>
        </w:rPr>
        <w:lastRenderedPageBreak/>
        <w:t>免疫調節劑(immunomodulatory drugs)併用。（109/3/1、112/4/1）</w:t>
      </w:r>
    </w:p>
    <w:p w:rsidR="00B96EA0" w:rsidRDefault="007D66B8" w:rsidP="00F95F32">
      <w:pPr>
        <w:spacing w:line="400" w:lineRule="exact"/>
        <w:ind w:left="567" w:hanging="282"/>
      </w:pPr>
      <w:r>
        <w:rPr>
          <w:rFonts w:ascii="標楷體" w:eastAsia="標楷體" w:hAnsi="標楷體"/>
          <w:color w:val="000000"/>
        </w:rPr>
        <w:t>5.</w:t>
      </w:r>
      <w:r w:rsidRPr="00F95F32">
        <w:rPr>
          <w:rFonts w:ascii="標楷體" w:eastAsia="標楷體" w:hAnsi="標楷體"/>
          <w:color w:val="000000"/>
        </w:rPr>
        <w:t xml:space="preserve"> </w:t>
      </w:r>
      <w:r>
        <w:rPr>
          <w:rFonts w:ascii="標楷體" w:eastAsia="標楷體" w:hAnsi="標楷體"/>
          <w:color w:val="000000"/>
        </w:rPr>
        <w:t>112年3月31日以前已核定用藥之病人，得經事前審查核准後，使用至總療程上限（即終生12個療程）或使用期間發生疾病惡化為止。（112/4/1）</w:t>
      </w:r>
    </w:p>
    <w:p w:rsidR="00D3675A" w:rsidRPr="00276A1A" w:rsidRDefault="007D66B8" w:rsidP="00D3675A">
      <w:pPr>
        <w:adjustRightInd w:val="0"/>
        <w:snapToGrid w:val="0"/>
        <w:spacing w:line="400" w:lineRule="exact"/>
        <w:ind w:left="480" w:hangingChars="200" w:hanging="480"/>
        <w:rPr>
          <w:rFonts w:ascii="標楷體" w:eastAsia="標楷體" w:hAnsi="標楷體"/>
          <w:szCs w:val="24"/>
        </w:rPr>
      </w:pPr>
      <w:r>
        <w:rPr>
          <w:rFonts w:ascii="標楷體" w:eastAsia="標楷體" w:hAnsi="標楷體"/>
          <w:color w:val="000000"/>
        </w:rPr>
        <w:t>9.78.</w:t>
      </w:r>
      <w:r>
        <w:t xml:space="preserve"> </w:t>
      </w:r>
      <w:bookmarkStart w:id="33" w:name="_Hlk206605233"/>
      <w:r w:rsidR="00D3675A" w:rsidRPr="00276A1A">
        <w:rPr>
          <w:rFonts w:ascii="標楷體" w:eastAsia="標楷體" w:hAnsi="標楷體"/>
          <w:szCs w:val="24"/>
        </w:rPr>
        <w:t>Daratumumab(</w:t>
      </w:r>
      <w:r w:rsidR="00D3675A" w:rsidRPr="00276A1A">
        <w:rPr>
          <w:rFonts w:ascii="標楷體" w:eastAsia="標楷體" w:hAnsi="標楷體" w:hint="eastAsia"/>
          <w:szCs w:val="24"/>
        </w:rPr>
        <w:t>如Darzalex</w:t>
      </w:r>
      <w:r w:rsidR="00D3675A" w:rsidRPr="00276A1A">
        <w:rPr>
          <w:rFonts w:ascii="標楷體" w:eastAsia="標楷體" w:hAnsi="標楷體"/>
          <w:kern w:val="0"/>
          <w:szCs w:val="24"/>
        </w:rPr>
        <w:t>靜脈注射劑</w:t>
      </w:r>
      <w:r w:rsidR="00D3675A" w:rsidRPr="00276A1A">
        <w:rPr>
          <w:rFonts w:ascii="標楷體" w:eastAsia="標楷體" w:hAnsi="標楷體" w:hint="eastAsia"/>
          <w:kern w:val="0"/>
          <w:szCs w:val="24"/>
        </w:rPr>
        <w:t>與皮下</w:t>
      </w:r>
      <w:r w:rsidR="00D3675A" w:rsidRPr="00276A1A">
        <w:rPr>
          <w:rFonts w:ascii="標楷體" w:eastAsia="標楷體" w:hAnsi="標楷體"/>
          <w:kern w:val="0"/>
          <w:szCs w:val="24"/>
        </w:rPr>
        <w:t>注射劑</w:t>
      </w:r>
      <w:r w:rsidR="00D3675A" w:rsidRPr="00276A1A">
        <w:rPr>
          <w:rFonts w:ascii="標楷體" w:eastAsia="標楷體" w:hAnsi="標楷體" w:hint="eastAsia"/>
          <w:szCs w:val="24"/>
        </w:rPr>
        <w:t>)</w:t>
      </w:r>
      <w:r w:rsidR="00D3675A" w:rsidRPr="00276A1A">
        <w:rPr>
          <w:rFonts w:ascii="標楷體" w:eastAsia="標楷體" w:hAnsi="標楷體"/>
          <w:szCs w:val="24"/>
        </w:rPr>
        <w:t>：(109/4/1、112/4/1、113/4/1、</w:t>
      </w:r>
      <w:r w:rsidR="00D3675A" w:rsidRPr="00276A1A">
        <w:rPr>
          <w:rFonts w:ascii="標楷體" w:eastAsia="標楷體" w:hAnsi="標楷體" w:hint="eastAsia"/>
          <w:szCs w:val="24"/>
        </w:rPr>
        <w:t>114</w:t>
      </w:r>
      <w:r w:rsidR="00D3675A" w:rsidRPr="00276A1A">
        <w:rPr>
          <w:rFonts w:ascii="標楷體" w:eastAsia="標楷體" w:hAnsi="標楷體"/>
          <w:szCs w:val="24"/>
        </w:rPr>
        <w:t>/</w:t>
      </w:r>
      <w:r w:rsidR="00D3675A" w:rsidRPr="00276A1A">
        <w:rPr>
          <w:rFonts w:ascii="標楷體" w:eastAsia="標楷體" w:hAnsi="標楷體" w:hint="eastAsia"/>
          <w:szCs w:val="24"/>
        </w:rPr>
        <w:t>9</w:t>
      </w:r>
      <w:r w:rsidR="00D3675A" w:rsidRPr="00276A1A">
        <w:rPr>
          <w:rFonts w:ascii="標楷體" w:eastAsia="標楷體" w:hAnsi="標楷體"/>
          <w:szCs w:val="24"/>
        </w:rPr>
        <w:t>/1)</w:t>
      </w:r>
    </w:p>
    <w:p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1.治療適合接受自體幹細胞移植的新診斷多發性骨髓瘤成人病人：(</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限與bortezomib、thalidomide及dexamethasone併用。</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開始治療時病</w:t>
      </w:r>
      <w:r w:rsidRPr="00276A1A">
        <w:rPr>
          <w:rFonts w:ascii="標楷體" w:eastAsia="標楷體" w:hAnsi="標楷體" w:hint="eastAsia"/>
          <w:szCs w:val="24"/>
        </w:rPr>
        <w:t>人</w:t>
      </w:r>
      <w:r w:rsidRPr="00276A1A">
        <w:rPr>
          <w:rFonts w:ascii="標楷體" w:eastAsia="標楷體" w:hAnsi="標楷體"/>
          <w:szCs w:val="24"/>
        </w:rPr>
        <w:t>須同時符合下列Ⅰ.與Ⅱ.的條件：</w:t>
      </w:r>
    </w:p>
    <w:p w:rsidR="00D3675A" w:rsidRPr="00276A1A" w:rsidRDefault="00D3675A" w:rsidP="00167FEB">
      <w:pPr>
        <w:numPr>
          <w:ilvl w:val="0"/>
          <w:numId w:val="24"/>
        </w:numPr>
        <w:suppressAutoHyphens w:val="0"/>
        <w:autoSpaceDN/>
        <w:adjustRightInd w:val="0"/>
        <w:snapToGrid w:val="0"/>
        <w:spacing w:line="400" w:lineRule="exact"/>
        <w:ind w:left="909" w:hanging="283"/>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10%，或是經切片確認且有</w:t>
      </w:r>
      <w:r w:rsidRPr="00276A1A">
        <w:rPr>
          <w:rFonts w:ascii="標楷體" w:eastAsia="標楷體" w:hAnsi="標楷體" w:cs="新細明體" w:hint="eastAsia"/>
          <w:szCs w:val="24"/>
        </w:rPr>
        <w:t>≧</w:t>
      </w:r>
      <w:r w:rsidRPr="00276A1A">
        <w:rPr>
          <w:rFonts w:ascii="標楷體" w:eastAsia="標楷體" w:hAnsi="標楷體"/>
          <w:szCs w:val="24"/>
        </w:rPr>
        <w:t>1顆的plasmacytoma。</w:t>
      </w:r>
    </w:p>
    <w:p w:rsidR="00D3675A" w:rsidRPr="00276A1A" w:rsidRDefault="00D3675A" w:rsidP="00167FEB">
      <w:pPr>
        <w:numPr>
          <w:ilvl w:val="0"/>
          <w:numId w:val="24"/>
        </w:numPr>
        <w:suppressAutoHyphens w:val="0"/>
        <w:autoSpaceDN/>
        <w:adjustRightInd w:val="0"/>
        <w:snapToGrid w:val="0"/>
        <w:spacing w:line="400" w:lineRule="exact"/>
        <w:ind w:left="1051" w:hanging="425"/>
        <w:textAlignment w:val="auto"/>
        <w:rPr>
          <w:rFonts w:ascii="標楷體" w:eastAsia="標楷體" w:hAnsi="標楷體"/>
          <w:szCs w:val="24"/>
        </w:rPr>
      </w:pPr>
      <w:r w:rsidRPr="00276A1A">
        <w:rPr>
          <w:rFonts w:ascii="標楷體" w:eastAsia="標楷體" w:hAnsi="標楷體"/>
          <w:szCs w:val="24"/>
        </w:rPr>
        <w:t>出現下列任一臨床症狀：</w:t>
      </w:r>
    </w:p>
    <w:p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腎功能不全：serum creatinine＞2.0mg/dL或estimated GFR (eGFR)＜40 ml/min，且無其他原因可以解釋。</w:t>
      </w:r>
    </w:p>
    <w:p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rsidR="00D3675A" w:rsidRPr="00276A1A" w:rsidRDefault="00D3675A" w:rsidP="00167FEB">
      <w:pPr>
        <w:numPr>
          <w:ilvl w:val="0"/>
          <w:numId w:val="25"/>
        </w:numPr>
        <w:suppressAutoHyphens w:val="0"/>
        <w:autoSpaceDN/>
        <w:adjustRightInd w:val="0"/>
        <w:snapToGrid w:val="0"/>
        <w:spacing w:line="400" w:lineRule="exact"/>
        <w:ind w:left="1476" w:hanging="567"/>
        <w:textAlignment w:val="auto"/>
        <w:rPr>
          <w:rFonts w:ascii="標楷體" w:eastAsia="標楷體" w:hAnsi="標楷體"/>
          <w:szCs w:val="24"/>
        </w:rPr>
      </w:pPr>
      <w:r w:rsidRPr="00276A1A">
        <w:rPr>
          <w:rFonts w:ascii="標楷體" w:eastAsia="標楷體" w:hAnsi="標楷體"/>
          <w:szCs w:val="24"/>
        </w:rPr>
        <w:t>貧血(Hemoglobin＜10 gm/dL且無其他原因可以解釋)。</w:t>
      </w:r>
    </w:p>
    <w:p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影像檢查確認之osteolytic bone lesion(s)。</w:t>
      </w:r>
    </w:p>
    <w:p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60%。</w:t>
      </w:r>
    </w:p>
    <w:p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Serum free light-chain ratio</w:t>
      </w:r>
      <w:r w:rsidRPr="00276A1A">
        <w:rPr>
          <w:rFonts w:ascii="標楷體" w:eastAsia="標楷體" w:hAnsi="標楷體" w:cs="新細明體" w:hint="eastAsia"/>
          <w:szCs w:val="24"/>
        </w:rPr>
        <w:t>≧</w:t>
      </w:r>
      <w:r w:rsidRPr="00276A1A">
        <w:rPr>
          <w:rFonts w:ascii="標楷體" w:eastAsia="標楷體" w:hAnsi="標楷體"/>
          <w:szCs w:val="24"/>
        </w:rPr>
        <w:t>100。</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首次申請為12次輸注，須檢附完整之造血幹細胞移植計畫</w:t>
      </w:r>
      <w:r w:rsidRPr="00276A1A">
        <w:rPr>
          <w:rFonts w:ascii="標楷體" w:eastAsia="標楷體" w:hAnsi="標楷體" w:hint="eastAsia"/>
          <w:szCs w:val="24"/>
        </w:rPr>
        <w:t>，並詳細記載確認捐贈者名單及移植前調適治療等資料。需由具訓練血液及骨髓移植醫師能力之醫院申請，並由完成血液及骨髓移植訓練之醫師確認移植計畫。</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再次申請為4次輸注，應檢附移植相關資料，且第一線治療總共以16次輸注為上限。</w:t>
      </w:r>
    </w:p>
    <w:p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2.限與bortezomib/dexamethasone或lenalidomide/dexamethasone併用，治療先前曾接受至少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 或 lenalidomide 之療法治療失敗的多發性骨髓瘤成人患者，且須具有良好日常體能狀態(ECOG &lt; 2)者，以總共22次輸注為上限。(109/4/1、112/4/1、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adjustRightInd w:val="0"/>
        <w:snapToGrid w:val="0"/>
        <w:spacing w:line="400" w:lineRule="exact"/>
        <w:ind w:leftChars="177" w:left="708" w:hangingChars="118" w:hanging="283"/>
        <w:rPr>
          <w:rFonts w:ascii="標楷體" w:eastAsia="標楷體" w:hAnsi="標楷體"/>
          <w:szCs w:val="24"/>
        </w:rPr>
      </w:pPr>
      <w:r w:rsidRPr="00276A1A">
        <w:rPr>
          <w:rFonts w:ascii="標楷體" w:eastAsia="標楷體" w:hAnsi="標楷體"/>
          <w:szCs w:val="24"/>
        </w:rPr>
        <w:t>(1)須經事前審查核准後使用：首次申請為10次輸注，且需同時符合下列Ⅰ.、Ⅱ.與Ⅲ.的條件：(109/4/1、112/4/1、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167FEB">
      <w:pPr>
        <w:numPr>
          <w:ilvl w:val="2"/>
          <w:numId w:val="22"/>
        </w:numPr>
        <w:suppressAutoHyphens w:val="0"/>
        <w:autoSpaceDN/>
        <w:adjustRightInd w:val="0"/>
        <w:snapToGrid w:val="0"/>
        <w:spacing w:line="400" w:lineRule="exact"/>
        <w:ind w:leftChars="295" w:left="708" w:firstLine="1"/>
        <w:textAlignment w:val="auto"/>
        <w:rPr>
          <w:rFonts w:ascii="標楷體" w:eastAsia="標楷體" w:hAnsi="標楷體"/>
          <w:szCs w:val="24"/>
        </w:rPr>
      </w:pPr>
      <w:r w:rsidRPr="00276A1A">
        <w:rPr>
          <w:rFonts w:ascii="標楷體" w:eastAsia="標楷體" w:hAnsi="標楷體"/>
          <w:szCs w:val="24"/>
        </w:rPr>
        <w:t>病人先前未曾接受過daratumumab之治療。(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167FEB">
      <w:pPr>
        <w:numPr>
          <w:ilvl w:val="2"/>
          <w:numId w:val="22"/>
        </w:numPr>
        <w:suppressAutoHyphens w:val="0"/>
        <w:autoSpaceDN/>
        <w:adjustRightInd w:val="0"/>
        <w:snapToGrid w:val="0"/>
        <w:spacing w:line="400" w:lineRule="exact"/>
        <w:ind w:left="1134" w:hanging="425"/>
        <w:textAlignment w:val="auto"/>
        <w:rPr>
          <w:rFonts w:ascii="標楷體" w:eastAsia="標楷體" w:hAnsi="標楷體"/>
          <w:szCs w:val="24"/>
        </w:rPr>
      </w:pPr>
      <w:r w:rsidRPr="00276A1A">
        <w:rPr>
          <w:rFonts w:ascii="標楷體" w:eastAsia="標楷體" w:hAnsi="標楷體"/>
          <w:szCs w:val="24"/>
        </w:rPr>
        <w:t>具有下列任一疾病惡化的指標：病患開始治療前須在連續2次評估中均符合同一指標(但若為plamacytoma 體積增加，或是新產生的bone lesion(s)或新plasmacytoma，則僅需1次評估)：（112/4/1）</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lastRenderedPageBreak/>
        <w:t>25%。</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cells/μL。</w:t>
      </w:r>
    </w:p>
    <w:p w:rsidR="00D3675A" w:rsidRPr="00276A1A" w:rsidRDefault="00D3675A" w:rsidP="00D3675A">
      <w:pPr>
        <w:adjustRightInd w:val="0"/>
        <w:snapToGrid w:val="0"/>
        <w:spacing w:line="400" w:lineRule="exact"/>
        <w:ind w:left="993"/>
        <w:rPr>
          <w:rFonts w:ascii="標楷體" w:eastAsia="標楷體" w:hAnsi="標楷體"/>
          <w:szCs w:val="24"/>
        </w:rPr>
      </w:pPr>
      <w:r w:rsidRPr="00276A1A">
        <w:rPr>
          <w:rFonts w:ascii="標楷體" w:eastAsia="標楷體" w:hAnsi="標楷體"/>
          <w:szCs w:val="24"/>
        </w:rPr>
        <w:t>Ⅲ出現下列任一臨床症狀：（112/4/1）</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出現其他end-organ dysfunctions。</w:t>
      </w:r>
    </w:p>
    <w:p w:rsidR="00D3675A" w:rsidRPr="00276A1A" w:rsidRDefault="00D3675A" w:rsidP="00D3675A">
      <w:pPr>
        <w:spacing w:line="400" w:lineRule="exact"/>
        <w:ind w:leftChars="355" w:left="1133" w:hangingChars="117" w:hanging="281"/>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cell為療效依據，方可繼續使用。(109/4/1、112/4/1)</w:t>
      </w:r>
    </w:p>
    <w:p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3.除lenalidomide、thalidomide或bortezomib外，本案藥品不得與其他蛋白酶體抑制劑(proteasome inhibitor)或免疫調節劑(immunomodulatory drugs)併用。(109/4/1、112/4/1、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4.112年3月31日以前已核定用藥之病人，得經事前審查核准後，使用至總療程上限（第一線治療以總共16輸注為上限，第二線以上治療以總共22次輸注為上限，接受第一線治療以後，不再給付第二線以上治療）或使用期間發生疾病惡化為止。（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B96EA0" w:rsidRDefault="00D3675A" w:rsidP="00D3675A">
      <w:pPr>
        <w:spacing w:line="400" w:lineRule="exact"/>
        <w:ind w:leftChars="237" w:left="850" w:hangingChars="117" w:hanging="281"/>
        <w:rPr>
          <w:rFonts w:ascii="標楷體" w:eastAsia="標楷體" w:hAnsi="標楷體"/>
          <w:color w:val="000000"/>
        </w:rPr>
      </w:pPr>
      <w:r w:rsidRPr="00276A1A">
        <w:rPr>
          <w:rFonts w:ascii="標楷體" w:eastAsia="標楷體" w:hAnsi="標楷體"/>
          <w:szCs w:val="24"/>
        </w:rPr>
        <w:t>5.Daratumumab與isatuximab二者</w:t>
      </w:r>
      <w:r w:rsidRPr="00276A1A">
        <w:rPr>
          <w:rFonts w:ascii="標楷體" w:eastAsia="標楷體" w:hAnsi="標楷體" w:hint="eastAsia"/>
          <w:szCs w:val="24"/>
        </w:rPr>
        <w:t>僅能擇一使用，除因藥物耐受不良以外，不可以其他原因申請互換使用。（113/4/1）</w:t>
      </w:r>
      <w:bookmarkEnd w:id="33"/>
    </w:p>
    <w:p w:rsidR="00275C39" w:rsidRPr="00275C39" w:rsidRDefault="00275C39" w:rsidP="00275C39">
      <w:pPr>
        <w:spacing w:line="400" w:lineRule="exact"/>
        <w:ind w:left="672" w:hanging="386"/>
        <w:rPr>
          <w:rFonts w:ascii="標楷體" w:eastAsia="標楷體" w:hAnsi="標楷體"/>
          <w:color w:val="000000"/>
        </w:rPr>
      </w:pPr>
      <w:bookmarkStart w:id="34" w:name="_Hlk204089600"/>
      <w:r w:rsidRPr="00275C39">
        <w:rPr>
          <w:rFonts w:ascii="標楷體" w:eastAsia="標楷體" w:hAnsi="標楷體"/>
          <w:color w:val="000000"/>
        </w:rPr>
        <w:t>9.79.Obinutuzumab(如Gazyva)：（109/4/1、113/2/1</w:t>
      </w:r>
      <w:r w:rsidRPr="00275C39">
        <w:rPr>
          <w:rFonts w:ascii="標楷體" w:eastAsia="標楷體" w:hAnsi="標楷體" w:hint="eastAsia"/>
          <w:color w:val="000000"/>
        </w:rPr>
        <w:t>、114/8/1</w:t>
      </w:r>
      <w:r w:rsidRPr="00275C39">
        <w:rPr>
          <w:rFonts w:ascii="標楷體" w:eastAsia="標楷體" w:hAnsi="標楷體"/>
          <w:color w:val="000000"/>
        </w:rPr>
        <w:t>）</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1.限用於第一次接受含rituximab治療後治療無效或治療結束後6個月內復發的濾泡性淋巴瘤(follicular lymphoma)患者。</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(1)需經事前審查核准後使用：</w:t>
      </w:r>
    </w:p>
    <w:p w:rsidR="00275C39" w:rsidRPr="00275C39" w:rsidRDefault="00275C39" w:rsidP="00347CE0">
      <w:pPr>
        <w:spacing w:line="400" w:lineRule="exact"/>
        <w:ind w:left="1560" w:hanging="386"/>
        <w:rPr>
          <w:rFonts w:ascii="標楷體" w:eastAsia="標楷體" w:hAnsi="標楷體"/>
          <w:color w:val="000000"/>
        </w:rPr>
      </w:pPr>
      <w:bookmarkStart w:id="35" w:name="_Hlk206605286"/>
      <w:r w:rsidRPr="00275C39">
        <w:rPr>
          <w:rFonts w:ascii="標楷體" w:eastAsia="標楷體" w:hAnsi="標楷體"/>
          <w:color w:val="000000"/>
        </w:rPr>
        <w:t>Ⅰ.</w:t>
      </w:r>
      <w:bookmarkEnd w:id="35"/>
      <w:r w:rsidRPr="00275C39">
        <w:rPr>
          <w:rFonts w:ascii="標楷體" w:eastAsia="標楷體" w:hAnsi="標楷體"/>
          <w:color w:val="000000"/>
        </w:rPr>
        <w:t>首次申請限6個療程(共8次治療)，且需與bendamustine 併用。</w:t>
      </w:r>
    </w:p>
    <w:p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Ⅱ.經治療後達partial remission 或complete remission病患可續申請obinutuzumab 單一藥物維持治療，每次申請最多12個月(6個療程)，每12個月須進行疾病評估，若病情惡化應即停止使用。</w:t>
      </w:r>
    </w:p>
    <w:p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Ⅲ.每位病人最多給付24個月(12個療程)維持治療。</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(2)病患曾使用本藥物後再復發或惡化時，不得再申請使用。</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2.限與chlorambucil併用於治療先前未曾接受過治療，且具有合併症</w:t>
      </w:r>
      <w:r w:rsidRPr="00275C39">
        <w:rPr>
          <w:rFonts w:ascii="標楷體" w:eastAsia="標楷體" w:hAnsi="標楷體"/>
          <w:color w:val="000000"/>
        </w:rPr>
        <w:lastRenderedPageBreak/>
        <w:t>(comorbidities)而不適合接受含 fludarabine治療的CD20陽性慢性淋巴球性白血病（CLL）患者。（113/2/1）</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color w:val="000000"/>
        </w:rPr>
        <w:t>(1)Rai Stage Ⅲ/Ⅳ(或Binet C級)之CLL病人。若用於Rai StageⅠ/Ⅱ(或Binet A/B級)併有疾病相關免疫性症候(如自體免疫性溶血、免疫性血小板低下紫瘢症等)的病人時，需符合具有CD20陽性。</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(2)需經事前審查核准後使用，首次申請限6個療程(共8次治療)。</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(3)病患曾使用本藥物後再復發或惡化時，不得再申請使用。</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限與zanubrutinib併用，治療先前曾接受至少兩線(每線至少4個療程)全身性治療無效或復發的濾泡性淋巴瘤成人病人。(</w:t>
      </w:r>
      <w:r w:rsidRPr="00275C39">
        <w:rPr>
          <w:rFonts w:ascii="標楷體" w:eastAsia="標楷體" w:hAnsi="標楷體" w:hint="eastAsia"/>
          <w:color w:val="000000"/>
        </w:rPr>
        <w:t>114</w:t>
      </w:r>
      <w:r w:rsidRPr="00275C39">
        <w:rPr>
          <w:rFonts w:ascii="標楷體" w:eastAsia="標楷體" w:hAnsi="標楷體"/>
          <w:color w:val="000000"/>
        </w:rPr>
        <w:t>/</w:t>
      </w:r>
      <w:r w:rsidRPr="00275C39">
        <w:rPr>
          <w:rFonts w:ascii="標楷體" w:eastAsia="標楷體" w:hAnsi="標楷體" w:hint="eastAsia"/>
          <w:color w:val="000000"/>
        </w:rPr>
        <w:t>8</w:t>
      </w:r>
      <w:r w:rsidRPr="00275C39">
        <w:rPr>
          <w:rFonts w:ascii="標楷體" w:eastAsia="標楷體" w:hAnsi="標楷體"/>
          <w:color w:val="000000"/>
        </w:rPr>
        <w:t>/1)</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(1)</w:t>
      </w:r>
      <w:r w:rsidRPr="00275C39">
        <w:rPr>
          <w:rFonts w:ascii="標楷體" w:eastAsia="標楷體" w:hAnsi="標楷體"/>
          <w:color w:val="000000"/>
        </w:rPr>
        <w:t>需曾接受過至少一種anti-CD20 monoclonal antibody及一種靜脈注射型之alkylating agent治療。</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(2)</w:t>
      </w:r>
      <w:r w:rsidRPr="00275C39">
        <w:rPr>
          <w:rFonts w:ascii="標楷體" w:eastAsia="標楷體" w:hAnsi="標楷體"/>
          <w:color w:val="000000"/>
        </w:rPr>
        <w:t>需符合WHO 淋巴瘤分類為I、II或IIIa期的診斷。</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開始使用前之疾病狀態需出現下列任一情形：</w:t>
      </w:r>
    </w:p>
    <w:p w:rsidR="00347CE0" w:rsidRDefault="00275C39" w:rsidP="00167FEB">
      <w:pPr>
        <w:numPr>
          <w:ilvl w:val="0"/>
          <w:numId w:val="16"/>
        </w:numPr>
        <w:spacing w:line="400" w:lineRule="exact"/>
        <w:ind w:leftChars="472" w:left="1272" w:hangingChars="58" w:hanging="139"/>
        <w:rPr>
          <w:rFonts w:ascii="標楷體" w:eastAsia="標楷體" w:hAnsi="標楷體" w:cs="BiauKai"/>
          <w:szCs w:val="24"/>
        </w:rPr>
      </w:pPr>
      <w:r w:rsidRPr="00275C39">
        <w:rPr>
          <w:rFonts w:ascii="標楷體" w:eastAsia="標楷體" w:hAnsi="標楷體" w:cs="BiauKai"/>
          <w:szCs w:val="24"/>
        </w:rPr>
        <w:t>有單一腫瘤直徑7公分以上者；</w:t>
      </w:r>
    </w:p>
    <w:p w:rsidR="00275C39" w:rsidRPr="00347CE0" w:rsidRDefault="00275C39" w:rsidP="00167FEB">
      <w:pPr>
        <w:numPr>
          <w:ilvl w:val="0"/>
          <w:numId w:val="16"/>
        </w:numPr>
        <w:spacing w:line="400" w:lineRule="exact"/>
        <w:ind w:leftChars="353" w:left="847" w:firstLineChars="60" w:firstLine="144"/>
        <w:rPr>
          <w:rFonts w:ascii="標楷體" w:eastAsia="標楷體" w:hAnsi="標楷體" w:cs="BiauKai"/>
          <w:szCs w:val="24"/>
        </w:rPr>
      </w:pPr>
      <w:r w:rsidRPr="00347CE0">
        <w:rPr>
          <w:rFonts w:ascii="標楷體" w:eastAsia="標楷體" w:hAnsi="標楷體" w:cs="BiauKai"/>
          <w:szCs w:val="24"/>
        </w:rPr>
        <w:t>有三顆以上之腫瘤其直徑大於3公分以上者；</w:t>
      </w:r>
    </w:p>
    <w:p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脾臟腫大，其長度16公分以上者；</w:t>
      </w:r>
    </w:p>
    <w:p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對vitalorgans造成擠壓者；</w:t>
      </w:r>
    </w:p>
    <w:p w:rsidR="00347CE0" w:rsidRDefault="00275C39" w:rsidP="00167FEB">
      <w:pPr>
        <w:numPr>
          <w:ilvl w:val="0"/>
          <w:numId w:val="20"/>
        </w:numPr>
        <w:spacing w:line="400" w:lineRule="exact"/>
        <w:rPr>
          <w:rFonts w:ascii="標楷體" w:eastAsia="標楷體" w:hAnsi="標楷體" w:cs="BiauKai"/>
          <w:szCs w:val="24"/>
        </w:rPr>
      </w:pPr>
      <w:r w:rsidRPr="00275C39">
        <w:rPr>
          <w:rFonts w:ascii="標楷體" w:eastAsia="標楷體" w:hAnsi="標楷體" w:cs="BiauKai"/>
          <w:szCs w:val="24"/>
        </w:rPr>
        <w:t>周邊血中出現淋巴球增生超過5000/mm</w:t>
      </w:r>
      <w:r w:rsidRPr="00347CE0">
        <w:rPr>
          <w:rFonts w:ascii="標楷體" w:eastAsia="標楷體" w:hAnsi="標楷體" w:cs="BiauKai"/>
          <w:szCs w:val="24"/>
        </w:rPr>
        <w:t>3</w:t>
      </w:r>
      <w:r w:rsidRPr="00275C39">
        <w:rPr>
          <w:rFonts w:ascii="標楷體" w:eastAsia="標楷體" w:hAnsi="標楷體" w:cs="BiauKai"/>
          <w:szCs w:val="24"/>
        </w:rPr>
        <w:t>者；</w:t>
      </w:r>
    </w:p>
    <w:p w:rsidR="00275C39" w:rsidRPr="00347CE0" w:rsidRDefault="00275C39" w:rsidP="00167FEB">
      <w:pPr>
        <w:numPr>
          <w:ilvl w:val="0"/>
          <w:numId w:val="19"/>
        </w:numPr>
        <w:spacing w:line="400" w:lineRule="exact"/>
        <w:rPr>
          <w:rFonts w:ascii="標楷體" w:eastAsia="標楷體" w:hAnsi="標楷體" w:cs="BiauKai"/>
          <w:szCs w:val="24"/>
        </w:rPr>
      </w:pPr>
      <w:r w:rsidRPr="00347CE0">
        <w:rPr>
          <w:rFonts w:ascii="標楷體" w:eastAsia="標楷體" w:hAnsi="標楷體" w:cs="BiauKai"/>
          <w:szCs w:val="24"/>
        </w:rPr>
        <w:t>出現任一系列血球低下者（platelet&lt;100,000/ mm3，或 Hb&lt;10gm/dL，或absolute neutrophil count&lt;1500/ mm3)。</w:t>
      </w:r>
    </w:p>
    <w:p w:rsidR="00275C39" w:rsidRPr="00275C39" w:rsidRDefault="00275C39" w:rsidP="00167FEB">
      <w:pPr>
        <w:numPr>
          <w:ilvl w:val="0"/>
          <w:numId w:val="19"/>
        </w:numPr>
        <w:spacing w:line="400" w:lineRule="exact"/>
        <w:rPr>
          <w:rFonts w:ascii="標楷體" w:eastAsia="標楷體" w:hAnsi="標楷體" w:cs="BiauKai"/>
          <w:szCs w:val="24"/>
        </w:rPr>
      </w:pPr>
      <w:r w:rsidRPr="00275C39">
        <w:rPr>
          <w:rFonts w:ascii="標楷體" w:eastAsia="標楷體" w:hAnsi="標楷體" w:cs="BiauKai"/>
          <w:szCs w:val="24"/>
        </w:rPr>
        <w:t>B symptoms。</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(4)</w:t>
      </w:r>
      <w:r w:rsidRPr="00275C39">
        <w:rPr>
          <w:rFonts w:ascii="標楷體" w:eastAsia="標楷體" w:hAnsi="標楷體"/>
          <w:color w:val="000000"/>
        </w:rPr>
        <w:t>需經事前審查核准後使用，每3 個月需再次申請，再次申請時需檢附療效評估資料，若未達partial remission或 complete remission，則不予給付。</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(5)</w:t>
      </w:r>
      <w:r w:rsidRPr="00275C39">
        <w:rPr>
          <w:rFonts w:ascii="標楷體" w:eastAsia="標楷體" w:hAnsi="標楷體"/>
          <w:color w:val="000000"/>
        </w:rPr>
        <w:t>總療程以全部24個月為上限。Obinutuzumab總療程以給付18支為限。</w:t>
      </w:r>
    </w:p>
    <w:p w:rsidR="00B96EA0"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4.限以obinutuzumab 1,000mg作為glofitamab用於治療先前曾接受至少兩線全身治療之復發性或難治性瀰漫性大B細胞淋巴瘤 (DLBCL) 的成人病人之前置治療，需與glofitamab首次治療同時申請事前審查並經核准後使用。(114/8/1）</w:t>
      </w:r>
      <w:bookmarkEnd w:id="34"/>
    </w:p>
    <w:p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9.80.Osimertinib (如Tagrisso)：(109/4/1、109/6/1、109/10/1、111/4/1、113/6/1、113/10/1)</w:t>
      </w:r>
    </w:p>
    <w:p w:rsidR="00B96EA0" w:rsidRDefault="007D66B8" w:rsidP="005142EB">
      <w:pPr>
        <w:spacing w:line="400" w:lineRule="exact"/>
        <w:ind w:left="993" w:hanging="280"/>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418" w:hanging="423"/>
      </w:pPr>
      <w:r>
        <w:rPr>
          <w:rFonts w:ascii="標楷體" w:eastAsia="標楷體" w:hAnsi="標楷體"/>
          <w:color w:val="000000"/>
        </w:rPr>
        <w:t>(1)</w:t>
      </w:r>
      <w:r>
        <w:t xml:space="preserve"> </w:t>
      </w:r>
      <w:r>
        <w:rPr>
          <w:rFonts w:ascii="標楷體" w:eastAsia="標楷體" w:hAnsi="標楷體"/>
          <w:color w:val="000000"/>
        </w:rPr>
        <w:t>具有EGFR Exon 19 Del或Exon 21 L858R基因突變之局部侵犯性或轉移性（即為IIIB、IIIC期或第Ⅳ期）肺腺癌病患之第一線治療。 (111/4/1、113/10/1)</w:t>
      </w:r>
    </w:p>
    <w:p w:rsidR="00B96EA0" w:rsidRDefault="007D66B8" w:rsidP="005142EB">
      <w:pPr>
        <w:spacing w:line="400" w:lineRule="exact"/>
        <w:ind w:left="1418" w:hanging="426"/>
        <w:rPr>
          <w:rFonts w:ascii="標楷體" w:eastAsia="標楷體" w:hAnsi="標楷體"/>
          <w:color w:val="000000"/>
        </w:rPr>
      </w:pPr>
      <w:r>
        <w:rPr>
          <w:rFonts w:ascii="標楷體" w:eastAsia="標楷體" w:hAnsi="標楷體"/>
          <w:color w:val="000000"/>
        </w:rPr>
        <w:t>(2)先前已使用過EGFR標靶藥物gefitinib、erlotinib、afatinib或dacomitinib治療失敗，且具有EGFR　T790M基因突變之局部侵犯性或轉移性之非小細胞肺癌之第二線治療。(109/10/1）</w:t>
      </w:r>
    </w:p>
    <w:p w:rsidR="00B96EA0" w:rsidRDefault="007D66B8" w:rsidP="005142EB">
      <w:pPr>
        <w:spacing w:line="400" w:lineRule="exact"/>
        <w:ind w:left="709"/>
      </w:pPr>
      <w:r>
        <w:rPr>
          <w:rFonts w:ascii="標楷體" w:eastAsia="標楷體" w:hAnsi="標楷體"/>
          <w:color w:val="000000"/>
        </w:rPr>
        <w:lastRenderedPageBreak/>
        <w:t>2.使用注意事項：(109/10/1</w:t>
      </w:r>
      <w:r>
        <w:rPr>
          <w:rFonts w:ascii="新細明體" w:hAnsi="新細明體"/>
          <w:color w:val="000000"/>
        </w:rPr>
        <w:t>、</w:t>
      </w:r>
      <w:r>
        <w:rPr>
          <w:rFonts w:ascii="標楷體" w:eastAsia="標楷體" w:hAnsi="標楷體"/>
          <w:color w:val="000000"/>
        </w:rPr>
        <w:t>111/4/1、113/6/1、113/10/1）</w:t>
      </w:r>
    </w:p>
    <w:p w:rsidR="00B96EA0" w:rsidRDefault="007D66B8" w:rsidP="005142EB">
      <w:pPr>
        <w:spacing w:line="400" w:lineRule="exact"/>
        <w:ind w:left="426"/>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tabs>
          <w:tab w:val="left" w:pos="851"/>
        </w:tabs>
        <w:spacing w:line="400" w:lineRule="exact"/>
        <w:ind w:left="1133" w:hanging="425"/>
        <w:rPr>
          <w:rFonts w:ascii="標楷體" w:eastAsia="標楷體" w:hAnsi="標楷體"/>
          <w:color w:val="000000"/>
        </w:rPr>
      </w:pPr>
      <w:r>
        <w:rPr>
          <w:rFonts w:ascii="標楷體" w:eastAsia="標楷體" w:hAnsi="標楷體"/>
          <w:color w:val="000000"/>
        </w:rPr>
        <w:t>I.每次申請事前審查之療程以三個月為限，每三個月需再次申請。</w:t>
      </w:r>
    </w:p>
    <w:p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II.初次申請時需檢具確實患有肺腺癌或非小細胞肺癌之病理或細胞檢查報告，及檢附EGFR基因檢測結果報告，且需符合全民健康保險藥品給付規定之通則十二。(113/6/1、113/10/1)</w:t>
      </w:r>
    </w:p>
    <w:p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I.再次申請時需附上治療後相關臨床資料（如：影像學）證實無惡化，才可繼續使用。每次處方以4週為限，如給藥4週後需追蹤胸部X光或電腦斷層等影像檢查評估療效，每8至12週需進行完整療效評估(如胸部X光或電腦斷層)，若病情惡化、復發或產生不可接受之毒性，即不得再次申請。</w:t>
      </w:r>
    </w:p>
    <w:p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(2)用於第一線治療用藥：與gefitinib、erlotinib、afatinib及dacomitinib僅得擇一使用，除因耐受性不良，不得互換。如需更換使用本藥品，必須符合本藥品具有EGFR Exon 19 Del或Exon 21 L858R基因突變之局部侵犯性或轉移性（即為IIIB、IIIC期或第Ⅳ期）肺腺癌病患。(109/6/1、111/4/1、113/10/1)</w:t>
      </w:r>
    </w:p>
    <w:p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(3)用於第二線治療用藥：須符合本藥品具有EGFR T790M基因突變，及檢附曾經接受gefitinib、erlotinib、afatinib或dacomitinib治療之證明，以及目前又有疾病惡化之影像診斷證明（如胸部X光、電腦斷層或其他可作為評估的影像），此影像證明以可測量（measurable）的病灶為優先，如沒有可以測量的病灶，則可評估（evaluable）的病灶亦可採用。 (109/10/1、113/10/1)</w:t>
      </w:r>
    </w:p>
    <w:p w:rsidR="00B96EA0" w:rsidRDefault="007D66B8" w:rsidP="005142EB">
      <w:pPr>
        <w:spacing w:line="400" w:lineRule="exact"/>
        <w:ind w:left="709" w:hanging="283"/>
      </w:pPr>
      <w:r>
        <w:rPr>
          <w:rFonts w:ascii="標楷體" w:eastAsia="標楷體" w:hAnsi="標楷體"/>
          <w:color w:val="000000"/>
          <w:szCs w:val="28"/>
        </w:rPr>
        <w:t>(4)每日限用1粒。</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9.81.Lorlatinib (如Lorviqua)：(109/6/1、112/11/1、113/4/1、113/6/1)</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1.適用於ALK陽性的晚期非小細胞肺癌第一線治療。(112/11/1)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I.每次申請事前審查之療程以三個月為限，每三個月需再次申請。</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II.初次申請時需檢具確實患有非小細胞肺癌之病理或細胞檢查報告，及ALK突變檢測報告且需符合全民健康保險藥品給付規定之通則十二。</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I.再次申請時並需附上治療後相關臨床資料，如給藥4週後，需追蹤胸部X光或電腦斷層等影像檢查評估療效，往後每4週做胸部X光檢查，每3個月需追蹤其作為評估藥效的影像（如胸部X光或電腦斷層），若病情惡化即不得再次申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(2)Lorlatinib與alectinib、ceritinib、crizotinib、brigatinib用於ALK陽性之晚期非小細胞肺癌第一線治療時，僅得擇一使用，除因病人使用後，發生嚴重不良反應或耐受不良之情形外，不得互換。</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2.適用於在ceritinib、alectinib或brigatinib治療中惡化之ALK陽性的晚期非小細胞肺癌患者。(109/6/1、112/11/1、113/4/1)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lastRenderedPageBreak/>
        <w:t>(2)每次申請事前審查之療程以三個月為限，每三個月需再次申請，再次申請時並需附上治療後相關臨床資料，若病情惡化即不得再次申請。</w:t>
      </w:r>
    </w:p>
    <w:p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9.82.Brigatinib (如Alunbrig)：(109/8/1、111/8/1、112/11/1、113/6/1)</w:t>
      </w:r>
    </w:p>
    <w:p w:rsidR="00B96EA0" w:rsidRDefault="007D66B8" w:rsidP="00167FEB">
      <w:pPr>
        <w:pStyle w:val="a9"/>
        <w:numPr>
          <w:ilvl w:val="0"/>
          <w:numId w:val="4"/>
        </w:numPr>
        <w:suppressAutoHyphens w:val="0"/>
        <w:spacing w:line="400" w:lineRule="exact"/>
        <w:ind w:left="992" w:hanging="284"/>
        <w:textAlignment w:val="auto"/>
      </w:pPr>
      <w:r>
        <w:rPr>
          <w:rFonts w:ascii="標楷體" w:eastAsia="標楷體" w:hAnsi="標楷體"/>
        </w:rPr>
        <w:t>適用</w:t>
      </w:r>
      <w:r>
        <w:rPr>
          <w:rFonts w:ascii="標楷體" w:eastAsia="標楷體" w:hAnsi="標楷體"/>
          <w:color w:val="000000"/>
        </w:rPr>
        <w:t>於ALK陽性的晚期非小細胞肺癌第一線治療。（111/8/1、113/6/1)</w:t>
      </w:r>
    </w:p>
    <w:p w:rsidR="00B96EA0" w:rsidRDefault="007D66B8" w:rsidP="005142EB">
      <w:pPr>
        <w:pStyle w:val="a9"/>
        <w:numPr>
          <w:ilvl w:val="1"/>
          <w:numId w:val="3"/>
        </w:numPr>
        <w:suppressAutoHyphens w:val="0"/>
        <w:spacing w:line="400" w:lineRule="exact"/>
        <w:ind w:left="1308"/>
        <w:textAlignment w:val="auto"/>
      </w:pPr>
      <w:r>
        <w:rPr>
          <w:rFonts w:ascii="標楷體" w:eastAsia="標楷體" w:hAnsi="標楷體"/>
          <w:color w:val="000000"/>
        </w:rPr>
        <w:t>需經</w:t>
      </w:r>
      <w:r>
        <w:rPr>
          <w:rFonts w:ascii="標楷體" w:eastAsia="標楷體" w:hAnsi="標楷體"/>
        </w:rPr>
        <w:t>事前</w:t>
      </w:r>
      <w:r>
        <w:rPr>
          <w:rFonts w:ascii="標楷體" w:eastAsia="標楷體" w:hAnsi="標楷體"/>
          <w:color w:val="000000"/>
        </w:rPr>
        <w:t>審查核准後使用：</w:t>
      </w:r>
    </w:p>
    <w:p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w:t>
      </w:r>
    </w:p>
    <w:p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初次申請時需檢具確實患有非小細胞肺癌之病理或細胞檢查報告，及ALK突變檢測報告且需符合全民健康保險藥品給付規定之通則十二。</w:t>
      </w:r>
    </w:p>
    <w:p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rsidR="00B96EA0" w:rsidRDefault="007D66B8" w:rsidP="005142EB">
      <w:pPr>
        <w:pStyle w:val="a9"/>
        <w:numPr>
          <w:ilvl w:val="1"/>
          <w:numId w:val="3"/>
        </w:numPr>
        <w:suppressAutoHyphens w:val="0"/>
        <w:spacing w:line="400" w:lineRule="exact"/>
        <w:ind w:left="1308"/>
        <w:textAlignment w:val="auto"/>
        <w:rPr>
          <w:rFonts w:ascii="標楷體" w:eastAsia="標楷體" w:hAnsi="標楷體"/>
          <w:color w:val="000000"/>
        </w:rPr>
      </w:pPr>
      <w:r>
        <w:rPr>
          <w:rFonts w:ascii="標楷體" w:eastAsia="標楷體" w:hAnsi="標楷體"/>
          <w:color w:val="000000"/>
        </w:rPr>
        <w:t>Brigatinib與alectinib、ceritinib、crizotinib、lorlatinib用於ALK陽性之晚期非小細胞肺癌第一線治療時，僅得擇一使用，除因病人使用後，發生嚴重不良反應或耐受不良之情形外，不得互換。(112/11/1)</w:t>
      </w:r>
    </w:p>
    <w:p w:rsidR="00B96EA0" w:rsidRDefault="007D66B8" w:rsidP="00167FEB">
      <w:pPr>
        <w:pStyle w:val="a9"/>
        <w:numPr>
          <w:ilvl w:val="0"/>
          <w:numId w:val="4"/>
        </w:numPr>
        <w:suppressAutoHyphens w:val="0"/>
        <w:spacing w:line="400" w:lineRule="exact"/>
        <w:ind w:left="992" w:hanging="284"/>
        <w:textAlignment w:val="auto"/>
        <w:rPr>
          <w:rFonts w:ascii="標楷體" w:eastAsia="標楷體" w:hAnsi="標楷體"/>
          <w:color w:val="000000"/>
        </w:rPr>
      </w:pPr>
      <w:r>
        <w:rPr>
          <w:rFonts w:ascii="標楷體" w:eastAsia="標楷體" w:hAnsi="標楷體"/>
          <w:color w:val="000000"/>
        </w:rPr>
        <w:t>適用於在crizotinib治療中惡化之ALK陽性的晚期非小細胞肺癌患者。</w:t>
      </w:r>
    </w:p>
    <w:p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需經事前審查核准後使用。</w:t>
      </w:r>
    </w:p>
    <w:p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每次申請事前審查之療程以3個月為限，每3個月需再次申請，再次申請時並需附上治療後相關臨床資料，若病情惡化即不得再次申請。</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3.每日最大劑量限180mg。(111/8/1)。</w:t>
      </w:r>
    </w:p>
    <w:p w:rsidR="00B96EA0" w:rsidRDefault="007D66B8" w:rsidP="005142EB">
      <w:pPr>
        <w:spacing w:line="400" w:lineRule="exact"/>
        <w:ind w:left="283"/>
        <w:rPr>
          <w:rFonts w:ascii="標楷體" w:eastAsia="標楷體" w:hAnsi="標楷體"/>
        </w:rPr>
      </w:pPr>
      <w:r>
        <w:rPr>
          <w:rFonts w:ascii="標楷體" w:eastAsia="標楷體" w:hAnsi="標楷體"/>
        </w:rPr>
        <w:t>9.83.Dacomitinib (如Vizimpro)：(109/10/1、111/9/1、113/6/1)</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1.限單獨使用具有EGFR-TK Exon 19 Del或Exon 21 L858R點突變，且無腦轉移 (non-CNS)之局部侵犯性或轉移性(即第ⅢB、ⅢC或第Ⅳ期)之肺腺癌病患之第一線治療，需檢附EGFR基因檢測結果報告，且需符合全民健康保險藥品給付規定之通則十二。</w:t>
      </w:r>
    </w:p>
    <w:p w:rsidR="00B96EA0" w:rsidRDefault="007D66B8" w:rsidP="005142EB">
      <w:pPr>
        <w:spacing w:line="400" w:lineRule="exact"/>
        <w:ind w:left="566" w:firstLine="120"/>
        <w:rPr>
          <w:rFonts w:ascii="標楷體" w:eastAsia="標楷體" w:hAnsi="標楷體"/>
          <w:color w:val="000000"/>
        </w:rPr>
      </w:pPr>
      <w:r>
        <w:rPr>
          <w:rFonts w:ascii="標楷體" w:eastAsia="標楷體" w:hAnsi="標楷體"/>
          <w:color w:val="000000"/>
        </w:rPr>
        <w:t>2.使用注意事項</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(1)病歷應留存確實患有肺腺癌之病理或細胞檢查報告，及EGFR-TK基因</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突變檢測報告。</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(2)每次處方以4週為限，再次處方時需於病歷記錄治療後相關臨床資 </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料，如每4週需追蹤胸部X光或電腦斷層等影像檢查，每8至12週需</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進行完整療效評估（如胸部X光或電腦斷層）。</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(3)本藥品與gefitinib、erlotinib及afatinib，僅得擇一使用，除因</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耐受性不良，不得互換。如需更換使用本藥品，必須符合本藥品第一</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線使用於具有EGFR-TK Exon 19 Del或Exon 21 L858R點突變，且無</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腦轉移(non-CNS)之局部侵犯性或轉移性(即第ⅢB、ⅢC或第Ⅳ期)肺</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腺癌之限制。(111/9/1)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lastRenderedPageBreak/>
        <w:t xml:space="preserve">     (4)每日限用1粒。</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9.84.Copanlisib (如Aliqopa）(刪除)：(109/11/1、113/6/1)</w:t>
      </w:r>
    </w:p>
    <w:p w:rsidR="007455F6" w:rsidRPr="00EA15AB" w:rsidRDefault="007455F6" w:rsidP="007455F6">
      <w:pPr>
        <w:spacing w:line="400" w:lineRule="exact"/>
        <w:ind w:left="849" w:hanging="566"/>
        <w:rPr>
          <w:rFonts w:ascii="標楷體" w:eastAsia="標楷體" w:hAnsi="標楷體"/>
        </w:rPr>
      </w:pPr>
      <w:bookmarkStart w:id="36" w:name="_Hlk209192735"/>
      <w:r w:rsidRPr="00EA15AB">
        <w:rPr>
          <w:rFonts w:ascii="標楷體" w:eastAsia="標楷體" w:hAnsi="標楷體"/>
          <w:color w:val="000000"/>
          <w:szCs w:val="24"/>
        </w:rPr>
        <w:t>9.85.PARP抑制劑(如olaparib、niraparib、talazoparib)：(109/11/1、111/6/1、111/8/1、112/1/1、112/11/1、113/3/1、113/6/1、113/9/1、114/3/1、114/6/1、114/8/1</w:t>
      </w:r>
      <w:r w:rsidRPr="007F32D4">
        <w:rPr>
          <w:rFonts w:ascii="標楷體" w:eastAsia="標楷體" w:hAnsi="標楷體"/>
          <w:color w:val="000000"/>
          <w:szCs w:val="24"/>
        </w:rPr>
        <w:t>、114/10/1</w:t>
      </w:r>
      <w:r w:rsidRPr="00EA15AB">
        <w:rPr>
          <w:rFonts w:ascii="標楷體" w:eastAsia="標楷體" w:hAnsi="標楷體"/>
          <w:color w:val="000000"/>
          <w:szCs w:val="24"/>
        </w:rPr>
        <w:t>)</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1.卵巢、輸卵管或原發性腹膜癌(olaparib、niraparib)：(109/11/1、 111/6/1、111/8/1、112</w:t>
      </w:r>
      <w:r w:rsidRPr="00EA15AB">
        <w:rPr>
          <w:rFonts w:ascii="標楷體" w:eastAsia="標楷體" w:hAnsi="標楷體" w:cs="BiauKai"/>
          <w:color w:val="000000"/>
          <w:szCs w:val="24"/>
        </w:rPr>
        <w:t>/1/1</w:t>
      </w:r>
      <w:r w:rsidRPr="00EA15AB">
        <w:rPr>
          <w:rFonts w:ascii="標楷體" w:eastAsia="標楷體" w:hAnsi="標楷體"/>
          <w:color w:val="000000"/>
        </w:rPr>
        <w:t>、113/3/1、113/6/1、113/9/1、114/3/1、114/6/1</w:t>
      </w:r>
      <w:r w:rsidRPr="00EA15AB">
        <w:rPr>
          <w:rFonts w:ascii="標楷體" w:eastAsia="標楷體" w:hAnsi="標楷體"/>
          <w:color w:val="000000"/>
          <w:szCs w:val="24"/>
        </w:rPr>
        <w:t>、114/8/1)</w:t>
      </w:r>
    </w:p>
    <w:p w:rsidR="007455F6" w:rsidRPr="00EA15AB" w:rsidRDefault="007455F6" w:rsidP="007455F6">
      <w:pPr>
        <w:spacing w:line="400" w:lineRule="exact"/>
        <w:ind w:left="709"/>
        <w:rPr>
          <w:rFonts w:ascii="標楷體" w:eastAsia="標楷體" w:hAnsi="標楷體"/>
          <w:color w:val="000000"/>
        </w:rPr>
      </w:pPr>
      <w:r w:rsidRPr="00EA15AB">
        <w:rPr>
          <w:rFonts w:ascii="標楷體" w:eastAsia="標楷體" w:hAnsi="標楷體"/>
          <w:color w:val="000000"/>
        </w:rPr>
        <w:t xml:space="preserve"> (1)單獨使用olaparib於具下列所有條件的病人做為維持治療，限用兩年：</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I.對第一線含鉑化療有治療反應後使用。</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Ⅱ.具germline or somatic BRCA 1/2致病性或疑似致病性突變。 </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(109/11/1、111/8/1)</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Ⅲ.FIGO (International Federation of Gynecology and Obstetrics)  </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Stage III or IV disease。</w:t>
      </w:r>
    </w:p>
    <w:p w:rsidR="007455F6" w:rsidRPr="00EA15AB"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(2)單獨使用niraparib於具下列所有條件的病人做為維持治療，限用兩年：</w:t>
      </w:r>
    </w:p>
    <w:p w:rsidR="007455F6" w:rsidRPr="00EA15AB" w:rsidRDefault="007455F6" w:rsidP="007455F6">
      <w:pPr>
        <w:tabs>
          <w:tab w:val="left" w:pos="5245"/>
        </w:tabs>
        <w:spacing w:line="400" w:lineRule="exact"/>
        <w:ind w:left="1276" w:firstLineChars="59" w:firstLine="142"/>
        <w:rPr>
          <w:rFonts w:ascii="標楷體" w:eastAsia="標楷體" w:hAnsi="標楷體"/>
          <w:color w:val="000000"/>
        </w:rPr>
      </w:pPr>
      <w:r w:rsidRPr="00EA15AB">
        <w:rPr>
          <w:rFonts w:ascii="標楷體" w:eastAsia="標楷體" w:hAnsi="標楷體"/>
          <w:color w:val="000000"/>
        </w:rPr>
        <w:t>I.對第一線含鉑化療有治療反應後使用。</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Ⅱ.檢測結果符合下列任一情形之病人：</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i.具germline or somatic BRCA 1/2 致病性或疑似致病性突變病人。</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ii.具同源重組缺陷(Homologous Recombination Deficient, HRD)陽性且BRCA wild type之高度惡性病人。</w:t>
      </w:r>
    </w:p>
    <w:p w:rsidR="007455F6" w:rsidRPr="00EA15AB" w:rsidRDefault="007455F6" w:rsidP="007455F6">
      <w:pPr>
        <w:tabs>
          <w:tab w:val="left" w:pos="5245"/>
        </w:tabs>
        <w:spacing w:line="400" w:lineRule="exact"/>
        <w:ind w:left="1701" w:hanging="425"/>
        <w:rPr>
          <w:rFonts w:ascii="標楷體" w:eastAsia="標楷體" w:hAnsi="標楷體"/>
          <w:color w:val="000000"/>
        </w:rPr>
      </w:pPr>
      <w:r w:rsidRPr="00EA15AB">
        <w:rPr>
          <w:rFonts w:ascii="標楷體" w:eastAsia="標楷體" w:hAnsi="標楷體"/>
          <w:color w:val="000000"/>
        </w:rPr>
        <w:t>Ⅲ.FIGO (International Federation of Gynecology and Obstetrics) Stage III or IV disease。</w:t>
      </w:r>
    </w:p>
    <w:p w:rsidR="007455F6"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(3)限olaparib併用 bevacizumab(限使用Alymsys、Abevmy、Vegzelma或</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Mvasi)，使用於具下列所有條件的成年病人做為維持治療，限用兩年：(114/6/1</w:t>
      </w:r>
      <w:r w:rsidRPr="00EA15AB">
        <w:rPr>
          <w:rFonts w:ascii="標楷體" w:eastAsia="標楷體" w:hAnsi="標楷體" w:hint="eastAsia"/>
          <w:color w:val="000000"/>
        </w:rPr>
        <w:t>、114/8/1</w:t>
      </w:r>
      <w:r w:rsidRPr="00EA15AB">
        <w:rPr>
          <w:rFonts w:ascii="標楷體" w:eastAsia="標楷體" w:hAnsi="標楷體"/>
          <w:color w:val="000000"/>
        </w:rPr>
        <w:t>)：</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I.對第一線含鉑化療合併bevacizumab有反應(完全反應或部分反應)。</w:t>
      </w:r>
    </w:p>
    <w:p w:rsidR="007455F6" w:rsidRPr="00EA15AB" w:rsidRDefault="007455F6" w:rsidP="007455F6">
      <w:pPr>
        <w:tabs>
          <w:tab w:val="left" w:pos="5245"/>
        </w:tabs>
        <w:spacing w:line="400" w:lineRule="exact"/>
        <w:ind w:left="1560" w:hanging="425"/>
        <w:rPr>
          <w:rFonts w:ascii="標楷體" w:eastAsia="標楷體" w:hAnsi="標楷體"/>
          <w:color w:val="000000"/>
        </w:rPr>
      </w:pPr>
      <w:r w:rsidRPr="00EA15AB">
        <w:rPr>
          <w:rFonts w:ascii="標楷體" w:eastAsia="標楷體" w:hAnsi="標楷體"/>
          <w:color w:val="000000"/>
        </w:rPr>
        <w:t>Ⅱ.其癌症帶有下列任一定義的DNA同源修復系統缺失 (homologous recombination deficiency, HRD)：</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i.致病性或疑似致病性BRCA突變。</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ii.基因體不穩定(genomic instability)。</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(4)須經事前審查核准後使用：(109/11/1、111/6/1、111/8/1、113/6/1、114/6/1)</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I.每次申請之療程以6個月為限。</w:t>
      </w:r>
    </w:p>
    <w:p w:rsidR="007455F6" w:rsidRPr="00EA15AB" w:rsidRDefault="007455F6" w:rsidP="007455F6">
      <w:pPr>
        <w:spacing w:line="400" w:lineRule="exact"/>
        <w:ind w:left="1560" w:hanging="362"/>
        <w:rPr>
          <w:rFonts w:ascii="標楷體" w:eastAsia="標楷體" w:hAnsi="標楷體"/>
          <w:color w:val="000000"/>
        </w:rPr>
      </w:pPr>
      <w:r w:rsidRPr="00EA15AB">
        <w:rPr>
          <w:rFonts w:ascii="標楷體" w:eastAsia="標楷體" w:hAnsi="標楷體"/>
          <w:color w:val="000000"/>
        </w:rPr>
        <w:t>Ⅱ.初次申請時需檢附germline or somatic BRCA 1/2突變檢測報告或HRD陽性檢測報告，且需符合全民健康保險藥品給付規定之通則十二。 (111/6/1、111/8/1、113/6/1、114/6/1)</w:t>
      </w:r>
    </w:p>
    <w:p w:rsidR="007455F6" w:rsidRPr="00EA15AB" w:rsidRDefault="007455F6" w:rsidP="007455F6">
      <w:pPr>
        <w:spacing w:line="400" w:lineRule="exact"/>
        <w:ind w:left="1134"/>
        <w:rPr>
          <w:rFonts w:ascii="標楷體" w:eastAsia="標楷體" w:hAnsi="標楷體"/>
          <w:color w:val="000000"/>
        </w:rPr>
      </w:pPr>
      <w:r w:rsidRPr="00EA15AB">
        <w:rPr>
          <w:rFonts w:ascii="標楷體" w:eastAsia="標楷體" w:hAnsi="標楷體"/>
          <w:color w:val="000000"/>
        </w:rPr>
        <w:t>Ⅲ.再次申請必須提出客觀證據（如：影像學）證實無惡化，才可繼續使用。</w:t>
      </w:r>
    </w:p>
    <w:p w:rsidR="007455F6" w:rsidRPr="00EA15AB" w:rsidRDefault="007455F6" w:rsidP="007455F6">
      <w:pPr>
        <w:spacing w:line="400" w:lineRule="exact"/>
        <w:ind w:left="1276"/>
        <w:rPr>
          <w:rFonts w:ascii="標楷體" w:eastAsia="標楷體" w:hAnsi="標楷體"/>
        </w:rPr>
      </w:pPr>
      <w:r w:rsidRPr="00EA15AB">
        <w:rPr>
          <w:rFonts w:ascii="標楷體" w:eastAsia="標楷體" w:hAnsi="標楷體"/>
          <w:color w:val="000000"/>
          <w:szCs w:val="24"/>
        </w:rPr>
        <w:lastRenderedPageBreak/>
        <w:t>(5)用於具germline or somatic BRCA 1/2 致病性或疑似致病性突變時，olaparib與niraparib僅能擇一使用，除因耐受不良，不得互換。(112/1/1、114/6/1)</w:t>
      </w:r>
    </w:p>
    <w:p w:rsidR="007455F6" w:rsidRPr="00EA15AB" w:rsidRDefault="007455F6" w:rsidP="007455F6">
      <w:pPr>
        <w:spacing w:line="400" w:lineRule="exact"/>
        <w:ind w:left="1344" w:hanging="480"/>
        <w:rPr>
          <w:rFonts w:ascii="標楷體" w:eastAsia="標楷體" w:hAnsi="標楷體"/>
        </w:rPr>
      </w:pPr>
      <w:r w:rsidRPr="00EA15AB">
        <w:rPr>
          <w:rFonts w:ascii="標楷體" w:eastAsia="標楷體" w:hAnsi="標楷體"/>
          <w:color w:val="000000"/>
          <w:szCs w:val="24"/>
        </w:rPr>
        <w:t xml:space="preserve"> (6)倘因併用bevacizumab耐受性不良，在維持性治療可再換成olaparib單獨使用，總療程數合併計算，限用兩年。(114/6/1)</w:t>
      </w:r>
    </w:p>
    <w:p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(7)</w:t>
      </w:r>
      <w:r w:rsidRPr="00EA15AB">
        <w:rPr>
          <w:rFonts w:ascii="標楷體" w:eastAsia="標楷體" w:hAnsi="標楷體"/>
        </w:rPr>
        <w:t xml:space="preserve"> </w:t>
      </w:r>
      <w:r w:rsidRPr="00EA15AB">
        <w:rPr>
          <w:rFonts w:ascii="標楷體" w:eastAsia="標楷體" w:hAnsi="標楷體"/>
          <w:kern w:val="0"/>
          <w:szCs w:val="24"/>
        </w:rPr>
        <w:t>niraparib使用時，體重大於(含)77公斤且基期血小板高於(含)15萬/uL，每日最多使用300mg；體重小於77公斤或基期血小板低於15萬/uL，每日最多使用200mg。(112/1/1)</w:t>
      </w:r>
    </w:p>
    <w:p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(8)FIGO Stage IV disease具germline or somatic BRCA 1/2致病性或疑似致病性突變者，若已經申請niraparib用於第一線化學治療後維持性治療時不得另外申請bevacizumab併用，除因niraparib耐受性不良，在維持性治療可再換成bevacizumab(除Zirabev以外)單獨使用，總申請療程以17個療程為上限。(113/3/1、113/9/1、114/3/1、114/6/1</w:t>
      </w:r>
      <w:r w:rsidRPr="007F32D4">
        <w:rPr>
          <w:rFonts w:ascii="標楷體" w:eastAsia="標楷體" w:hAnsi="標楷體"/>
          <w:kern w:val="0"/>
          <w:szCs w:val="24"/>
        </w:rPr>
        <w:t>、114/10/1</w:t>
      </w:r>
      <w:r w:rsidRPr="00EA15AB">
        <w:rPr>
          <w:rFonts w:ascii="標楷體" w:eastAsia="標楷體" w:hAnsi="標楷體"/>
          <w:kern w:val="0"/>
          <w:szCs w:val="24"/>
        </w:rPr>
        <w:t>)</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2.三陰性乳癌(olaparib、talazoparib)：(109/11/1、111/6/1、111/8/1、112</w:t>
      </w:r>
      <w:r w:rsidRPr="00EA15AB">
        <w:rPr>
          <w:rFonts w:ascii="標楷體" w:eastAsia="標楷體" w:hAnsi="標楷體" w:cs="BiauKai"/>
          <w:color w:val="000000"/>
          <w:szCs w:val="24"/>
        </w:rPr>
        <w:t>/1/1、113/6/1</w:t>
      </w:r>
      <w:r w:rsidRPr="00EA15AB">
        <w:rPr>
          <w:rFonts w:ascii="標楷體" w:eastAsia="標楷體" w:hAnsi="標楷體"/>
          <w:color w:val="000000"/>
          <w:szCs w:val="24"/>
        </w:rPr>
        <w:t>)</w:t>
      </w:r>
    </w:p>
    <w:p w:rsidR="007455F6" w:rsidRPr="00EA15AB" w:rsidRDefault="007455F6" w:rsidP="007455F6">
      <w:pPr>
        <w:spacing w:line="400" w:lineRule="exact"/>
        <w:ind w:left="1517" w:hanging="480"/>
        <w:rPr>
          <w:rFonts w:ascii="標楷體" w:eastAsia="標楷體" w:hAnsi="標楷體"/>
        </w:rPr>
      </w:pPr>
      <w:r w:rsidRPr="00EA15AB">
        <w:rPr>
          <w:rFonts w:ascii="標楷體" w:eastAsia="標楷體" w:hAnsi="標楷體"/>
          <w:color w:val="000000"/>
          <w:szCs w:val="24"/>
        </w:rPr>
        <w:t>(1)olaparib單獨使用於曾接受前導性、術後輔助性或轉移性化療，且具germline BRCA 1/2致病性或疑似致病性突變之三陰性(荷爾蒙接受體及 HER2受體皆為陰性)轉移性乳癌病人。(109/11/1、111/8/1、112/1/1)</w:t>
      </w:r>
    </w:p>
    <w:p w:rsidR="007455F6" w:rsidRPr="00EA15AB" w:rsidRDefault="007455F6" w:rsidP="007455F6">
      <w:pPr>
        <w:tabs>
          <w:tab w:val="left" w:pos="1418"/>
        </w:tabs>
        <w:spacing w:line="400" w:lineRule="exact"/>
        <w:ind w:left="1515" w:hanging="425"/>
        <w:rPr>
          <w:rFonts w:ascii="標楷體" w:eastAsia="標楷體" w:hAnsi="標楷體"/>
        </w:rPr>
      </w:pPr>
      <w:r w:rsidRPr="00EA15AB">
        <w:rPr>
          <w:rFonts w:ascii="標楷體" w:eastAsia="標楷體" w:hAnsi="標楷體"/>
          <w:color w:val="000000"/>
        </w:rPr>
        <w:t>(2)</w:t>
      </w:r>
      <w:r w:rsidRPr="00EA15AB">
        <w:rPr>
          <w:rFonts w:ascii="標楷體" w:eastAsia="標楷體" w:hAnsi="標楷體"/>
          <w:color w:val="000000"/>
          <w:szCs w:val="24"/>
        </w:rPr>
        <w:t>talazoparib</w:t>
      </w:r>
      <w:r w:rsidRPr="00EA15AB">
        <w:rPr>
          <w:rFonts w:ascii="標楷體" w:eastAsia="標楷體" w:hAnsi="標楷體" w:cs="BiauKai"/>
          <w:color w:val="000000"/>
          <w:szCs w:val="24"/>
        </w:rPr>
        <w:t>限用於治療同時符合下列條件之18歲以上局部晚期或轉移性乳癌病患：(110/3/1、111/8/1</w:t>
      </w:r>
      <w:r w:rsidRPr="00EA15AB">
        <w:rPr>
          <w:rFonts w:ascii="標楷體" w:eastAsia="標楷體" w:hAnsi="標楷體"/>
          <w:color w:val="000000"/>
          <w:szCs w:val="24"/>
        </w:rPr>
        <w:t>、112</w:t>
      </w:r>
      <w:r w:rsidRPr="00EA15AB">
        <w:rPr>
          <w:rFonts w:ascii="標楷體" w:eastAsia="標楷體" w:hAnsi="標楷體" w:cs="BiauKai"/>
          <w:color w:val="000000"/>
          <w:szCs w:val="24"/>
        </w:rPr>
        <w:t>/1/1)</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I.</w:t>
      </w:r>
      <w:r w:rsidRPr="00EA15AB">
        <w:rPr>
          <w:rFonts w:ascii="標楷體" w:eastAsia="標楷體" w:hAnsi="標楷體" w:cs="BiauKai"/>
          <w:color w:val="000000"/>
          <w:szCs w:val="24"/>
        </w:rPr>
        <w:t>曾接受前導性、術後輔助性或轉移性化療者，或是無法接受化療者。</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Ⅱ.</w:t>
      </w:r>
      <w:r w:rsidRPr="00EA15AB">
        <w:rPr>
          <w:rFonts w:ascii="標楷體" w:eastAsia="標楷體" w:hAnsi="標楷體" w:cs="BiauKai"/>
          <w:color w:val="000000"/>
          <w:szCs w:val="24"/>
        </w:rPr>
        <w:t>具germline BRCA 1/2突變(110/3/1、111/8/1)</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Ⅲ.</w:t>
      </w:r>
      <w:r w:rsidRPr="00EA15AB">
        <w:rPr>
          <w:rFonts w:ascii="標楷體" w:eastAsia="標楷體" w:hAnsi="標楷體" w:cs="BiauKai"/>
          <w:color w:val="000000"/>
          <w:szCs w:val="24"/>
        </w:rPr>
        <w:t>第二型人類表皮生長因子接受體(HER2)、雌激素受體(ER)以及黃體素受體(PR)均呈現陰性。</w:t>
      </w:r>
    </w:p>
    <w:p w:rsidR="007455F6" w:rsidRPr="00EA15AB" w:rsidRDefault="007455F6" w:rsidP="007455F6">
      <w:pPr>
        <w:spacing w:line="400" w:lineRule="exact"/>
        <w:ind w:left="948"/>
        <w:rPr>
          <w:rFonts w:ascii="標楷體" w:eastAsia="標楷體" w:hAnsi="標楷體"/>
        </w:rPr>
      </w:pPr>
      <w:r w:rsidRPr="00EA15AB">
        <w:rPr>
          <w:rFonts w:ascii="標楷體" w:eastAsia="標楷體" w:hAnsi="標楷體"/>
          <w:color w:val="000000"/>
          <w:szCs w:val="24"/>
        </w:rPr>
        <w:t xml:space="preserve"> (3)須經事前審查核准後使用：(109/11/1、111/6/1、111/8/1、</w:t>
      </w:r>
      <w:r w:rsidRPr="00EA15AB">
        <w:rPr>
          <w:rFonts w:ascii="標楷體" w:eastAsia="標楷體" w:hAnsi="標楷體" w:cs="BiauKai"/>
          <w:color w:val="000000"/>
          <w:szCs w:val="24"/>
        </w:rPr>
        <w:t>112/1/1、113/6/1</w:t>
      </w:r>
      <w:r w:rsidRPr="00EA15AB">
        <w:rPr>
          <w:rFonts w:ascii="標楷體" w:eastAsia="標楷體" w:hAnsi="標楷體"/>
          <w:color w:val="000000"/>
          <w:szCs w:val="24"/>
        </w:rPr>
        <w:t>)</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I.每次申請之療程以3個月為限。</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Ⅱ.初次申請時需檢附ER、PR、HER2皆為陰性之檢測報告，以及germline BRCA 1/2突變之檢測報告，且需符合全民健康保險藥品給付規定之通則十二。 (111/6/1、111/8/1、113/6/1)</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 xml:space="preserve">Ⅲ.再次申請必須提出客觀證據（如：影像學）證實無惡化，才可繼續使  </w:t>
      </w:r>
    </w:p>
    <w:p w:rsidR="007455F6" w:rsidRPr="00EA15AB" w:rsidRDefault="007455F6" w:rsidP="007455F6">
      <w:pPr>
        <w:spacing w:line="400" w:lineRule="exact"/>
        <w:ind w:left="1517" w:hanging="360"/>
        <w:rPr>
          <w:rFonts w:ascii="標楷體" w:eastAsia="標楷體" w:hAnsi="標楷體"/>
          <w:color w:val="000000"/>
          <w:szCs w:val="24"/>
        </w:rPr>
      </w:pPr>
      <w:r w:rsidRPr="00EA15AB">
        <w:rPr>
          <w:rFonts w:ascii="標楷體" w:eastAsia="標楷體" w:hAnsi="標楷體"/>
          <w:color w:val="000000"/>
          <w:szCs w:val="24"/>
        </w:rPr>
        <w:t xml:space="preserve">    用。</w:t>
      </w:r>
    </w:p>
    <w:p w:rsidR="007455F6" w:rsidRPr="00EA15AB" w:rsidRDefault="007455F6" w:rsidP="007455F6">
      <w:pPr>
        <w:spacing w:line="400" w:lineRule="exact"/>
        <w:ind w:left="1373" w:hanging="281"/>
        <w:rPr>
          <w:rFonts w:ascii="標楷體" w:eastAsia="標楷體" w:hAnsi="標楷體"/>
        </w:rPr>
      </w:pPr>
      <w:r w:rsidRPr="00EA15AB">
        <w:rPr>
          <w:rFonts w:ascii="標楷體" w:eastAsia="標楷體" w:hAnsi="標楷體"/>
          <w:color w:val="000000"/>
          <w:szCs w:val="24"/>
        </w:rPr>
        <w:t>(4)</w:t>
      </w:r>
      <w:r w:rsidRPr="00EA15AB">
        <w:rPr>
          <w:rFonts w:ascii="標楷體" w:eastAsia="標楷體" w:hAnsi="標楷體" w:cs="BiauKai"/>
          <w:color w:val="000000"/>
          <w:szCs w:val="24"/>
        </w:rPr>
        <w:t>Olaparib與talazoparib僅得擇一使用，除因耐受性不良，不得互換。（111/8/1</w:t>
      </w:r>
      <w:r w:rsidRPr="00EA15AB">
        <w:rPr>
          <w:rFonts w:ascii="標楷體" w:eastAsia="標楷體" w:hAnsi="標楷體"/>
          <w:color w:val="000000"/>
          <w:szCs w:val="24"/>
        </w:rPr>
        <w:t>、</w:t>
      </w:r>
      <w:r w:rsidRPr="00EA15AB">
        <w:rPr>
          <w:rFonts w:ascii="標楷體" w:eastAsia="標楷體" w:hAnsi="標楷體" w:cs="BiauKai"/>
          <w:color w:val="000000"/>
          <w:szCs w:val="24"/>
        </w:rPr>
        <w:t>112/1/1)</w:t>
      </w:r>
    </w:p>
    <w:p w:rsidR="007455F6" w:rsidRPr="00EA15AB" w:rsidRDefault="007455F6" w:rsidP="007455F6">
      <w:pPr>
        <w:spacing w:line="400" w:lineRule="exact"/>
        <w:ind w:left="851" w:hanging="284"/>
        <w:rPr>
          <w:rFonts w:ascii="標楷體" w:eastAsia="標楷體" w:hAnsi="標楷體"/>
          <w:color w:val="000000"/>
        </w:rPr>
      </w:pPr>
      <w:r w:rsidRPr="00EA15AB">
        <w:rPr>
          <w:rFonts w:ascii="標楷體" w:eastAsia="標楷體" w:hAnsi="標楷體"/>
          <w:color w:val="000000"/>
        </w:rPr>
        <w:t>3.去勢療法無效的轉移性攝護腺癌 (mCRPC) (olaparib)：（112/11/1、113/6/1、114/6/1)</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lastRenderedPageBreak/>
        <w:t xml:space="preserve">(1)單獨使用於具germline or somatic BRCA 1/2致病性或疑似致病性突變且先前接受過新荷爾蒙藥物(novel hormonal agents)治療後惡化之成人病人。 </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(2) 併用abiraterone及prednisone或prednisolone，用於具germline或 somatic BRCA 1/2致病性或疑似致病性突變且尚未接受化學治療之成人病人：(114/6/1）</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I.需符合下列條件之 一：</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i.未曾使用新型荷爾蒙藥品(abiraterone、apalutamide、darolutamide和enzalutamide)治療前列腺癌。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ii.於mCRPC階段使用abiraterone治療未超過4個月且使用期間未惡化。</w:t>
      </w:r>
    </w:p>
    <w:p w:rsidR="007455F6" w:rsidRPr="00EA15AB" w:rsidRDefault="007455F6" w:rsidP="007455F6">
      <w:pPr>
        <w:tabs>
          <w:tab w:val="left" w:pos="5245"/>
        </w:tabs>
        <w:spacing w:line="400" w:lineRule="exact"/>
        <w:ind w:left="1276"/>
        <w:rPr>
          <w:rFonts w:ascii="標楷體" w:eastAsia="標楷體" w:hAnsi="標楷體"/>
        </w:rPr>
      </w:pPr>
      <w:r w:rsidRPr="00EA15AB">
        <w:rPr>
          <w:rFonts w:ascii="標楷體" w:eastAsia="標楷體" w:hAnsi="標楷體"/>
          <w:color w:val="000000"/>
          <w:szCs w:val="24"/>
        </w:rPr>
        <w:t>Ⅱ.不論病人處於轉移或非轉移的狀態下，新型荷爾蒙藥品(abiraterone、apalutamide、darolutamide和enzalutamide) ，及olaparib 與 abiraterone併用，終生僅能接受一種治療，且除非出現嚴重不耐受反應導致必須永久停止治療，不得互換。</w:t>
      </w:r>
    </w:p>
    <w:p w:rsidR="007455F6" w:rsidRPr="00EA15AB" w:rsidRDefault="007455F6" w:rsidP="007455F6">
      <w:pPr>
        <w:spacing w:line="400" w:lineRule="exact"/>
        <w:ind w:left="1569" w:hanging="566"/>
        <w:rPr>
          <w:rFonts w:ascii="標楷體" w:eastAsia="標楷體" w:hAnsi="標楷體"/>
        </w:rPr>
      </w:pPr>
      <w:r w:rsidRPr="00EA15AB">
        <w:rPr>
          <w:rFonts w:ascii="標楷體" w:eastAsia="標楷體" w:hAnsi="標楷體"/>
          <w:color w:val="000000"/>
        </w:rPr>
        <w:t>(3)經事前審查核准後使用，每3個月需再次申請：(113/6/1)</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Ⅰ.初次申請時需檢附germline or somatic BRCA 1/2突變檢測報告，且需符合全民健康保險藥品給付規定之通則十二。</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Ⅱ.申請時需檢附病理報告、使用雄性素去除療法紀錄及系列PSA和睪固酮數據。</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Ⅲ.再申請時若PSA值下降未超過治療前的50%以上，則需停藥。</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IV.下降達最低值後之持續追蹤出現PSA較最低值上升50%以上且PSA≧2ng/ml，則需停藥，但影像學證據尚無疾病進展者，可以繼續使用。</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(3)不得合併化療使用。</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rPr>
        <w:t>4.高復發風險之</w:t>
      </w:r>
      <w:r w:rsidRPr="00A47AB0">
        <w:rPr>
          <w:rFonts w:ascii="標楷體" w:eastAsia="標楷體" w:hAnsi="標楷體"/>
          <w:color w:val="000000"/>
        </w:rPr>
        <w:t>早期</w:t>
      </w:r>
      <w:r w:rsidRPr="00EA15AB">
        <w:rPr>
          <w:rFonts w:ascii="標楷體" w:eastAsia="標楷體" w:hAnsi="標楷體"/>
        </w:rPr>
        <w:t>乳癌(olaparib)：(114/6/1)</w:t>
      </w:r>
    </w:p>
    <w:p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(1)Olaparib適用於曾接受前導性化療或術後輔助性化療，且具遺傳性BRCA1/2 (germline BRCA1/2)突變併 HER2陰性而有高復發風險之早期乳癌成年病人術後輔助治療，依藥品仿單記載以1年為上限。</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(2)病人須完成至少6個週期的前導性化療或術後輔助性化療，且化療處方須含有anthracyclines類藥物、taxane類藥物，或兩者的複方；亦允許含鉑化療。</w:t>
      </w:r>
    </w:p>
    <w:p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(3)病人須在最後一次治療(包括手術、化療或放療)完成後的12週內使用olaparib。</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(4)須符合下列之高復發風險條件：</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Ⅰ.三陰性乳癌：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i.針對曾接受前導性化療的病人，須符合於乳房和/或手術切除的淋巴結中發現有殘餘的侵襲性癌症(non-pCR)。</w:t>
      </w:r>
    </w:p>
    <w:p w:rsidR="007455F6" w:rsidRPr="00EA15AB" w:rsidRDefault="007455F6" w:rsidP="007455F6">
      <w:pPr>
        <w:spacing w:line="400" w:lineRule="exact"/>
        <w:ind w:left="1699" w:hanging="281"/>
        <w:rPr>
          <w:rFonts w:ascii="標楷體" w:eastAsia="標楷體" w:hAnsi="標楷體"/>
          <w:color w:val="000000"/>
          <w:szCs w:val="24"/>
        </w:rPr>
      </w:pPr>
      <w:r w:rsidRPr="00EA15AB">
        <w:rPr>
          <w:rFonts w:ascii="標楷體" w:eastAsia="標楷體" w:hAnsi="標楷體"/>
          <w:color w:val="000000"/>
          <w:szCs w:val="24"/>
        </w:rPr>
        <w:t>ii.針對曾接受手術且接續術後輔助性化療的病人，須具有腋窩淋巴結陽性(≧pN1)，或腋窩淋巴結陰性(pN0)且原發性病理腫瘤大小≧2公分(≧pT2)。</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lastRenderedPageBreak/>
        <w:t>Ⅱ.HR陽性且HER2陰性乳癌：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i.針對曾接受前導性化療的病人，須為non-pCR。</w:t>
      </w:r>
    </w:p>
    <w:p w:rsidR="007455F6" w:rsidRPr="00EA15AB" w:rsidRDefault="007455F6" w:rsidP="007455F6">
      <w:pPr>
        <w:spacing w:line="400" w:lineRule="exact"/>
        <w:ind w:left="1699" w:hanging="281"/>
        <w:rPr>
          <w:rFonts w:ascii="標楷體" w:eastAsia="標楷體" w:hAnsi="標楷體"/>
        </w:rPr>
      </w:pPr>
      <w:r w:rsidRPr="00EA15AB">
        <w:rPr>
          <w:rFonts w:ascii="標楷體" w:eastAsia="標楷體" w:hAnsi="標楷體"/>
          <w:color w:val="000000"/>
          <w:szCs w:val="24"/>
        </w:rPr>
        <w:t>ii</w:t>
      </w:r>
      <w:r w:rsidRPr="00EA15AB">
        <w:rPr>
          <w:rFonts w:ascii="標楷體" w:eastAsia="標楷體" w:hAnsi="標楷體"/>
        </w:rPr>
        <w:t xml:space="preserve"> </w:t>
      </w:r>
      <w:r w:rsidRPr="00EA15AB">
        <w:rPr>
          <w:rFonts w:ascii="標楷體" w:eastAsia="標楷體" w:hAnsi="標楷體"/>
          <w:color w:val="000000"/>
          <w:szCs w:val="24"/>
        </w:rPr>
        <w:t>針對曾接受手術且接續術後輔助性化療的病人，須具有4個以上經病理學證實的陽性淋巴結。</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(5)須經事前審查核准後使用：</w:t>
      </w:r>
    </w:p>
    <w:p w:rsidR="007455F6" w:rsidRPr="00EA15AB" w:rsidRDefault="007455F6" w:rsidP="007455F6">
      <w:pPr>
        <w:spacing w:line="400" w:lineRule="exact"/>
        <w:ind w:left="1809" w:hanging="566"/>
        <w:rPr>
          <w:rFonts w:ascii="標楷體" w:eastAsia="標楷體" w:hAnsi="標楷體"/>
        </w:rPr>
      </w:pPr>
      <w:r w:rsidRPr="00EA15AB">
        <w:rPr>
          <w:rFonts w:ascii="標楷體" w:eastAsia="標楷體" w:hAnsi="標楷體"/>
          <w:color w:val="000000"/>
        </w:rPr>
        <w:t>Ⅰ.</w:t>
      </w:r>
      <w:r w:rsidRPr="00EA15AB">
        <w:rPr>
          <w:rFonts w:ascii="標楷體" w:eastAsia="標楷體" w:hAnsi="標楷體"/>
          <w:color w:val="000000"/>
          <w:szCs w:val="24"/>
        </w:rPr>
        <w:t>每次申請之療程以3個月為限。</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II.初次申請時需檢附HER2為陰性之檢測報告、ER和PR之檢測報告，以及germline BRCA 1/2突變之檢測報告，且需符合全民健康保險藥品給付規定之通則十二。</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III.再次申請必須提出客觀證據（如：影像學）證實無惡化，才可繼續使用。</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IV. 用於術後輔助治療，olaparib與pembrolizumab僅能擇一給付。</w:t>
      </w:r>
    </w:p>
    <w:p w:rsidR="00B96EA0" w:rsidRPr="007455F6" w:rsidRDefault="007455F6" w:rsidP="007455F6">
      <w:pPr>
        <w:spacing w:line="400" w:lineRule="exact"/>
        <w:ind w:leftChars="-118" w:left="-283" w:firstLineChars="236" w:firstLine="566"/>
      </w:pPr>
      <w:r w:rsidRPr="00EA15AB">
        <w:rPr>
          <w:rFonts w:ascii="標楷體" w:eastAsia="標楷體" w:hAnsi="標楷體"/>
          <w:color w:val="000000"/>
          <w:szCs w:val="24"/>
        </w:rPr>
        <w:t xml:space="preserve">  5</w:t>
      </w:r>
      <w:r w:rsidRPr="00EA15AB">
        <w:rPr>
          <w:rFonts w:ascii="標楷體" w:eastAsia="標楷體" w:hAnsi="標楷體" w:cs="BiauKai"/>
          <w:color w:val="000000"/>
          <w:szCs w:val="24"/>
        </w:rPr>
        <w:t>.</w:t>
      </w:r>
      <w:r w:rsidRPr="00A47AB0">
        <w:rPr>
          <w:rFonts w:ascii="標楷體" w:eastAsia="標楷體" w:hAnsi="標楷體"/>
        </w:rPr>
        <w:t>Olaparib</w:t>
      </w:r>
      <w:r w:rsidRPr="00EA15AB">
        <w:rPr>
          <w:rFonts w:ascii="標楷體" w:eastAsia="標楷體" w:hAnsi="標楷體"/>
          <w:color w:val="000000"/>
          <w:szCs w:val="24"/>
        </w:rPr>
        <w:t>每日最多使用4粒</w:t>
      </w:r>
      <w:r w:rsidRPr="00EA15AB">
        <w:rPr>
          <w:rFonts w:ascii="標楷體" w:eastAsia="標楷體" w:hAnsi="標楷體" w:cs="BiauKai"/>
          <w:color w:val="000000"/>
          <w:szCs w:val="24"/>
        </w:rPr>
        <w:t>(112/1/1)</w:t>
      </w:r>
      <w:bookmarkEnd w:id="36"/>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9.86.Vandetanib (如Caprelsa)：(109/11/1)</w:t>
      </w:r>
    </w:p>
    <w:p w:rsidR="00B96EA0" w:rsidRDefault="007D66B8" w:rsidP="005142EB">
      <w:pPr>
        <w:spacing w:line="400" w:lineRule="exact"/>
        <w:ind w:left="283"/>
      </w:pPr>
      <w:r>
        <w:rPr>
          <w:rFonts w:ascii="標楷體" w:eastAsia="標楷體" w:hAnsi="標楷體"/>
          <w:color w:val="000000"/>
        </w:rPr>
        <w:t>適用於無法進行手術切除的局部侵犯或轉移性甲狀腺</w:t>
      </w:r>
      <w:r>
        <w:rPr>
          <w:rFonts w:ascii="標楷體" w:eastAsia="標楷體" w:hAnsi="標楷體" w:cs="BiauKai"/>
          <w:color w:val="000000"/>
          <w:szCs w:val="28"/>
        </w:rPr>
        <w:t>髓質癌，並且為症狀性及疾病侵襲性的患者。</w:t>
      </w:r>
    </w:p>
    <w:p w:rsidR="00B96EA0" w:rsidRDefault="007D66B8" w:rsidP="00167FEB">
      <w:pPr>
        <w:numPr>
          <w:ilvl w:val="0"/>
          <w:numId w:val="6"/>
        </w:numPr>
        <w:spacing w:line="400" w:lineRule="exact"/>
        <w:ind w:left="922" w:hanging="284"/>
        <w:jc w:val="both"/>
      </w:pPr>
      <w:r>
        <w:rPr>
          <w:rFonts w:ascii="標楷體" w:eastAsia="標楷體" w:hAnsi="標楷體"/>
          <w:color w:val="000000"/>
          <w:szCs w:val="28"/>
        </w:rPr>
        <w:t>需經事前審查核准後使用，每次申請之療程以6個月為限，送審時需檢送影像資料，每6個月評估一次。</w:t>
      </w:r>
    </w:p>
    <w:p w:rsidR="00B96EA0" w:rsidRDefault="007D66B8" w:rsidP="00167FEB">
      <w:pPr>
        <w:numPr>
          <w:ilvl w:val="0"/>
          <w:numId w:val="6"/>
        </w:numPr>
        <w:spacing w:line="400" w:lineRule="exact"/>
        <w:ind w:left="922" w:hanging="284"/>
        <w:jc w:val="both"/>
      </w:pPr>
      <w:r>
        <w:rPr>
          <w:rFonts w:ascii="標楷體" w:eastAsia="標楷體" w:hAnsi="標楷體"/>
          <w:color w:val="000000"/>
          <w:szCs w:val="28"/>
        </w:rPr>
        <w:t>出現疾病惡化或無法忍受之藥物不良反應，應立即停用。</w:t>
      </w:r>
    </w:p>
    <w:p w:rsidR="00B96EA0" w:rsidRDefault="007D66B8" w:rsidP="005142EB">
      <w:pPr>
        <w:spacing w:line="400" w:lineRule="exact"/>
        <w:ind w:left="644"/>
        <w:jc w:val="both"/>
      </w:pPr>
      <w:r>
        <w:rPr>
          <w:rFonts w:ascii="標楷體" w:eastAsia="標楷體" w:hAnsi="標楷體"/>
          <w:color w:val="000000"/>
          <w:szCs w:val="28"/>
        </w:rPr>
        <w:t>4.每日最大劑量為300毫克。</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9.87.Trastuzumab emtansine (如Kadcyla)：(110/2/1、113/8/1、114/2/1、114/5/1)</w:t>
      </w:r>
    </w:p>
    <w:p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1.早期乳癌(113/8/1、114/2/1、114/5/1)</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(1)使用於具HER2過度表現(IHC 3+或FISH+)之早期乳癌病人，曾接受過至少6個療程（每3週一療程，至少16週）的化學治療（其中至少3個療程(9週)的taxane藥物）和至少3個療程(9週)的trastuzumab術前輔助治療後，仍有殘留病灶的術後輔助治療，且需符合下列任一條件：</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I.具腋下淋巴結轉移但無遠處臟器轉移之早期乳癌病人。</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Ⅱ.未發生腋下淋巴結轉移，但雌激素受體(ER)為陰性且腫瘤大於2公分之早期乳癌病人。</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(2)經事前審查核准後使用，核准後每24週須檢附療效評估資料再次申請，若疾病有惡化情形即不應再行申請。每位病人使用本藥品以14個療程為上限。（113/8/1、114/5/1）</w:t>
      </w:r>
    </w:p>
    <w:p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(3)排除使用本藥品條件：</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I.未於術後12週內開始治療或提出治療申請。</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Ⅱ.左心室射出分率少於45%或有症狀的心衰竭病人。</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Ⅲ.不得與其他抗HER2藥物併用。</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(4)本藥品申請通過後，如轉換成trastuzumab或其他抗HER2藥物後不得再次申請</w:t>
      </w:r>
      <w:r>
        <w:rPr>
          <w:rFonts w:ascii="標楷體" w:eastAsia="標楷體" w:hAnsi="標楷體"/>
          <w:color w:val="000000"/>
        </w:rPr>
        <w:lastRenderedPageBreak/>
        <w:t>本藥品，且本藥品與trastuzumab使用於早期乳癌手術前後的總療程合併計算，每位病人以全部18個療程為上限。</w:t>
      </w:r>
    </w:p>
    <w:p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2.轉移性乳癌(110/2/1、113/8/1、114/2/1)</w:t>
      </w:r>
    </w:p>
    <w:p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(1)限單獨使用於先前未使用過本藥品且HER2過度表現(IHC3+或FISH+)之轉移性乳癌病人作為二線治療，並同時符合下列情形：</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I.之前分別接受過trastuzumab與一種taxane藥物治療，或其合併療法，或pertuzumab與trastuzumab與一種taxane藥物治療。</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Ⅱ.之前已經接受過轉移性癌症治療，或在輔助療法治療期間或完成治療後6個月內癌症復發。</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Ⅲ.合併有主要臟器(不包含骨及軟組織)轉移。</w:t>
      </w:r>
    </w:p>
    <w:p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(2)經事前審查核准後使用，核准後每12週須檢附療效評估資料再次申請，若疾病有惡化情形即不應再行申請，每位病人至多給付10個月(13個療程為上限)。</w:t>
      </w:r>
    </w:p>
    <w:p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(3)Trastuzumab emtansine、lapatinib和trastuzumab deruxtecan僅能擇一給付，不得互換。(114/2/1)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9.88.Ixabepilone (如Ixempra)：(110/2/1)</w:t>
      </w:r>
    </w:p>
    <w:p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1.限Ixabepilone合併capecitabine用於局部晚期或轉移性乳癌患者，需符合以下條件之一：</w:t>
      </w:r>
    </w:p>
    <w:p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(1)對taxane有抗藥性且無法接受anthracycline治療者。</w:t>
      </w:r>
    </w:p>
    <w:p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(2)對taxane及anthracycline治療無效者。</w:t>
      </w:r>
    </w:p>
    <w:p w:rsidR="00B96EA0" w:rsidRDefault="007D66B8" w:rsidP="005142EB">
      <w:pPr>
        <w:spacing w:line="400" w:lineRule="exact"/>
        <w:ind w:left="684"/>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p>
    <w:p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3.Ixabepilone與eribulin用於治療上述之轉移性乳癌患者時，僅得擇一使用，且不得互換(ixabepilone限用於未曾使用過eribulin之病患)。</w:t>
      </w:r>
    </w:p>
    <w:p w:rsidR="00B96EA0" w:rsidRDefault="007D66B8" w:rsidP="005142EB">
      <w:pPr>
        <w:spacing w:line="400" w:lineRule="exact"/>
        <w:ind w:left="284"/>
      </w:pPr>
      <w:r>
        <w:rPr>
          <w:rFonts w:ascii="標楷體" w:eastAsia="標楷體" w:hAnsi="標楷體" w:cs="BiauKai"/>
          <w:color w:val="000000"/>
          <w:szCs w:val="24"/>
        </w:rPr>
        <w:t>9.89.(刪除)：(110/3/1、111/6/1、111/8/1</w:t>
      </w:r>
      <w:r>
        <w:rPr>
          <w:rFonts w:ascii="標楷體" w:eastAsia="標楷體" w:hAnsi="標楷體"/>
          <w:color w:val="000000"/>
          <w:szCs w:val="24"/>
        </w:rPr>
        <w:t>、112</w:t>
      </w:r>
      <w:r>
        <w:rPr>
          <w:rFonts w:ascii="標楷體" w:eastAsia="標楷體" w:hAnsi="標楷體" w:cs="BiauKai"/>
          <w:color w:val="000000"/>
          <w:szCs w:val="24"/>
        </w:rPr>
        <w:t>/1/1)</w:t>
      </w:r>
    </w:p>
    <w:p w:rsidR="00B96EA0" w:rsidRDefault="007D66B8" w:rsidP="005142EB">
      <w:pPr>
        <w:spacing w:line="400" w:lineRule="exact"/>
        <w:ind w:left="283"/>
      </w:pPr>
      <w:r>
        <w:rPr>
          <w:rFonts w:ascii="標楷體" w:eastAsia="標楷體" w:hAnsi="標楷體"/>
          <w:color w:val="000000"/>
        </w:rPr>
        <w:t>9.90.</w:t>
      </w:r>
      <w:r>
        <w:t xml:space="preserve"> </w:t>
      </w:r>
      <w:r>
        <w:rPr>
          <w:rFonts w:ascii="標楷體" w:eastAsia="標楷體" w:hAnsi="標楷體"/>
          <w:color w:val="000000"/>
        </w:rPr>
        <w:t>Apalutamide (如Erleada)：(110/3/1、110/11/1、111/3/1、112/9/1、113/8/1、114/6/1)</w:t>
      </w:r>
    </w:p>
    <w:p w:rsidR="00B96EA0" w:rsidRDefault="007D66B8" w:rsidP="005142EB">
      <w:pPr>
        <w:tabs>
          <w:tab w:val="left" w:leader="underscore" w:pos="567"/>
        </w:tabs>
        <w:snapToGrid w:val="0"/>
        <w:spacing w:line="400" w:lineRule="exact"/>
        <w:ind w:left="851" w:hanging="280"/>
        <w:rPr>
          <w:rFonts w:ascii="標楷體" w:eastAsia="標楷體" w:hAnsi="標楷體"/>
          <w:szCs w:val="24"/>
        </w:rPr>
      </w:pPr>
      <w:r>
        <w:rPr>
          <w:rFonts w:ascii="標楷體" w:eastAsia="標楷體" w:hAnsi="標楷體"/>
          <w:szCs w:val="24"/>
        </w:rPr>
        <w:t>1.治療高風險非轉移性去勢抗性前列腺癌(high risk nmCRPC)的成年男性。</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(2)初次申請時需檢附病理報告、使用雄性素去除療法紀錄，系列PSA和睪固酮數據，三個月內影像報告證明無遠端轉移。</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(3)ECOG分數須≦1。</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(4)PSA doubling time≦10個月，PSA倍增之時間，應依線性回歸模型計算，且其參數取得需基於下列原則：（112/9/1）</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lastRenderedPageBreak/>
        <w:t>Ⅲ.第一個和最後一個PSA測量值間隔需≧8週，但≦12個月。</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 xml:space="preserve">(5)每3個月需再次申請，申請之療程以3個月為限。再次申請時，有PSA progression者，需檢附影像學報告，若影像學報告證實轉移，則需停藥;無PSA progression者，則每6個月需檢附影像學報告，若影像學報告證實轉移，則需停藥。（112/9/1） </w:t>
      </w:r>
    </w:p>
    <w:p w:rsidR="00B96EA0" w:rsidRDefault="007D66B8" w:rsidP="005142EB">
      <w:pPr>
        <w:tabs>
          <w:tab w:val="left" w:leader="underscore" w:pos="567"/>
        </w:tabs>
        <w:snapToGrid w:val="0"/>
        <w:spacing w:line="400" w:lineRule="exact"/>
        <w:ind w:left="1200"/>
        <w:rPr>
          <w:rFonts w:ascii="標楷體" w:eastAsia="標楷體" w:hAnsi="標楷體"/>
          <w:szCs w:val="24"/>
        </w:rPr>
      </w:pPr>
      <w:r>
        <w:rPr>
          <w:rFonts w:ascii="標楷體" w:eastAsia="標楷體" w:hAnsi="標楷體"/>
          <w:szCs w:val="24"/>
        </w:rPr>
        <w:t>註：</w:t>
      </w:r>
    </w:p>
    <w:p w:rsidR="00B96EA0" w:rsidRDefault="007D66B8" w:rsidP="005142EB">
      <w:pPr>
        <w:tabs>
          <w:tab w:val="left" w:leader="underscore" w:pos="567"/>
        </w:tabs>
        <w:snapToGrid w:val="0"/>
        <w:spacing w:line="400" w:lineRule="exact"/>
        <w:ind w:left="1200"/>
      </w:pPr>
      <w:r>
        <w:rPr>
          <w:rFonts w:ascii="標楷體" w:eastAsia="標楷體" w:hAnsi="標楷體"/>
          <w:szCs w:val="24"/>
        </w:rPr>
        <w:t>PSA progression 定義為:PSA下降達最低值(nadir)後，出現 PSA值上升較 nadir≧25%，且PSA≧2 ng/mL，並於至少3週後，再次抽血確認PSA值有上升趨勢。</w:t>
      </w:r>
    </w:p>
    <w:p w:rsidR="00B96EA0" w:rsidRDefault="007D66B8" w:rsidP="005142EB">
      <w:pPr>
        <w:tabs>
          <w:tab w:val="left" w:pos="851"/>
        </w:tabs>
        <w:snapToGrid w:val="0"/>
        <w:spacing w:line="400" w:lineRule="exact"/>
        <w:ind w:left="851" w:hanging="280"/>
      </w:pPr>
      <w:r>
        <w:rPr>
          <w:rFonts w:ascii="標楷體" w:eastAsia="標楷體" w:hAnsi="標楷體"/>
          <w:szCs w:val="24"/>
        </w:rPr>
        <w:t>2.治療高風險轉移性的去勢敏感性前列腺癌(mCSPC)，總療程以36個月為上限。（110/3/1</w:t>
      </w:r>
      <w:r>
        <w:rPr>
          <w:rFonts w:ascii="標楷體" w:eastAsia="標楷體" w:hAnsi="標楷體" w:cs="BiauKai"/>
          <w:color w:val="000000"/>
          <w:szCs w:val="24"/>
        </w:rPr>
        <w:t>、</w:t>
      </w:r>
      <w:r>
        <w:rPr>
          <w:rFonts w:ascii="標楷體" w:eastAsia="標楷體" w:hAnsi="標楷體"/>
          <w:szCs w:val="24"/>
        </w:rPr>
        <w:t>111</w:t>
      </w:r>
      <w:r>
        <w:rPr>
          <w:rFonts w:ascii="標楷體" w:eastAsia="標楷體" w:hAnsi="標楷體"/>
          <w:color w:val="000000"/>
          <w:szCs w:val="24"/>
        </w:rPr>
        <w:t>/3/1、113/8/1</w:t>
      </w:r>
      <w:r>
        <w:rPr>
          <w:rFonts w:ascii="標楷體" w:eastAsia="標楷體" w:hAnsi="標楷體"/>
          <w:szCs w:val="24"/>
        </w:rPr>
        <w:t>）</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rsidR="00B96EA0" w:rsidRDefault="007D66B8" w:rsidP="005142EB">
      <w:pPr>
        <w:tabs>
          <w:tab w:val="left" w:leader="underscore" w:pos="567"/>
        </w:tabs>
        <w:snapToGrid w:val="0"/>
        <w:spacing w:line="400" w:lineRule="exact"/>
        <w:ind w:left="1418" w:hanging="420"/>
      </w:pPr>
      <w:r>
        <w:rPr>
          <w:rFonts w:ascii="標楷體" w:eastAsia="標楷體" w:hAnsi="標楷體"/>
          <w:szCs w:val="24"/>
        </w:rPr>
        <w:t>(2)每3個月需再次申請，再申請時若</w:t>
      </w:r>
      <w:r>
        <w:rPr>
          <w:rFonts w:ascii="標楷體" w:eastAsia="標楷體" w:hAnsi="標楷體"/>
          <w:color w:val="000000"/>
          <w:szCs w:val="24"/>
        </w:rPr>
        <w:t>PSA值下降未超過治療前的50%以上，則需停藥。</w:t>
      </w:r>
    </w:p>
    <w:p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(3)下降達最低值後之持續追蹤出現PSA較最低值上升50%以上且PSA≧2ng/mL，則需停藥，但影像學證據尚無疾病進展者，可以繼續使用。</w:t>
      </w:r>
    </w:p>
    <w:p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(4)前述高風險需符合下列三項條件中至少兩項：（111/3/1、113/8/1）</w:t>
      </w:r>
    </w:p>
    <w:p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Ⅰ.葛里森分數(Gleason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Ⅱ.</w:t>
      </w:r>
      <w:r>
        <w:t xml:space="preserve"> </w:t>
      </w:r>
      <w:r>
        <w:rPr>
          <w:rFonts w:ascii="標楷體" w:eastAsia="標楷體" w:hAnsi="標楷體"/>
          <w:color w:val="000000"/>
          <w:szCs w:val="24"/>
        </w:rPr>
        <w:t>骨骼掃描出現三個(含)以上病灶且至少其中一處以上為非脊柱及非骨盆腔轉移。（111/3/1、113/8/1）</w:t>
      </w:r>
    </w:p>
    <w:p w:rsidR="00B96EA0" w:rsidRDefault="007D66B8" w:rsidP="005142EB">
      <w:pPr>
        <w:tabs>
          <w:tab w:val="left" w:pos="945"/>
        </w:tabs>
        <w:snapToGrid w:val="0"/>
        <w:spacing w:line="400" w:lineRule="exact"/>
        <w:ind w:left="1843" w:hanging="420"/>
        <w:rPr>
          <w:rFonts w:ascii="標楷體" w:eastAsia="標楷體" w:hAnsi="標楷體"/>
          <w:color w:val="000000"/>
          <w:szCs w:val="24"/>
        </w:rPr>
      </w:pPr>
      <w:r>
        <w:rPr>
          <w:rFonts w:ascii="標楷體" w:eastAsia="標楷體" w:hAnsi="標楷體"/>
          <w:color w:val="000000"/>
          <w:szCs w:val="24"/>
        </w:rPr>
        <w:t>Ⅲ.出現內臟轉移。</w:t>
      </w:r>
    </w:p>
    <w:p w:rsidR="00B96EA0" w:rsidRDefault="007D66B8" w:rsidP="005142EB">
      <w:pPr>
        <w:spacing w:line="400" w:lineRule="exact"/>
        <w:ind w:left="881" w:hanging="238"/>
      </w:pPr>
      <w:r>
        <w:rPr>
          <w:rFonts w:ascii="標楷體" w:eastAsia="標楷體" w:hAnsi="標楷體"/>
          <w:color w:val="000000"/>
          <w:szCs w:val="24"/>
        </w:rPr>
        <w:t>3.</w:t>
      </w:r>
      <w:r>
        <w:t xml:space="preserve"> </w:t>
      </w:r>
      <w:r>
        <w:rPr>
          <w:rFonts w:ascii="標楷體" w:eastAsia="標楷體" w:hAnsi="標楷體"/>
          <w:color w:val="000000"/>
          <w:szCs w:val="24"/>
        </w:rPr>
        <w:t>不論病人處於轉移或非轉移的狀態下，新型荷爾蒙藥品(abiraterone、apalutamide、darolutamide和enzalutamide) ，及olaparib 與 abiraterone併用，終生僅給付一種治療，且除非出現嚴重不耐受反應導致必須永久停止治療，不得互換。 (112/9/1、114/6/1)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9.91.Dabrafenib (如Tafinlar)、Trametinib (如Mekinist)：(110/3/1、113/3/1、113/6/1)</w:t>
      </w:r>
    </w:p>
    <w:p w:rsidR="00B96EA0" w:rsidRDefault="007D66B8" w:rsidP="005142EB">
      <w:pPr>
        <w:spacing w:line="400" w:lineRule="exact"/>
        <w:ind w:left="708" w:hanging="142"/>
      </w:pPr>
      <w:r>
        <w:rPr>
          <w:rFonts w:ascii="標楷體" w:eastAsia="標楷體" w:hAnsi="標楷體"/>
          <w:color w:val="000000"/>
        </w:rPr>
        <w:t>1.Dabrafenib和trametinib併用於治療BRAF V600突變陽性ECOG</w:t>
      </w:r>
      <w:r>
        <w:rPr>
          <w:rFonts w:ascii="Times New Roman" w:eastAsia="標楷體" w:hAnsi="Times New Roman"/>
          <w:color w:val="000000"/>
        </w:rPr>
        <w:t>≤</w:t>
      </w:r>
      <w:r>
        <w:rPr>
          <w:rFonts w:ascii="標楷體" w:eastAsia="標楷體" w:hAnsi="標楷體"/>
          <w:color w:val="000000"/>
        </w:rPr>
        <w:t xml:space="preserve"> 2且罹患無法切除(第ⅢC期)或轉移性(第Ⅳ期)黑色素瘤之病人：</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(1)需經事前審查核准後使用，每次申請療程以3個月為限，如發現病情惡化應停止使用。</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(2)再申請時應檢附前次治療結果評估資料。</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2.Dabrafenib和trametinib併用於BRAF V600突變陽性且完全切除之第三期黑色素瘤病人術後輔助治療：</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(1)需經事前審查核准後使用，每次申請療程以6個月為限，如發現病情惡化應停止使用。</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lastRenderedPageBreak/>
        <w:t>(2)限用1年。</w:t>
      </w:r>
    </w:p>
    <w:p w:rsidR="00B96EA0" w:rsidRDefault="007D66B8" w:rsidP="005142EB">
      <w:pPr>
        <w:spacing w:line="400" w:lineRule="exact"/>
        <w:ind w:left="840" w:hanging="274"/>
        <w:rPr>
          <w:rFonts w:ascii="標楷體" w:eastAsia="標楷體" w:hAnsi="標楷體"/>
          <w:color w:val="000000"/>
        </w:rPr>
      </w:pPr>
      <w:r>
        <w:rPr>
          <w:rFonts w:ascii="標楷體" w:eastAsia="標楷體" w:hAnsi="標楷體"/>
          <w:color w:val="000000"/>
        </w:rPr>
        <w:t>3.本品(dabrafenib併用trametinib之治療組合)與vemurafenib僅能擇一使用，除因耐受性不良，不得互換。</w:t>
      </w:r>
    </w:p>
    <w:p w:rsidR="00B96EA0" w:rsidRDefault="007D66B8" w:rsidP="005142EB">
      <w:pPr>
        <w:spacing w:line="400" w:lineRule="exact"/>
        <w:ind w:left="840" w:hanging="274"/>
      </w:pPr>
      <w:r>
        <w:t xml:space="preserve">4. </w:t>
      </w:r>
      <w:r>
        <w:rPr>
          <w:rFonts w:ascii="標楷體" w:eastAsia="標楷體" w:hAnsi="標楷體"/>
          <w:color w:val="000000"/>
        </w:rPr>
        <w:t>Dabrafenib與trametinib併用於治療BRAF V600E突變之轉移性(第IV期)非小細胞肺癌成人病人：(113/3/1、113/6/1)</w:t>
      </w:r>
    </w:p>
    <w:p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(1)作為先前已接受過第一線含鉑化學治療，但仍惡化的轉移性(第IV期)非小細胞肺癌成人病人第二線治療，使用本品無效後則不再給付該適應症相關之免疫檢查點PD-1、PD-L1抑制劑。</w:t>
      </w:r>
    </w:p>
    <w:p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(2)須經事前審查核准後使用:</w:t>
      </w:r>
    </w:p>
    <w:p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I.初次申請時需檢附確實患有非小細胞肺癌之病理或細胞檢查報告以及 BRAF V600E 突變檢測報告，且需符合全民健康保險藥品給付規定之通則十二。</w:t>
      </w:r>
    </w:p>
    <w:p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II.每次申請事前審查之療程以3個月為限，每3個月需再次申請，再次申請時並需附上治療後相關臨床資料，若病情惡化即不得再次申請。</w:t>
      </w:r>
    </w:p>
    <w:p w:rsidR="00B96EA0" w:rsidRDefault="007D66B8" w:rsidP="005142EB">
      <w:pPr>
        <w:spacing w:line="400" w:lineRule="exact"/>
        <w:ind w:left="283"/>
        <w:rPr>
          <w:rFonts w:ascii="標楷體" w:eastAsia="標楷體" w:hAnsi="標楷體"/>
          <w:color w:val="000000"/>
        </w:rPr>
      </w:pPr>
      <w:bookmarkStart w:id="37" w:name="_Hlk70327755"/>
      <w:r>
        <w:rPr>
          <w:rFonts w:ascii="標楷體" w:eastAsia="標楷體" w:hAnsi="標楷體"/>
          <w:color w:val="000000"/>
        </w:rPr>
        <w:t>9.92. Ramucirumab (如Cyramza)：(110/5/1)</w:t>
      </w:r>
    </w:p>
    <w:p w:rsidR="00B96EA0" w:rsidRDefault="007D66B8" w:rsidP="005142EB">
      <w:pPr>
        <w:spacing w:line="400" w:lineRule="exact"/>
        <w:ind w:left="814" w:hanging="245"/>
      </w:pPr>
      <w:r>
        <w:rPr>
          <w:rFonts w:ascii="標楷體" w:eastAsia="標楷體" w:hAnsi="標楷體"/>
          <w:color w:val="000000"/>
        </w:rPr>
        <w:t>1.單一療法適用於接受過sorafenib治療失敗後之轉移性或無法手術切除且不適合局部治療或局部治療失敗，且alpha- fetoprotein (AFP)</w:t>
      </w:r>
      <w:r>
        <w:rPr>
          <w:rFonts w:ascii="Times New Roman" w:eastAsia="標楷體" w:hAnsi="Times New Roman"/>
          <w:color w:val="000000"/>
        </w:rPr>
        <w:t>≥</w:t>
      </w:r>
      <w:r>
        <w:rPr>
          <w:rFonts w:ascii="標楷體" w:eastAsia="標楷體" w:hAnsi="標楷體"/>
          <w:color w:val="000000"/>
        </w:rPr>
        <w:t xml:space="preserve"> 400ng/mL之Child-Pugh A class晚期肝細胞癌成人患者。</w:t>
      </w:r>
    </w:p>
    <w:p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3.Ramucirumab與regorafenib、nivolumab僅能擇一使用，不得互換。</w:t>
      </w:r>
      <w:bookmarkEnd w:id="37"/>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9.93.Entrectinib (如Rozlytrek)：(110/7/1、113/6/1)</w:t>
      </w:r>
    </w:p>
    <w:p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1.單獨使用於ROS-1陽性之局部晚期或轉移性非小細胞肺癌的成人病人。</w:t>
      </w:r>
    </w:p>
    <w:p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2.須經事前審查核准後使用：(113/6/1)</w:t>
      </w:r>
    </w:p>
    <w:p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需檢具確實患有非小細胞肺癌之病理或細胞檢查報告，以及符合診斷之ROS-1突變檢測報告，且需符合全民健康保險藥品給付規定之通則十二。</w:t>
      </w:r>
    </w:p>
    <w:p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次申請事前審查之療程以三個月為限，每三個月需再次申請，再次申請時並需附上治療後相關臨床資料，如給藥4週後，需追蹤胸部X光或電腦斷層等影像檢查評估療效，往後每4週做胸部X光檢查，每隔8週需追蹤其作為評估藥效的影像(如胸部X光或電腦斷層)，若病情惡化即不得再次申請。</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3.Entrectinib與crizotinib用於ROS-1陽性之晚期非小細胞肺癌時，僅得擇一使用，除因病人使用後，發生嚴重不良反應或耐受不良之情形外，不得互換。</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4.每日最大劑量限600mg。</w:t>
      </w:r>
    </w:p>
    <w:p w:rsidR="00140897" w:rsidRDefault="00140897" w:rsidP="00140897">
      <w:pPr>
        <w:spacing w:line="400" w:lineRule="exact"/>
        <w:ind w:left="567" w:hanging="245"/>
      </w:pPr>
      <w:bookmarkStart w:id="38" w:name="_Hlk198656405"/>
      <w:bookmarkStart w:id="39" w:name="_Hlk85807933"/>
      <w:r>
        <w:rPr>
          <w:rFonts w:ascii="標楷體" w:eastAsia="標楷體" w:hAnsi="標楷體"/>
          <w:color w:val="000000"/>
        </w:rPr>
        <w:t>9.94.</w:t>
      </w:r>
      <w:r>
        <w:t xml:space="preserve"> </w:t>
      </w:r>
      <w:r>
        <w:rPr>
          <w:rFonts w:ascii="標楷體" w:eastAsia="標楷體" w:hAnsi="標楷體"/>
          <w:color w:val="000000"/>
        </w:rPr>
        <w:t>Darolutamide(如Nubeqa)：(110/11/1、112/9/1、113/5/1、113/8/1</w:t>
      </w:r>
      <w:r>
        <w:rPr>
          <w:rFonts w:ascii="標楷體" w:eastAsia="標楷體" w:hAnsi="標楷體" w:hint="eastAsia"/>
          <w:color w:val="000000"/>
        </w:rPr>
        <w:t>、115/4/1</w:t>
      </w:r>
      <w:r>
        <w:rPr>
          <w:rFonts w:ascii="標楷體" w:eastAsia="標楷體" w:hAnsi="標楷體"/>
          <w:color w:val="000000"/>
        </w:rPr>
        <w:t>)</w:t>
      </w:r>
    </w:p>
    <w:p w:rsidR="00140897" w:rsidRDefault="00140897" w:rsidP="00140897">
      <w:pPr>
        <w:spacing w:line="400" w:lineRule="exact"/>
        <w:ind w:left="811" w:hanging="245"/>
      </w:pPr>
      <w:r>
        <w:rPr>
          <w:rFonts w:ascii="標楷體" w:eastAsia="標楷體" w:hAnsi="標楷體"/>
          <w:color w:val="000000"/>
        </w:rPr>
        <w:t>1.</w:t>
      </w:r>
      <w:r>
        <w:rPr>
          <w:rFonts w:ascii="標楷體" w:eastAsia="標楷體" w:hAnsi="標楷體" w:hint="eastAsia"/>
          <w:color w:val="000000"/>
        </w:rPr>
        <w:t>作為單一療法或</w:t>
      </w:r>
      <w:r>
        <w:rPr>
          <w:rFonts w:ascii="標楷體" w:eastAsia="標楷體" w:hAnsi="標楷體"/>
          <w:color w:val="000000"/>
        </w:rPr>
        <w:t>與docetaxel併用於治療高風險轉移性的去勢敏感性前列腺癌(mCSPC)，總療程以</w:t>
      </w:r>
      <w:r>
        <w:rPr>
          <w:rFonts w:ascii="標楷體" w:eastAsia="標楷體" w:hAnsi="標楷體" w:hint="eastAsia"/>
          <w:color w:val="000000"/>
        </w:rPr>
        <w:t>36</w:t>
      </w:r>
      <w:r>
        <w:rPr>
          <w:rFonts w:ascii="標楷體" w:eastAsia="標楷體" w:hAnsi="標楷體"/>
          <w:color w:val="000000"/>
        </w:rPr>
        <w:t>個月為上限。(113/5/1、114/6/1</w:t>
      </w:r>
      <w:r>
        <w:rPr>
          <w:rFonts w:ascii="標楷體" w:eastAsia="標楷體" w:hAnsi="標楷體" w:hint="eastAsia"/>
          <w:color w:val="000000"/>
        </w:rPr>
        <w:t>、115/4/1</w:t>
      </w:r>
      <w:r>
        <w:rPr>
          <w:rFonts w:ascii="標楷體" w:eastAsia="標楷體" w:hAnsi="標楷體"/>
          <w:color w:val="000000"/>
        </w:rPr>
        <w:t>)</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rsidR="00140897" w:rsidRDefault="00140897" w:rsidP="00140897">
      <w:pPr>
        <w:spacing w:line="400" w:lineRule="exact"/>
        <w:ind w:left="1146" w:hanging="340"/>
        <w:rPr>
          <w:rFonts w:ascii="標楷體" w:eastAsia="標楷體" w:hAnsi="標楷體"/>
          <w:color w:val="000000"/>
        </w:rPr>
      </w:pPr>
      <w:r>
        <w:rPr>
          <w:rFonts w:ascii="標楷體" w:eastAsia="標楷體" w:hAnsi="標楷體"/>
          <w:color w:val="000000"/>
        </w:rPr>
        <w:lastRenderedPageBreak/>
        <w:t>(2)每3個月需再次申請，再申請時若PSA值下降未超過治療前的50%以上，則需停藥。</w:t>
      </w:r>
    </w:p>
    <w:p w:rsidR="00140897" w:rsidRDefault="00140897" w:rsidP="00140897">
      <w:pPr>
        <w:spacing w:line="400" w:lineRule="exact"/>
        <w:ind w:left="1146" w:hanging="340"/>
        <w:rPr>
          <w:rFonts w:ascii="標楷體" w:eastAsia="標楷體" w:hAnsi="標楷體"/>
          <w:color w:val="000000"/>
        </w:rPr>
      </w:pPr>
      <w:r>
        <w:rPr>
          <w:rFonts w:ascii="標楷體" w:eastAsia="標楷體" w:hAnsi="標楷體"/>
          <w:color w:val="000000"/>
        </w:rPr>
        <w:t>(3)下降達最低值後之持續追蹤出現PSA較最低值上升50%以上且PSA≧2ng/mL，則需停藥，但影像學證據尚無疾病進展者，可以繼續使用。</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(4)前述高風險需符合下列三項條件中至少兩項(113/5/1、113/8/1)：</w:t>
      </w:r>
    </w:p>
    <w:p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Ⅰ.葛里森分數(Gleason score)≧8。</w:t>
      </w:r>
    </w:p>
    <w:p w:rsidR="00140897" w:rsidRDefault="00140897" w:rsidP="00140897">
      <w:pPr>
        <w:spacing w:line="400" w:lineRule="exact"/>
        <w:ind w:left="1373" w:hanging="454"/>
      </w:pPr>
      <w:r>
        <w:rPr>
          <w:rFonts w:ascii="標楷體" w:eastAsia="標楷體" w:hAnsi="標楷體"/>
          <w:color w:val="000000"/>
        </w:rPr>
        <w:t xml:space="preserve"> Ⅱ.</w:t>
      </w:r>
      <w:r>
        <w:t xml:space="preserve"> </w:t>
      </w:r>
      <w:r>
        <w:rPr>
          <w:rFonts w:ascii="標楷體" w:eastAsia="標楷體" w:hAnsi="標楷體"/>
          <w:color w:val="000000"/>
        </w:rPr>
        <w:t>骨骼掃描出現三個(含)以上病灶且至少其中一處以上為非脊柱及非骨盆腔轉移。(113/5/1、113/8/1)</w:t>
      </w:r>
    </w:p>
    <w:p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Ⅲ.出現內臟轉移。</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 xml:space="preserve">(5)與docetaxel併用，docetaxel  </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 xml:space="preserve">   限使用6個療程，且須符合下列所有條件：</w:t>
      </w:r>
    </w:p>
    <w:p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Ⅰ.ECOG≦1。</w:t>
      </w:r>
    </w:p>
    <w:p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Ⅱ.絕對嗜中性球計數≧1500/mm3。</w:t>
      </w:r>
    </w:p>
    <w:p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Ⅲ.血小板計數≧100,000/mm3。</w:t>
      </w:r>
    </w:p>
    <w:p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IV.GPT≦2倍之正常值上限。</w:t>
      </w:r>
    </w:p>
    <w:p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V.Total bilirubin≦正常值上限。</w:t>
      </w:r>
    </w:p>
    <w:p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VI.eGFR≧30mL/min/1.73m2 </w:t>
      </w:r>
    </w:p>
    <w:p w:rsidR="00140897" w:rsidRDefault="00140897" w:rsidP="00140897">
      <w:pPr>
        <w:spacing w:line="400" w:lineRule="exact"/>
        <w:ind w:left="811" w:hanging="245"/>
        <w:rPr>
          <w:rFonts w:ascii="標楷體" w:eastAsia="標楷體" w:hAnsi="標楷體"/>
          <w:color w:val="000000"/>
        </w:rPr>
      </w:pPr>
      <w:r>
        <w:rPr>
          <w:rFonts w:ascii="標楷體" w:eastAsia="標楷體" w:hAnsi="標楷體"/>
          <w:color w:val="000000"/>
        </w:rPr>
        <w:t>2.治療高風險非轉移性去勢抗性前列腺癌(high risk nmCRPC)的成年男性。</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(2)初次申請時需檢附病理報告、使用雄性素去除療法紀錄，系列PSA和睪固酮數據，三個月內影像報告證明無遠端轉移。</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(3)ECOG分數須≦1。</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(4)PSA doubling time≦10個月，PSA倍增之時間，應依線性回歸模型計算，且其參數取得需基於下列原則：（112/9/1）</w:t>
      </w:r>
    </w:p>
    <w:p w:rsidR="00140897" w:rsidRDefault="00140897" w:rsidP="00140897">
      <w:pPr>
        <w:spacing w:line="400" w:lineRule="exact"/>
        <w:ind w:left="1373" w:hanging="454"/>
        <w:rPr>
          <w:rFonts w:ascii="標楷體" w:eastAsia="標楷體" w:hAnsi="標楷體"/>
          <w:color w:val="000000"/>
        </w:rPr>
      </w:pPr>
      <w:r>
        <w:rPr>
          <w:rFonts w:ascii="標楷體" w:eastAsia="標楷體" w:hAnsi="標楷體"/>
          <w:color w:val="000000"/>
        </w:rPr>
        <w:t xml:space="preserve"> Ⅰ.至少三個連續PSA測量值，且各測量值皆≧0.2 ng/mL（最高的PSA值必須&gt;1.0ng/ml）。</w:t>
      </w:r>
    </w:p>
    <w:p w:rsidR="00140897" w:rsidRDefault="00140897" w:rsidP="00140897">
      <w:pPr>
        <w:spacing w:line="400" w:lineRule="exact"/>
        <w:ind w:left="1373" w:hanging="454"/>
        <w:rPr>
          <w:rFonts w:ascii="標楷體" w:eastAsia="標楷體" w:hAnsi="標楷體"/>
          <w:color w:val="000000"/>
        </w:rPr>
      </w:pPr>
      <w:r>
        <w:rPr>
          <w:rFonts w:ascii="標楷體" w:eastAsia="標楷體" w:hAnsi="標楷體"/>
          <w:color w:val="000000"/>
        </w:rPr>
        <w:t xml:space="preserve"> Ⅱ.應包含先前ADT治療期間的測量值，且最少一測量值為最近3個月內測得之PSA數值。</w:t>
      </w:r>
    </w:p>
    <w:p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Ⅲ.第一個和最後一個PSA測量值間隔需≧8週，但≦12個月。</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(5)每3個月需再次申請，申請之療程以3個月為限。再次申請時，有 PSA progression 者，需檢附影像學報告，若影像學報告證實轉移，則需停藥;無PSA progression 者，則每6個月需檢附影像學報告，若影像學報告證實轉移，則需停藥。（112/9/1）</w:t>
      </w:r>
    </w:p>
    <w:p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註：</w:t>
      </w:r>
    </w:p>
    <w:p w:rsidR="00140897" w:rsidRDefault="00140897" w:rsidP="00140897">
      <w:pPr>
        <w:spacing w:line="400" w:lineRule="exact"/>
        <w:ind w:left="806"/>
        <w:rPr>
          <w:rFonts w:ascii="標楷體" w:eastAsia="標楷體" w:hAnsi="標楷體"/>
          <w:color w:val="000000"/>
        </w:rPr>
      </w:pPr>
      <w:r>
        <w:rPr>
          <w:rFonts w:ascii="標楷體" w:eastAsia="標楷體" w:hAnsi="標楷體"/>
          <w:color w:val="000000"/>
        </w:rPr>
        <w:t>PSA progression 定義為:PSA下降 達最低值(nadir)後，出現 PSA 值上升較 nadir≧25%，且PSA≧2 ng/mL，並於至少3週後，再次抽血 確認PSA值有上升趨</w:t>
      </w:r>
      <w:r>
        <w:rPr>
          <w:rFonts w:ascii="標楷體" w:eastAsia="標楷體" w:hAnsi="標楷體"/>
          <w:color w:val="000000"/>
        </w:rPr>
        <w:lastRenderedPageBreak/>
        <w:t>勢。</w:t>
      </w:r>
    </w:p>
    <w:p w:rsidR="00B96EA0" w:rsidRDefault="00140897" w:rsidP="00140897">
      <w:pPr>
        <w:spacing w:line="400" w:lineRule="exact"/>
        <w:ind w:left="811" w:hanging="245"/>
      </w:pPr>
      <w:r>
        <w:rPr>
          <w:rFonts w:ascii="標楷體" w:eastAsia="標楷體" w:hAnsi="標楷體"/>
          <w:color w:val="000000"/>
        </w:rPr>
        <w:t>3.</w:t>
      </w:r>
      <w:r>
        <w:t xml:space="preserve"> </w:t>
      </w:r>
      <w:r>
        <w:rPr>
          <w:rFonts w:ascii="標楷體" w:eastAsia="標楷體" w:hAnsi="標楷體"/>
          <w:color w:val="000000"/>
        </w:rPr>
        <w:t>不論病人處於轉移或非轉移的狀態下，新型荷爾蒙藥品(abiraterone、apalutamide、darolutamide和enzalutamide) ，及olaparib 與 abiraterone併用，終生僅給付一種治療，且除非出現嚴重不耐受反應導致必須永久停止治療，不得互換。(112/9/1、114/6/1)</w:t>
      </w:r>
      <w:bookmarkEnd w:id="38"/>
    </w:p>
    <w:bookmarkEnd w:id="39"/>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9.95.Larotrectinib (如Vitrakvi)：(111/3/1、111/6/1、112/12/1、113/6/1)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適用於有NTRK基因融合的實體腫瘤成人和兒童病人，並應符合以下條件：(112/12/1)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(1)具NTRK基因融合且無已知的後天阻抗性突變(acquired resistance mutation)。</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(2)為轉移性實體腫瘤，或手術切除極可能造成嚴重病症(severe morbidity)。</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(3)沒有合適的替代治療選項(包含免疫檢查點抑制劑)。</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2.前述1.之兒童(未滿18 歲)病人，除了嬰兒纖維肉瘤可作為(含)一線以上使用外，其餘適應症須為曾接受一線治療後無效或復發的病人。（112/12/1)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3.前述1.之成人(≧18歲)病人，包括之適應症有:（112/12/1)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(1)非小細胞肺癌:</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I.不適合接受化學治療之晚期非小細胞肺癌成人患者，非鱗狀癌者需為EGFR/ALK/ROS-1 腫瘤基因原生型、鱗狀癌者需為EGFR/ALK 腫瘤基因原生型。</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Ⅱ.先前已使用過platinum 類化學治療失敗後，又有疾病惡化，且EGFR/ALK 腫瘤基因為原生型之晚期鱗狀非小細胞肺癌患者。</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Ⅲ.先前已使用過platinum 類及docetaxel /paclitaxel 類二線(含)以上化學治療均失敗，又有疾病惡化，且EGFR/ALK/ROS-1 腫瘤基因為原生型之晚期非小細胞肺腺癌患者。</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Ⅳ.先前曾接受過至少一線anti-EGFR TKI 治療失敗，且因NTRK 基因融合對anti-EGFR TKI 產生抗性之局部侵犯性或轉移性之EGFR 突變非小細胞肺癌患者。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(2)大腸直腸癌:先前已使用過FOLFIRI（folinic acid/5- fluorouracil/irinotecan）或FOLFOX（folinic acid/5- fluorouracil/oxaliplatin）治療失敗，又有疾病惡化之轉移性直腸結腸癌患者。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(3)黑色素瘤:先前曾接受過至少一次全身性治療失敗，又有疾病惡化，且BRAF腫瘤基因為原生型之無法手術切除或轉移的第三期或第四期黑色素瘤患者。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(4)胰臟癌:先前曾接受過至少一次全身性治療失敗，又有疾病惡化，無法手術切除或轉移性胰臟癌患者。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(5)甲狀腺癌:用於放射性碘治療無效之局部晚期或轉移性的進行性 (progressive)</w:t>
      </w:r>
      <w:r>
        <w:rPr>
          <w:rFonts w:ascii="標楷體" w:eastAsia="標楷體" w:hAnsi="標楷體"/>
          <w:color w:val="000000"/>
        </w:rPr>
        <w:lastRenderedPageBreak/>
        <w:t>甲狀腺癌。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(6)惡性神經膠質瘤或退行性星狀細胞瘤:先前曾接受過標準放射線治療以及化學藥物治療失敗之高度惡性神經膠質瘤(WHO 第4級)或退行性星狀細胞瘤(WHO 第3-4 級)。</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(7)肝內膽管癌:先前曾接受過至少一次全身性治療失敗，又有疾病惡化，無法手術切除或晚期或復發之膽道癌(含肝內膽管)病患。</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(8)軟組織肉瘤:用於治療先前曾接受化療失敗的晚期軟組織肉瘤(STS)患者。其病情若能接受手術治療者，須先經手術治療。</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(9)胃腸道基質瘤:先前曾接受過至少一次全身性治療失敗，又有疾病惡化，無法手術切除或轉移的惡性胃腸道基質瘤。</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(10)唾液腺腫瘤:無法手術切除或轉移的唾液腺腫瘤。</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(11)骨癌:無法手術切除或轉移的骨癌。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(12)闌尾癌:先前曾接受過至少一次全身性治療失敗，又有疾病惡化，無法手術切除或轉移的闌尾癌。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(13)分泌型乳腺癌:先前曾接受過前導性、術後輔助性或轉移性化學治療的轉移性分泌型乳腺癌。</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4.需經事前審查核准後使用：(111/3/1、111/6/1、113/6/1)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(1)每次申請之療程以12週為限。</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(2)初次申請時需檢附NTRK基因融合檢測報告。NTRK 1/2/3檢測需符合全民健康保險藥品給付規定之通則十二。(111/6/1、113/6/1)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(3)再次申請時需檢附療效評估資料證實無疾病進展，才可繼續使用。</w:t>
      </w:r>
    </w:p>
    <w:p w:rsidR="00B96EA0" w:rsidRDefault="007D66B8" w:rsidP="005142EB">
      <w:pPr>
        <w:spacing w:line="400" w:lineRule="exact"/>
        <w:ind w:left="567" w:hanging="245"/>
        <w:rPr>
          <w:rFonts w:ascii="標楷體" w:eastAsia="標楷體" w:hAnsi="標楷體"/>
          <w:color w:val="000000"/>
        </w:rPr>
      </w:pPr>
      <w:bookmarkStart w:id="40" w:name="_Hlk101789957"/>
      <w:r>
        <w:rPr>
          <w:rFonts w:ascii="標楷體" w:eastAsia="標楷體" w:hAnsi="標楷體"/>
          <w:color w:val="000000"/>
        </w:rPr>
        <w:t>9.96.Decitabine：(111/5/1)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1.骨髓增生不良症候群高危險性病患：頑固性貧血併有過量芽細胞（RA with excess blasts, RAEB）、轉變中的頑固性貧血併有過量芽細胞（RAEB in transformation, RAEB-T）、及慢性骨髓單核細胞性白血病（chronic myelomonocytic leukemia, CMMoL）。</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2.初次申請時需經事前審查核准後使用。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3.續用本藥品不需再事前審查，惟病歷應留存確診之病理或影像診斷證明等報告，並記錄治療相關臨床資料。病患倘病情惡化至急性骨髓性白血病即應停藥。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4.急性骨髓性白血病之定義：骨髓芽細胞（myeloblast）大於30%。</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5.本藥品與azacitidine僅能擇一使用，除因耐受性不良，不得互換。使用本藥品無效後，不得再申請azacitidine。</w:t>
      </w:r>
      <w:bookmarkEnd w:id="40"/>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9.97.Avapritinib (如Ayvakit)：(111/6/1、113/6/1)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1.治療具有血小板衍生生長因子α受體(PDGFRA)D842V突變之無法切除或轉移性腸胃道間質瘤的成年病人。</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2.需經事前審查核准後使用，初次申請時需檢附血小板衍生生長因子α受體</w:t>
      </w:r>
      <w:r>
        <w:rPr>
          <w:rFonts w:ascii="標楷體" w:eastAsia="標楷體" w:hAnsi="標楷體"/>
          <w:color w:val="000000"/>
        </w:rPr>
        <w:lastRenderedPageBreak/>
        <w:t>(PDGFRA)D842V突變檢測報告，且需符合全民健康保險藥品給付規定之通則十二。(111/6/1、113/6/1)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3.每次申請事前審查之療程以6個月為限，再次申請必須提出客觀證據(如：影像學)證實無惡化，才可繼續使用。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4.每日至多處方100mg 2粒或300mg 1粒。</w:t>
      </w:r>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9.98.Pemigatinib (如Pemazyre)：(112/5/1、113/6/1)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1.適用於成人接受過全身性藥物治療、腫瘤具有FGFR2融合或重排、不可手術切除的局部晚期或轉移性肝內膽管癌。</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2.需經事前審查核准後使用，初次申請需檢附腫瘤組織具有FGFR2基因融合或重排之基因變異檢測報告，且需符合全民健康保險藥品給付規定之通則十二。(113/6/1)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3.核准後每12週需再次申請，再次申請時需檢附療效評估資料證實無疾病惡化，才可繼續使用。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4.每日限處方1粒。</w:t>
      </w:r>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9.99.Gilteritinib(如Xospata)：(112/6/1、113/6/1)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1.限單獨使用於具有FLT3突變的復發性或難治性急性骨髓性白血病(R/R AML)且計畫進行造血幹細胞移植的成年病人，限移植前使用，每位病人限給付6療程。病患須至少接受過一次 含anthracycline藥物的化學治療。</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2.須事前審查核准後使用，初次申請時須檢附：</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(1)相關病歷資料。</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(2)完整之造血幹細胞移植計畫，並詳細記載確認捐贈者名單及移植前調適治療等資料。需由具訓練血液及骨髓移植醫師能力之醫院申請，並由完成血液及骨髓移植訓練之醫師確認移植計畫。</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(3)染色體檢驗報告，若為unfavorable karyotype(包含complex karyotype、-5、-5q、 -7、-7q、除t(9;11)外的11q23 abnormalities、inv(3)、(3;3)、t(6;9)以及t(9;22)等) 則不予給付。</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(4)檢附之FLT3突變檢測結果報告，需符合全民健康保險藥品給付規定之通則十二。(113/6/1)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3.每次申請為二個療程；續申請次二個療程時須檢附達到PR、CRi 或CR的證明方可續用。申請劑量以每日120mg為上限。</w:t>
      </w:r>
    </w:p>
    <w:p w:rsidR="007155BC" w:rsidRDefault="007155BC" w:rsidP="007155BC">
      <w:pPr>
        <w:spacing w:line="400" w:lineRule="exact"/>
        <w:ind w:left="610" w:hanging="245"/>
        <w:rPr>
          <w:rFonts w:ascii="標楷體" w:eastAsia="標楷體" w:hAnsi="標楷體"/>
          <w:color w:val="000000"/>
        </w:rPr>
      </w:pPr>
      <w:bookmarkStart w:id="41" w:name="_Hlk209191918"/>
      <w:r>
        <w:rPr>
          <w:rFonts w:ascii="標楷體" w:eastAsia="標楷體" w:hAnsi="標楷體"/>
          <w:color w:val="000000"/>
        </w:rPr>
        <w:t>9.100.Acalabrutinib(如Calquence)：(112/7/1、112/12/1</w:t>
      </w:r>
      <w:r>
        <w:rPr>
          <w:rFonts w:ascii="標楷體" w:eastAsia="標楷體" w:hAnsi="標楷體" w:hint="eastAsia"/>
          <w:color w:val="000000"/>
        </w:rPr>
        <w:t>、114/10/1</w:t>
      </w:r>
      <w:r>
        <w:rPr>
          <w:rFonts w:ascii="標楷體" w:eastAsia="標楷體" w:hAnsi="標楷體"/>
          <w:color w:val="000000"/>
        </w:rPr>
        <w:t>)</w:t>
      </w:r>
    </w:p>
    <w:p w:rsidR="007155BC" w:rsidRDefault="007155BC" w:rsidP="007155BC">
      <w:pPr>
        <w:spacing w:line="400" w:lineRule="exact"/>
        <w:ind w:left="850" w:hanging="245"/>
        <w:rPr>
          <w:rFonts w:ascii="標楷體" w:eastAsia="標楷體" w:hAnsi="標楷體"/>
          <w:color w:val="000000"/>
        </w:rPr>
      </w:pPr>
      <w:r>
        <w:rPr>
          <w:rFonts w:ascii="標楷體" w:eastAsia="標楷體" w:hAnsi="標楷體"/>
          <w:color w:val="000000"/>
        </w:rPr>
        <w:t>1.單獨使用於先前接受過至少一種化學或標靶治療方式無效或復發的被套細胞淋巴瘤成年病人。</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t>需經事前審查核准後使用。首次申請事前審查之療程以4個月為限，之後每3個月需再次申請，再次申請時應檢附前次治療結果評估資料，如影像學檢查報告。</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t>若疾病進展，則必須停止使用。</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lastRenderedPageBreak/>
        <w:t>每位病人限給付20個月。</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t>每日至多處方2粒。</w:t>
      </w:r>
    </w:p>
    <w:p w:rsidR="007155BC" w:rsidRPr="005C0189"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rPr>
        <w:t>zanubrutinib、i</w:t>
      </w:r>
      <w:r w:rsidRPr="005C0189">
        <w:rPr>
          <w:rFonts w:ascii="標楷體" w:eastAsia="標楷體" w:hAnsi="標楷體"/>
          <w:color w:val="000000"/>
        </w:rPr>
        <w:t>brutinib及acalabrutinib僅能擇一使用，唯有在出現無法忍受其副作用時方可互換。三者使用總療程合併計算，以全部20個月為上限。(112/12/1)</w:t>
      </w:r>
    </w:p>
    <w:p w:rsidR="007155BC" w:rsidRDefault="007155BC" w:rsidP="007155BC">
      <w:pPr>
        <w:spacing w:line="400" w:lineRule="exact"/>
        <w:ind w:left="850" w:hanging="245"/>
        <w:rPr>
          <w:rFonts w:ascii="標楷體" w:eastAsia="標楷體" w:hAnsi="標楷體"/>
          <w:color w:val="000000"/>
        </w:rPr>
      </w:pPr>
      <w:r>
        <w:rPr>
          <w:rFonts w:ascii="標楷體" w:eastAsia="標楷體" w:hAnsi="標楷體"/>
          <w:color w:val="000000"/>
        </w:rPr>
        <w:t>2.單獨使用於慢性淋巴球性白血病(CLL)成年</w:t>
      </w:r>
      <w:r>
        <w:rPr>
          <w:rFonts w:ascii="標楷體" w:eastAsia="標楷體" w:hAnsi="標楷體" w:hint="eastAsia"/>
          <w:color w:val="000000"/>
        </w:rPr>
        <w:t>病人</w:t>
      </w:r>
      <w:r>
        <w:rPr>
          <w:rFonts w:ascii="標楷體" w:eastAsia="標楷體" w:hAnsi="標楷體"/>
          <w:color w:val="000000"/>
        </w:rPr>
        <w:t>。</w:t>
      </w:r>
      <w:r w:rsidRPr="005C0189">
        <w:rPr>
          <w:rFonts w:ascii="標楷體" w:eastAsia="標楷體" w:hAnsi="標楷體" w:hint="eastAsia"/>
          <w:color w:val="000000"/>
        </w:rPr>
        <w:t>(112/7/1、112/12/1、114/10/1)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ECOG 分數須≦2。</w:t>
      </w:r>
      <w:r w:rsidR="00086754" w:rsidRPr="005C0189">
        <w:rPr>
          <w:rFonts w:ascii="標楷體" w:eastAsia="標楷體" w:hAnsi="標楷體" w:hint="eastAsia"/>
          <w:color w:val="000000"/>
        </w:rPr>
        <w:t>(114/10/1)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需符合下列任一情況：</w:t>
      </w:r>
    </w:p>
    <w:p w:rsidR="007155BC" w:rsidRPr="005C0189" w:rsidRDefault="007155BC" w:rsidP="00167FEB">
      <w:pPr>
        <w:pStyle w:val="a9"/>
        <w:numPr>
          <w:ilvl w:val="0"/>
          <w:numId w:val="28"/>
        </w:numPr>
        <w:spacing w:line="400" w:lineRule="exact"/>
        <w:rPr>
          <w:rFonts w:ascii="標楷體" w:eastAsia="標楷體" w:hAnsi="標楷體"/>
          <w:color w:val="000000"/>
        </w:rPr>
      </w:pPr>
      <w:r w:rsidRPr="006915F1">
        <w:rPr>
          <w:rFonts w:ascii="標楷體" w:eastAsia="標楷體" w:hAnsi="標楷體" w:cs="BiauKai" w:hint="eastAsia"/>
          <w:kern w:val="2"/>
        </w:rPr>
        <w:t>具有17p缺失</w:t>
      </w:r>
      <w:r>
        <w:rPr>
          <w:rFonts w:ascii="標楷體" w:eastAsia="標楷體" w:hAnsi="標楷體" w:cs="BiauKai" w:hint="eastAsia"/>
          <w:kern w:val="2"/>
        </w:rPr>
        <w:t>。</w:t>
      </w:r>
    </w:p>
    <w:p w:rsidR="007155BC" w:rsidRDefault="007155BC" w:rsidP="00167FEB">
      <w:pPr>
        <w:pStyle w:val="a9"/>
        <w:numPr>
          <w:ilvl w:val="0"/>
          <w:numId w:val="28"/>
        </w:numPr>
        <w:spacing w:line="400" w:lineRule="exact"/>
        <w:rPr>
          <w:rFonts w:ascii="標楷體" w:eastAsia="標楷體" w:hAnsi="標楷體"/>
          <w:color w:val="000000"/>
        </w:rPr>
      </w:pPr>
      <w:r w:rsidRPr="005C0189">
        <w:rPr>
          <w:rFonts w:ascii="標楷體" w:eastAsia="標楷體" w:hAnsi="標楷體" w:hint="eastAsia"/>
          <w:color w:val="000000"/>
        </w:rPr>
        <w:t>非IGHV突變且曾接受至少1種包括alkylating agent與anti-CD20(如R-CVP、RCHOP、rituximab加bendamustine等)的治療2個療程以上仍惡化或復發者</w:t>
      </w:r>
      <w:r>
        <w:rPr>
          <w:rFonts w:ascii="標楷體" w:eastAsia="標楷體" w:hAnsi="標楷體" w:hint="eastAsia"/>
          <w:color w:val="000000"/>
        </w:rPr>
        <w:t>。</w:t>
      </w:r>
      <w:r w:rsidR="00086754" w:rsidRPr="005C0189">
        <w:rPr>
          <w:rFonts w:ascii="標楷體" w:eastAsia="標楷體" w:hAnsi="標楷體" w:hint="eastAsia"/>
          <w:color w:val="000000"/>
        </w:rPr>
        <w:t>(114/10/1)</w:t>
      </w:r>
    </w:p>
    <w:p w:rsidR="007155BC" w:rsidRDefault="007155BC" w:rsidP="00167FEB">
      <w:pPr>
        <w:pStyle w:val="a9"/>
        <w:numPr>
          <w:ilvl w:val="0"/>
          <w:numId w:val="28"/>
        </w:numPr>
        <w:spacing w:line="400" w:lineRule="exact"/>
        <w:rPr>
          <w:rFonts w:ascii="標楷體" w:eastAsia="標楷體" w:hAnsi="標楷體"/>
          <w:color w:val="000000"/>
        </w:rPr>
      </w:pPr>
      <w:r w:rsidRPr="006915F1">
        <w:rPr>
          <w:rFonts w:ascii="標楷體" w:eastAsia="標楷體" w:hAnsi="標楷體" w:cs="BiauKai" w:hint="eastAsia"/>
          <w:kern w:val="2"/>
        </w:rPr>
        <w:t>CLL病人需先前曾接受至少2線治療(排除僅有口服藥物之療程)，治療中須包括alkylating agent與anti-CD20(如R-CVP、RCHOP、rituximab加bendamustine等)的治療，每線治療至少2個療程以上後，仍惡化或復發者</w:t>
      </w:r>
      <w:r>
        <w:rPr>
          <w:rFonts w:ascii="標楷體" w:eastAsia="標楷體" w:hAnsi="標楷體" w:cs="BiauKai" w:hint="eastAsia"/>
          <w:kern w:val="2"/>
        </w:rPr>
        <w:t>。</w:t>
      </w:r>
      <w:r w:rsidR="00086754" w:rsidRPr="005C0189">
        <w:rPr>
          <w:rFonts w:ascii="標楷體" w:eastAsia="標楷體" w:hAnsi="標楷體" w:hint="eastAsia"/>
          <w:color w:val="000000"/>
        </w:rPr>
        <w:t>(114/10/1)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開始使用前之疾病狀態需出現下列任一情形：</w:t>
      </w:r>
    </w:p>
    <w:p w:rsidR="007155BC" w:rsidRPr="005C0189" w:rsidRDefault="007155BC" w:rsidP="00167FEB">
      <w:pPr>
        <w:pStyle w:val="a9"/>
        <w:numPr>
          <w:ilvl w:val="0"/>
          <w:numId w:val="29"/>
        </w:numPr>
        <w:spacing w:line="400" w:lineRule="exact"/>
        <w:rPr>
          <w:rFonts w:ascii="標楷體" w:eastAsia="標楷體" w:hAnsi="標楷體"/>
          <w:color w:val="000000"/>
        </w:rPr>
      </w:pPr>
      <w:r w:rsidRPr="006915F1">
        <w:rPr>
          <w:rFonts w:ascii="標楷體" w:eastAsia="標楷體" w:hAnsi="標楷體" w:cs="BiauKai" w:hint="eastAsia"/>
          <w:kern w:val="2"/>
        </w:rPr>
        <w:t>進行性的血液相惡化至Hb &lt; 10.0 gm/dL或PLT &lt; 100 K/uL，且無其他原因可以解釋</w:t>
      </w:r>
      <w:r>
        <w:rPr>
          <w:rFonts w:ascii="標楷體" w:eastAsia="標楷體" w:hAnsi="標楷體" w:cs="BiauKai" w:hint="eastAsia"/>
          <w:kern w:val="2"/>
        </w:rPr>
        <w:t>。</w:t>
      </w:r>
    </w:p>
    <w:p w:rsidR="007155BC" w:rsidRPr="005C0189" w:rsidRDefault="007155BC" w:rsidP="00167FEB">
      <w:pPr>
        <w:pStyle w:val="a9"/>
        <w:numPr>
          <w:ilvl w:val="0"/>
          <w:numId w:val="29"/>
        </w:numPr>
        <w:spacing w:line="400" w:lineRule="exact"/>
        <w:rPr>
          <w:rFonts w:ascii="標楷體" w:eastAsia="標楷體" w:hAnsi="標楷體"/>
          <w:color w:val="000000"/>
        </w:rPr>
      </w:pPr>
      <w:r w:rsidRPr="006915F1">
        <w:rPr>
          <w:rFonts w:ascii="標楷體" w:eastAsia="標楷體" w:hAnsi="標楷體" w:cs="BiauKai" w:hint="eastAsia"/>
          <w:kern w:val="2"/>
        </w:rPr>
        <w:t>脾臟腫大超過左肋骨下緣</w:t>
      </w:r>
      <w:r w:rsidRPr="006915F1">
        <w:rPr>
          <w:rFonts w:ascii="標楷體" w:eastAsia="標楷體" w:hAnsi="標楷體" w:cs="BiauKai"/>
          <w:kern w:val="2"/>
        </w:rPr>
        <w:t>6cm</w:t>
      </w:r>
      <w:r>
        <w:rPr>
          <w:rFonts w:ascii="標楷體" w:eastAsia="標楷體" w:hAnsi="標楷體" w:cs="BiauKai" w:hint="eastAsia"/>
          <w:kern w:val="2"/>
        </w:rPr>
        <w:t>。</w:t>
      </w:r>
    </w:p>
    <w:p w:rsidR="007155BC"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淋巴結腫大，最長徑超過</w:t>
      </w:r>
      <w:r w:rsidRPr="006915F1">
        <w:rPr>
          <w:rFonts w:ascii="標楷體" w:eastAsia="標楷體" w:hAnsi="標楷體" w:cs="BiauKai"/>
          <w:kern w:val="2"/>
        </w:rPr>
        <w:t>10cm</w:t>
      </w:r>
      <w:r>
        <w:rPr>
          <w:rFonts w:ascii="標楷體" w:eastAsia="標楷體" w:hAnsi="標楷體" w:cs="BiauKai" w:hint="eastAsia"/>
          <w:kern w:val="2"/>
        </w:rPr>
        <w:t>。</w:t>
      </w:r>
    </w:p>
    <w:p w:rsidR="007155BC"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周邊血液淋巴球在2個月內增加50%以上，或倍增時間(doubling time)小於6個月</w:t>
      </w:r>
      <w:r>
        <w:rPr>
          <w:rFonts w:ascii="標楷體" w:eastAsia="標楷體" w:hAnsi="標楷體" w:cs="BiauKai" w:hint="eastAsia"/>
          <w:kern w:val="2"/>
        </w:rPr>
        <w:t>。</w:t>
      </w:r>
    </w:p>
    <w:p w:rsidR="007155BC"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出現自體免疫併發症，且經類固醇治療無效。</w:t>
      </w:r>
    </w:p>
    <w:p w:rsidR="007155BC" w:rsidRPr="005C0189"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出現具症狀的淋巴結外病灶</w:t>
      </w:r>
      <w:r>
        <w:rPr>
          <w:rFonts w:ascii="標楷體" w:eastAsia="標楷體" w:hAnsi="標楷體" w:cs="BiauKai" w:hint="eastAsia"/>
          <w:kern w:val="2"/>
        </w:rPr>
        <w:t>。</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需經事前審查核准後使用，每3個月需再次申請。再次申請時需檢附療效評估資料，若未達iwCLL (International Workshop on CLL)最新定義之partial remission或complete remission，則不予給付。</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在具有17缺失病人，acalabrutinib、ibrutinib、venetoclax與zanubrutinib四者僅能擇一使用，唯有在出現無法忍受其副作用時方可互換。四者使用總療程合併計算，以全部24個月為上限。</w:t>
      </w:r>
      <w:r w:rsidR="00086754" w:rsidRPr="005C0189">
        <w:rPr>
          <w:rFonts w:ascii="標楷體" w:eastAsia="標楷體" w:hAnsi="標楷體" w:hint="eastAsia"/>
          <w:color w:val="000000"/>
        </w:rPr>
        <w:t>(</w:t>
      </w:r>
      <w:r w:rsidR="00086754">
        <w:rPr>
          <w:rFonts w:ascii="標楷體" w:eastAsia="標楷體" w:hAnsi="標楷體" w:hint="eastAsia"/>
          <w:color w:val="000000"/>
        </w:rPr>
        <w:t>112/7/1、</w:t>
      </w:r>
      <w:r w:rsidR="00086754" w:rsidRPr="005C0189">
        <w:rPr>
          <w:rFonts w:ascii="標楷體" w:eastAsia="標楷體" w:hAnsi="標楷體" w:hint="eastAsia"/>
          <w:color w:val="000000"/>
        </w:rPr>
        <w:t>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在非IGHV突變二線以上病人及CLL三線以上病人，acalabrutinib與zanubrutinib二者僅能擇一使用，唯有在出現無法忍受其副作用時方可互換。二者使用總療程合併計算，以全部24個月為上限。</w:t>
      </w:r>
      <w:r w:rsidR="00086754" w:rsidRPr="005C0189">
        <w:rPr>
          <w:rFonts w:ascii="標楷體" w:eastAsia="標楷體" w:hAnsi="標楷體" w:hint="eastAsia"/>
          <w:color w:val="000000"/>
        </w:rPr>
        <w:t>(114/10/1)</w:t>
      </w:r>
    </w:p>
    <w:p w:rsidR="00B96EA0" w:rsidRPr="00471506"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每日至多處方</w:t>
      </w:r>
      <w:r>
        <w:rPr>
          <w:rFonts w:ascii="標楷體" w:eastAsia="標楷體" w:hAnsi="標楷體" w:hint="eastAsia"/>
          <w:color w:val="000000"/>
        </w:rPr>
        <w:t>2</w:t>
      </w:r>
      <w:r w:rsidRPr="005C0189">
        <w:rPr>
          <w:rFonts w:ascii="標楷體" w:eastAsia="標楷體" w:hAnsi="標楷體" w:hint="eastAsia"/>
          <w:color w:val="000000"/>
        </w:rPr>
        <w:t>粒。</w:t>
      </w:r>
      <w:bookmarkEnd w:id="41"/>
    </w:p>
    <w:p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9.101.Tepotinib (如Tepmetko):(112/7/1、113/6/1)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lastRenderedPageBreak/>
        <w:t>1.適用於治療轉移性非小細胞肺癌的成人病人，其腫瘤帶有導致間質上皮轉化因子外顯子14 跳讀式突變(MET exon 14 skipping mutation)。</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 xml:space="preserve">2.須經事前審查核准後使用: </w:t>
      </w:r>
    </w:p>
    <w:p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(1)初次申請時需檢具確實患有非小細胞肺癌之病理或細胞檢查報告,以及符合診斷之間質上皮轉化因子外顯子14跳讀式突變(MET exon 14 skipping mutation)檢測報告，且需符合全民健康保險藥品給付規定之通則十二。</w:t>
      </w:r>
    </w:p>
    <w:p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(2)每次申請事前審查之療程以3個月為限，每3個月需再次申請，再次申請時並需附上治療後相關臨床資料，若病情惡化即不得再次申請。</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3.使用本品無效後則不再給付該適應症相關之免疫檢查點PD-1、PD-L1抑制劑。</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4.每日最多處方2粒。</w:t>
      </w:r>
    </w:p>
    <w:p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9.102.Dinutuximab beta (如Qarziba)：(112/8/1)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1.限用於年齡12個月以上的初診斷高危險神經母細胞瘤病人之初次使用GD2免疫治療；且在接受自體幹細胞移植前至少達到部分緩解，在自體幹細胞移植後，可申請以1次治療所需的5個療程為限。</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2.限移植後12個月內開始使用。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3.自初診斷至使用本品前，出現復發、新轉移或疾病惡化者，不得申請給付。</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4.經事前審查核准後使用。</w:t>
      </w:r>
    </w:p>
    <w:p w:rsidR="006E56D0" w:rsidRPr="006E56D0" w:rsidRDefault="006E56D0" w:rsidP="006E56D0">
      <w:pPr>
        <w:spacing w:line="400" w:lineRule="exact"/>
        <w:ind w:left="992" w:hanging="706"/>
        <w:rPr>
          <w:rFonts w:ascii="標楷體" w:eastAsia="標楷體" w:hAnsi="標楷體"/>
          <w:color w:val="000000"/>
        </w:rPr>
      </w:pPr>
      <w:bookmarkStart w:id="42" w:name="_Hlk204092642"/>
      <w:r w:rsidRPr="006E56D0">
        <w:rPr>
          <w:rFonts w:ascii="標楷體" w:eastAsia="標楷體" w:hAnsi="標楷體"/>
          <w:color w:val="000000"/>
        </w:rPr>
        <w:t>9.103.Tisagenlecleucel(如Kymriah)：(112/11/1、113/2/1</w:t>
      </w:r>
      <w:r w:rsidRPr="006E56D0">
        <w:rPr>
          <w:rFonts w:ascii="標楷體" w:eastAsia="標楷體" w:hAnsi="標楷體" w:hint="eastAsia"/>
          <w:color w:val="000000"/>
        </w:rPr>
        <w:t>、114/8/1</w:t>
      </w:r>
      <w:r w:rsidRPr="006E56D0">
        <w:rPr>
          <w:rFonts w:ascii="標楷體" w:eastAsia="標楷體" w:hAnsi="標楷體"/>
          <w:color w:val="000000"/>
        </w:rPr>
        <w:t>)</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1.治療患有難治型、移植後復發、第二次或二次以上復發之B細胞急性淋巴性白血病（ALL），且需符合以下條件: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(1)年齡25歲以下。</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為經過二線標準治療(包括TPOG protocol、GRAALL、Hyper-CVAD等或是造血幹細胞移植後)之復發型B細胞急性淋巴性白血病，或是需經過2位具有血液及造血幹細胞移植訓練之專科醫師確認無法進行造血幹細胞移植之難治型B細胞急性淋巴性白血病。(112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(3)若病人已接受過異體造血幹細胞移植後復發，則不論病人疾病狀態處於完全緩解、部分緩解或疾病惡化均可接受本藥品治療。(114/8/1)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(4)病人預期壽命至少3個月以上，且完全符合以下條件: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ECOG &lt; 2 (需有3次以上之醫療紀錄)。</w:t>
      </w:r>
    </w:p>
    <w:p w:rsidR="006E56D0" w:rsidRPr="006E56D0" w:rsidRDefault="006E56D0" w:rsidP="006E56D0">
      <w:pPr>
        <w:spacing w:line="400" w:lineRule="exact"/>
        <w:ind w:left="1418" w:hanging="341"/>
      </w:pPr>
      <w:r w:rsidRPr="006E56D0">
        <w:rPr>
          <w:rFonts w:ascii="標楷體" w:eastAsia="標楷體" w:hAnsi="標楷體" w:hint="eastAsia"/>
          <w:color w:val="000000"/>
        </w:rPr>
        <w:t>Ⅱ.</w:t>
      </w:r>
      <w:r w:rsidRPr="006E56D0">
        <w:rPr>
          <w:rFonts w:ascii="標楷體" w:eastAsia="標楷體" w:hAnsi="標楷體"/>
          <w:color w:val="000000"/>
        </w:rPr>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rsidR="006E56D0" w:rsidRPr="006E56D0" w:rsidRDefault="006E56D0" w:rsidP="006E56D0">
      <w:pPr>
        <w:spacing w:line="400" w:lineRule="exact"/>
        <w:ind w:left="1441" w:hanging="420"/>
      </w:pPr>
      <w:r w:rsidRPr="006E56D0">
        <w:rPr>
          <w:rFonts w:ascii="標楷體" w:eastAsia="標楷體" w:hAnsi="標楷體" w:hint="eastAsia"/>
          <w:color w:val="000000"/>
        </w:rPr>
        <w:t>Ⅲ</w:t>
      </w:r>
      <w:r w:rsidRPr="006E56D0">
        <w:rPr>
          <w:rFonts w:ascii="標楷體" w:eastAsia="標楷體" w:hAnsi="標楷體"/>
          <w:color w:val="000000"/>
        </w:rPr>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&lt;2.5mg；Gilbert-Meulengracht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心臟功能: 左心室射出率 &gt; 50%，沒有心包膜積液，且過去一年無任何重大心臟疾病。</w:t>
      </w:r>
    </w:p>
    <w:p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lastRenderedPageBreak/>
        <w:t>Ⅴ.</w:t>
      </w:r>
      <w:r w:rsidRPr="006E56D0">
        <w:rPr>
          <w:rFonts w:ascii="標楷體" w:eastAsia="標楷體" w:hAnsi="標楷體"/>
          <w:color w:val="000000"/>
        </w:rPr>
        <w:t>肺功能:血氧 &gt; 92% on room air (需有兩次以上的醫療紀錄)。</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2.</w:t>
      </w:r>
      <w:r w:rsidRPr="006E56D0">
        <w:rPr>
          <w:rFonts w:ascii="標楷體" w:eastAsia="標楷體" w:hAnsi="標楷體" w:hint="eastAsia"/>
          <w:color w:val="000000"/>
        </w:rPr>
        <w:t>治療經二線或二線以上全身治療後之復發性或難治性瀰漫性大B細胞淋巴瘤（DLBCL）的成人病人。且需符合以下條件:(112/11/1、114/8/1)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w:t>
      </w:r>
      <w:r w:rsidRPr="006E56D0">
        <w:rPr>
          <w:rFonts w:ascii="標楷體" w:eastAsia="標楷體" w:hAnsi="標楷體" w:hint="eastAsia"/>
          <w:color w:val="000000"/>
        </w:rPr>
        <w:t>經自體造血幹細胞移植後疾病復發或惡化（不論其後續治療處於完全緩解、部分緩解或疾病惡化）。</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(2)或需經過具有骨髓移植訓練的骨髓移植專科醫師確認無法進行造血幹細胞移植者，無法進行造血幹細胞移植之定義，符合以下五個條件之一：(112/11/1、114/8/1)</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Ⅰ.年齡75歲以上。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Ⅱ.年齡70歲以上且HCT-CI分數在1分或以上。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Ⅲ.年齡65歲以上且HCT-CI分數在2分或以上。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Ⅳ.HCT-CI分數在4分或以上。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Ⅴ.經收集自體造血幹細胞2次後仍無法收集超過2*106 CD34+細胞/公斤。</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(3)病人預期壽命至少3個月以上，且符合以下條件:</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ab/>
        <w:t>ECOG&lt;2 (需有3次以上之醫療紀錄)。</w:t>
      </w:r>
    </w:p>
    <w:p w:rsidR="006E56D0" w:rsidRPr="006E56D0" w:rsidRDefault="006E56D0" w:rsidP="006E56D0">
      <w:pPr>
        <w:spacing w:line="400" w:lineRule="exact"/>
        <w:ind w:left="1843" w:hanging="422"/>
      </w:pPr>
      <w:r w:rsidRPr="006E56D0">
        <w:rPr>
          <w:rFonts w:ascii="標楷體" w:eastAsia="標楷體" w:hAnsi="標楷體" w:hint="eastAsia"/>
          <w:color w:val="000000"/>
        </w:rPr>
        <w:t>Ⅱ</w:t>
      </w:r>
      <w:r w:rsidRPr="006E56D0">
        <w:rPr>
          <w:rFonts w:ascii="標楷體" w:eastAsia="標楷體" w:hAnsi="標楷體"/>
          <w:color w:val="000000"/>
        </w:rPr>
        <w:tab/>
        <w:t xml:space="preserve">Extranodal site </w:t>
      </w:r>
      <w:r w:rsidRPr="006E56D0">
        <w:rPr>
          <w:rFonts w:ascii="Times New Roman" w:eastAsia="標楷體" w:hAnsi="Times New Roman"/>
          <w:color w:val="000000"/>
        </w:rPr>
        <w:t>≤</w:t>
      </w:r>
      <w:r w:rsidRPr="006E56D0">
        <w:rPr>
          <w:rFonts w:ascii="標楷體" w:eastAsia="標楷體" w:hAnsi="標楷體"/>
          <w:color w:val="000000"/>
        </w:rPr>
        <w:t xml:space="preserve"> 3 (需有 PET或 CT 的影像報告)。</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Ⅲ.</w:t>
      </w:r>
      <w:r w:rsidRPr="006E56D0">
        <w:rPr>
          <w:rFonts w:ascii="標楷體" w:eastAsia="標楷體" w:hAnsi="標楷體"/>
          <w:color w:val="000000"/>
        </w:rPr>
        <w:tab/>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w:t>
      </w:r>
      <w:r w:rsidRPr="006E56D0">
        <w:rPr>
          <w:rFonts w:ascii="標楷體" w:eastAsia="標楷體" w:hAnsi="標楷體"/>
          <w:color w:val="000000"/>
        </w:rPr>
        <w:tab/>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&lt;2.5mg；Gilbert-Meulengracht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ab/>
        <w:t>心臟功能: 左心室射出率 &gt; 50%且過去一年無任何重大心臟疾病(包含但不限於不穩定心絞痛、心肌梗塞、冠狀動脈繞道手術、中風) 。</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Ⅵ</w:t>
      </w:r>
      <w:r w:rsidRPr="006E56D0">
        <w:rPr>
          <w:rFonts w:ascii="標楷體" w:eastAsia="標楷體" w:hAnsi="標楷體"/>
          <w:color w:val="000000"/>
        </w:rPr>
        <w:t>.</w:t>
      </w:r>
      <w:r w:rsidRPr="006E56D0">
        <w:rPr>
          <w:rFonts w:ascii="標楷體" w:eastAsia="標楷體" w:hAnsi="標楷體"/>
          <w:color w:val="000000"/>
        </w:rPr>
        <w:tab/>
        <w:t>肺功能:血氧 &gt; 92% on room air (需有兩次以上的醫療紀錄)。</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Ⅶ</w:t>
      </w:r>
      <w:r w:rsidRPr="006E56D0">
        <w:rPr>
          <w:rFonts w:ascii="標楷體" w:eastAsia="標楷體" w:hAnsi="標楷體"/>
          <w:color w:val="000000"/>
        </w:rPr>
        <w:t>.</w:t>
      </w:r>
      <w:r w:rsidRPr="006E56D0">
        <w:rPr>
          <w:rFonts w:ascii="標楷體" w:eastAsia="標楷體" w:hAnsi="標楷體"/>
          <w:color w:val="000000"/>
        </w:rPr>
        <w:tab/>
        <w:t>淋巴球收集時，患者須符合全血細胞計數標準: ANC≧1000/uL、ALC≧100/uL、Hb≧8.0 g/dL; Plt≧50000/uL。</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Ⅷ</w:t>
      </w:r>
      <w:r w:rsidRPr="006E56D0">
        <w:rPr>
          <w:rFonts w:ascii="標楷體" w:eastAsia="標楷體" w:hAnsi="標楷體"/>
          <w:color w:val="000000"/>
        </w:rPr>
        <w:t>.於治療前兩年任何無自體免疫疾病。</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Ⅸ</w:t>
      </w:r>
      <w:r w:rsidRPr="006E56D0">
        <w:rPr>
          <w:rFonts w:ascii="標楷體" w:eastAsia="標楷體" w:hAnsi="標楷體"/>
          <w:color w:val="000000"/>
        </w:rPr>
        <w:t>.</w:t>
      </w:r>
      <w:r w:rsidRPr="006E56D0">
        <w:rPr>
          <w:rFonts w:ascii="標楷體" w:eastAsia="標楷體" w:hAnsi="標楷體"/>
          <w:color w:val="000000"/>
        </w:rPr>
        <w:tab/>
        <w:t>無DLBCL之外的併發惡性腫瘤，但充分治療的基底細胞癌或鱗狀細胞癌不在此限（申請時需要充分的傷口癒合）；若為子宮頸或乳腺癌原位癌，在申請前至少 3 年經過治愈性治療且無復發證據；原發惡性腫瘤已完全切除且申請時須處於完全緩解5年以上。</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3.前述1、2項均須符合下列條件：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(1)需證實癌細胞仍帶有CD19。</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(2)終身限給付1次療程，須於特殊專案審查通過後6個月內完成輸注。</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(3)病人不得有HIV感染，曾經感染但已控制之病人亦不得接受。</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(4)病人不得有active hepatitis B virus or hepatitis C virus 感染(評估和</w:t>
      </w:r>
      <w:r w:rsidRPr="006E56D0">
        <w:rPr>
          <w:rFonts w:ascii="標楷體" w:eastAsia="標楷體" w:hAnsi="標楷體"/>
          <w:color w:val="000000"/>
        </w:rPr>
        <w:lastRenderedPageBreak/>
        <w:t>輸注 CAR-T時需為viral load undetectable)。</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(5)病人不得有原發性中樞神經系統淋巴瘤(Primary CNS 1ymphoma)。</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(6)病人不得有活躍的次發性中樞神經系統淋巴癌侵犯。</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(7)追蹤方式：依保險人公布要求之檢驗項目與頻率執行。</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(8)應提供本藥品治療申請日2個月內腦部MRI報告，無法進行腦部MRI檢查者，應提供1個月內腦脊髓液檢查報告與CT檢查報告並需照會神經科醫師，證明無淋巴瘤中樞神經侵犯。(114/8/1)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(9)併用藥品規範：不得併用化療藥(淋巴清除化療除外)、免疫抑制劑或標靶藥物。(112/11/1、114/8/1)</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4.執行醫師須完全符合下列資格：</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(1)醫師必須為血液病和造血幹細胞移植專科醫師且須完成血液病和造血幹細胞移植的相關照護訓練。</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每兩年接受至少6小時中華民國血液及骨髓移植學會或中華民國血液病學會舉辦之CAR-T教育訓練。(112/11/1、114/8/1)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(3)由保險人每年委託相關學會定期稽核醫師資格。</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5.執行醫院須完全符合下列條件：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(1)須為血液病和造血幹細胞移植專科醫師的訓練醫院。</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(2)每年平均須進行20例以上造血幹細胞移植，以過去3年平均為準，並每年進行確認。</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(3)須建立 CAR-T多專科團隊，包含醫師、護理師、藥師、醫檢師、細胞蒐集專門技術人員，經團隊討論後同意治療，並須於事前審查時，檢附會議紀錄。</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w:t>
      </w:r>
      <w:r w:rsidRPr="006E56D0">
        <w:rPr>
          <w:rFonts w:ascii="標楷體" w:eastAsia="標楷體" w:hAnsi="標楷體" w:hint="eastAsia"/>
          <w:color w:val="000000"/>
        </w:rPr>
        <w:t>CAR-T多專科團隊成員，包括醫師、護理師、藥師、醫檢師、細胞蒐集專門技術人員各至少一人，須每兩年接受至少6小時中華民國血液及骨髓移植學會或中華民國血液病學會舉辦之CAR-T教育訓練。(112/11/1、114/8/1)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w:t>
      </w:r>
      <w:r w:rsidRPr="006E56D0">
        <w:rPr>
          <w:rFonts w:ascii="標楷體" w:eastAsia="標楷體" w:hAnsi="標楷體" w:hint="eastAsia"/>
          <w:color w:val="000000"/>
        </w:rPr>
        <w:t>醫院藥局至少需庫存10支靜脈注射tocilizumab。(112/11/1、114/8/1)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(6)細胞蒐集和處理實驗室須於2029年1月1日前取得相關國際認證(AABB或FACT-JACIE)。</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(7)由保險人每年委託相關學會定期稽核醫院符合前述條件。</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6.須經專家小組特殊專案審查核准後使用，並須檢附下列文件：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(1)CAR-T多科團隊會議紀錄。</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(2)符合前述第4、5項之醫院條件及醫師資格之相關文件。</w:t>
      </w:r>
    </w:p>
    <w:p w:rsid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(3)經臨床醫師確認無法接受造血幹細胞移植者，須檢附相關文件。</w:t>
      </w:r>
      <w:bookmarkEnd w:id="42"/>
    </w:p>
    <w:p w:rsidR="000838F4" w:rsidRPr="005363DB" w:rsidRDefault="000838F4" w:rsidP="000838F4">
      <w:pPr>
        <w:suppressAutoHyphens w:val="0"/>
        <w:autoSpaceDN/>
        <w:spacing w:line="400" w:lineRule="exact"/>
        <w:ind w:left="566" w:hangingChars="236" w:hanging="566"/>
        <w:textAlignment w:val="auto"/>
        <w:rPr>
          <w:rFonts w:ascii="標楷體" w:eastAsia="標楷體" w:hAnsi="標楷體" w:cstheme="minorBidi"/>
          <w:kern w:val="2"/>
          <w:szCs w:val="24"/>
          <w:u w:val="single"/>
        </w:rPr>
      </w:pPr>
      <w:bookmarkStart w:id="43" w:name="_Hlk204090064"/>
      <w:bookmarkStart w:id="44" w:name="_Hlk209191978"/>
      <w:r w:rsidRPr="005363DB">
        <w:rPr>
          <w:rFonts w:ascii="標楷體" w:eastAsia="標楷體" w:hAnsi="標楷體" w:cstheme="minorBidi" w:hint="eastAsia"/>
          <w:kern w:val="2"/>
          <w:szCs w:val="24"/>
        </w:rPr>
        <w:t>9.104.</w:t>
      </w:r>
      <w:bookmarkEnd w:id="43"/>
      <w:r w:rsidRPr="00DF1029">
        <w:rPr>
          <w:rFonts w:ascii="標楷體" w:eastAsia="標楷體" w:hAnsi="標楷體" w:cstheme="minorBidi" w:hint="eastAsia"/>
          <w:kern w:val="2"/>
          <w:szCs w:val="24"/>
        </w:rPr>
        <w:t xml:space="preserve"> </w:t>
      </w:r>
      <w:r w:rsidRPr="005363DB">
        <w:rPr>
          <w:rFonts w:ascii="標楷體" w:eastAsia="標楷體" w:hAnsi="標楷體" w:cstheme="minorBidi" w:hint="eastAsia"/>
          <w:kern w:val="2"/>
          <w:szCs w:val="24"/>
        </w:rPr>
        <w:t>Zanubrutinib(如Brukinsa)：(112/12/1、</w:t>
      </w:r>
      <w:r w:rsidRPr="005363DB">
        <w:rPr>
          <w:rFonts w:ascii="標楷體" w:eastAsia="標楷體" w:hAnsi="標楷體" w:hint="eastAsia"/>
          <w:kern w:val="2"/>
          <w:szCs w:val="24"/>
        </w:rPr>
        <w:t>114/8/1</w:t>
      </w:r>
      <w:r>
        <w:rPr>
          <w:rFonts w:ascii="標楷體" w:eastAsia="標楷體" w:hAnsi="標楷體" w:hint="eastAsia"/>
          <w:kern w:val="2"/>
          <w:szCs w:val="24"/>
        </w:rPr>
        <w:t>、114/10/1</w:t>
      </w:r>
      <w:r w:rsidRPr="005363DB">
        <w:rPr>
          <w:rFonts w:ascii="標楷體" w:eastAsia="標楷體" w:hAnsi="標楷體" w:cstheme="minorBidi" w:hint="eastAsia"/>
          <w:kern w:val="2"/>
          <w:szCs w:val="24"/>
        </w:rPr>
        <w:t>)</w:t>
      </w:r>
    </w:p>
    <w:p w:rsidR="000838F4" w:rsidRPr="005363DB" w:rsidRDefault="000838F4" w:rsidP="00167FEB">
      <w:pPr>
        <w:numPr>
          <w:ilvl w:val="0"/>
          <w:numId w:val="30"/>
        </w:numPr>
        <w:suppressAutoHyphens w:val="0"/>
        <w:autoSpaceDN/>
        <w:spacing w:line="400" w:lineRule="exact"/>
        <w:ind w:left="567" w:hanging="283"/>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單獨使用於先前接受過至少一種化學或標靶治療方式無效或復發的被套細胞淋巴瘤成年病人。(112/12/1、</w:t>
      </w:r>
      <w:r w:rsidRPr="005363DB">
        <w:rPr>
          <w:rFonts w:ascii="標楷體" w:eastAsia="標楷體" w:hAnsi="標楷體" w:hint="eastAsia"/>
          <w:kern w:val="2"/>
          <w:szCs w:val="24"/>
        </w:rPr>
        <w:t>114/8/1</w:t>
      </w:r>
      <w:r>
        <w:rPr>
          <w:rFonts w:ascii="標楷體" w:eastAsia="標楷體" w:hAnsi="標楷體" w:hint="eastAsia"/>
          <w:kern w:val="2"/>
          <w:szCs w:val="24"/>
        </w:rPr>
        <w:t>、114/10/1</w:t>
      </w:r>
      <w:r w:rsidRPr="005363DB">
        <w:rPr>
          <w:rFonts w:ascii="標楷體" w:eastAsia="標楷體" w:hAnsi="標楷體" w:cstheme="minorBidi" w:hint="eastAsia"/>
          <w:kern w:val="2"/>
          <w:szCs w:val="24"/>
        </w:rPr>
        <w:t>)</w:t>
      </w:r>
    </w:p>
    <w:p w:rsidR="000838F4" w:rsidRPr="005363DB"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需經事前審查核准後使用(事審代碼：C83N2)。首次申請事前審查之療程以4個月</w:t>
      </w:r>
      <w:r w:rsidRPr="005363DB">
        <w:rPr>
          <w:rFonts w:ascii="標楷體" w:eastAsia="標楷體" w:hAnsi="標楷體" w:cstheme="minorBidi" w:hint="eastAsia"/>
          <w:kern w:val="2"/>
          <w:szCs w:val="24"/>
        </w:rPr>
        <w:lastRenderedPageBreak/>
        <w:t>為限，之後每3個月需再次申請，再次申請時應檢附前次治療結果評估資料，如影像學檢查報告。</w:t>
      </w:r>
      <w:r w:rsidRPr="005363DB">
        <w:rPr>
          <w:rFonts w:ascii="標楷體" w:eastAsia="標楷體" w:hAnsi="標楷體" w:cs="BiauKai" w:hint="eastAsia"/>
          <w:kern w:val="2"/>
          <w:szCs w:val="24"/>
        </w:rPr>
        <w:t>(</w:t>
      </w:r>
      <w:r w:rsidRPr="005363DB">
        <w:rPr>
          <w:rFonts w:ascii="標楷體" w:eastAsia="標楷體" w:hAnsi="標楷體" w:cstheme="minorBidi" w:hint="eastAsia"/>
          <w:kern w:val="2"/>
          <w:szCs w:val="24"/>
        </w:rPr>
        <w:t>114/8/1</w:t>
      </w:r>
      <w:r w:rsidRPr="005363DB">
        <w:rPr>
          <w:rFonts w:ascii="標楷體" w:eastAsia="標楷體" w:hAnsi="標楷體" w:cs="BiauKai" w:hint="eastAsia"/>
          <w:kern w:val="2"/>
          <w:szCs w:val="24"/>
        </w:rPr>
        <w:t>)</w:t>
      </w:r>
    </w:p>
    <w:p w:rsidR="000838F4" w:rsidRPr="00170338"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若疾病進展，則必須停止使用。</w:t>
      </w:r>
    </w:p>
    <w:p w:rsidR="000838F4" w:rsidRPr="005363DB"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每日至多處方4粒。</w:t>
      </w:r>
    </w:p>
    <w:p w:rsidR="000838F4" w:rsidRPr="005363DB"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Pr>
          <w:rFonts w:ascii="標楷體" w:eastAsia="標楷體" w:hAnsi="標楷體" w:cstheme="minorBidi" w:hint="eastAsia"/>
          <w:kern w:val="2"/>
          <w:szCs w:val="24"/>
        </w:rPr>
        <w:t>Z</w:t>
      </w:r>
      <w:r w:rsidRPr="005363DB">
        <w:rPr>
          <w:rFonts w:ascii="標楷體" w:eastAsia="標楷體" w:hAnsi="標楷體" w:cstheme="minorBidi" w:hint="eastAsia"/>
          <w:kern w:val="2"/>
          <w:szCs w:val="24"/>
        </w:rPr>
        <w:t>anubrutinib、ibrutinib及acalabrutinib僅能擇一使用，</w:t>
      </w:r>
      <w:r>
        <w:rPr>
          <w:rFonts w:ascii="標楷體" w:eastAsia="標楷體" w:hAnsi="標楷體" w:cstheme="minorBidi" w:hint="eastAsia"/>
          <w:kern w:val="2"/>
          <w:szCs w:val="24"/>
        </w:rPr>
        <w:t>使用z</w:t>
      </w:r>
      <w:r>
        <w:rPr>
          <w:rFonts w:ascii="標楷體" w:eastAsia="標楷體" w:hAnsi="標楷體" w:cstheme="minorBidi"/>
          <w:kern w:val="2"/>
          <w:szCs w:val="24"/>
        </w:rPr>
        <w:t>anubrutinib</w:t>
      </w:r>
      <w:r>
        <w:rPr>
          <w:rFonts w:ascii="標楷體" w:eastAsia="標楷體" w:hAnsi="標楷體" w:cstheme="minorBidi" w:hint="eastAsia"/>
          <w:kern w:val="2"/>
          <w:szCs w:val="24"/>
        </w:rPr>
        <w:t>者無疾病惡化，可繼續使用，唯出現無法忍受其副作用時，與i</w:t>
      </w:r>
      <w:r>
        <w:rPr>
          <w:rFonts w:ascii="標楷體" w:eastAsia="標楷體" w:hAnsi="標楷體" w:cstheme="minorBidi"/>
          <w:kern w:val="2"/>
          <w:szCs w:val="24"/>
        </w:rPr>
        <w:t>brutinib</w:t>
      </w:r>
      <w:r>
        <w:rPr>
          <w:rFonts w:ascii="標楷體" w:eastAsia="標楷體" w:hAnsi="標楷體" w:cstheme="minorBidi" w:hint="eastAsia"/>
          <w:kern w:val="2"/>
          <w:szCs w:val="24"/>
        </w:rPr>
        <w:t>及a</w:t>
      </w:r>
      <w:r>
        <w:rPr>
          <w:rFonts w:ascii="標楷體" w:eastAsia="標楷體" w:hAnsi="標楷體" w:cstheme="minorBidi"/>
          <w:kern w:val="2"/>
          <w:szCs w:val="24"/>
        </w:rPr>
        <w:t>calabrutinib</w:t>
      </w:r>
      <w:r>
        <w:rPr>
          <w:rFonts w:ascii="標楷體" w:eastAsia="標楷體" w:hAnsi="標楷體" w:cstheme="minorBidi" w:hint="eastAsia"/>
          <w:kern w:val="2"/>
          <w:szCs w:val="24"/>
        </w:rPr>
        <w:t>互換時限使用20個月，</w:t>
      </w:r>
      <w:r w:rsidRPr="005363DB">
        <w:rPr>
          <w:rFonts w:ascii="標楷體" w:eastAsia="標楷體" w:hAnsi="標楷體" w:cstheme="minorBidi" w:hint="eastAsia"/>
          <w:kern w:val="2"/>
          <w:szCs w:val="24"/>
        </w:rPr>
        <w:t>三者使用總療程合併計算</w:t>
      </w:r>
      <w:r>
        <w:rPr>
          <w:rFonts w:ascii="標楷體" w:eastAsia="標楷體" w:hAnsi="標楷體" w:cstheme="minorBidi" w:hint="eastAsia"/>
          <w:kern w:val="2"/>
          <w:szCs w:val="24"/>
        </w:rPr>
        <w:t>。</w:t>
      </w:r>
      <w:r w:rsidRPr="005363DB">
        <w:rPr>
          <w:rFonts w:ascii="標楷體" w:eastAsia="標楷體" w:hAnsi="標楷體" w:cstheme="minorBidi" w:hint="eastAsia"/>
          <w:kern w:val="2"/>
          <w:szCs w:val="24"/>
        </w:rPr>
        <w:t>(112/12/1、</w:t>
      </w:r>
      <w:r w:rsidRPr="005363DB">
        <w:rPr>
          <w:rFonts w:ascii="標楷體" w:eastAsia="標楷體" w:hAnsi="標楷體" w:hint="eastAsia"/>
          <w:kern w:val="2"/>
          <w:szCs w:val="24"/>
        </w:rPr>
        <w:t>114/</w:t>
      </w:r>
      <w:r>
        <w:rPr>
          <w:rFonts w:ascii="標楷體" w:eastAsia="標楷體" w:hAnsi="標楷體"/>
          <w:kern w:val="2"/>
          <w:szCs w:val="24"/>
        </w:rPr>
        <w:t>10</w:t>
      </w:r>
      <w:r w:rsidRPr="005363DB">
        <w:rPr>
          <w:rFonts w:ascii="標楷體" w:eastAsia="標楷體" w:hAnsi="標楷體" w:hint="eastAsia"/>
          <w:kern w:val="2"/>
          <w:szCs w:val="24"/>
        </w:rPr>
        <w:t>/1</w:t>
      </w:r>
      <w:r w:rsidRPr="005363DB">
        <w:rPr>
          <w:rFonts w:ascii="標楷體" w:eastAsia="標楷體" w:hAnsi="標楷體" w:cstheme="minorBidi" w:hint="eastAsia"/>
          <w:kern w:val="2"/>
          <w:szCs w:val="24"/>
        </w:rPr>
        <w:t>)</w:t>
      </w:r>
    </w:p>
    <w:p w:rsidR="000838F4" w:rsidRPr="005363DB" w:rsidRDefault="000838F4" w:rsidP="00167FEB">
      <w:pPr>
        <w:numPr>
          <w:ilvl w:val="0"/>
          <w:numId w:val="30"/>
        </w:numPr>
        <w:suppressAutoHyphens w:val="0"/>
        <w:autoSpaceDN/>
        <w:spacing w:line="400" w:lineRule="exact"/>
        <w:ind w:left="567" w:hanging="283"/>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單獨使用於曾接受含一種單株抗體及一種靜脈注射之alkylating agent之chemoimmunotherapy至少4個療程以上後復發者的華氏巨球蛋白血症成年病人。(112/12/1、114/8/1)。</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病患須具下列至少3種條件：</w:t>
      </w:r>
    </w:p>
    <w:p w:rsidR="000838F4" w:rsidRPr="005363DB" w:rsidRDefault="000838F4" w:rsidP="00167FEB">
      <w:pPr>
        <w:numPr>
          <w:ilvl w:val="0"/>
          <w:numId w:val="9"/>
        </w:numPr>
        <w:suppressAutoHyphens w:val="0"/>
        <w:autoSpaceDN/>
        <w:spacing w:line="400" w:lineRule="exact"/>
        <w:ind w:left="1418" w:hanging="219"/>
        <w:textAlignment w:val="auto"/>
        <w:rPr>
          <w:rFonts w:ascii="標楷體" w:eastAsia="標楷體" w:hAnsi="標楷體" w:cs="BiauKai"/>
          <w:kern w:val="2"/>
          <w:szCs w:val="24"/>
        </w:rPr>
      </w:pPr>
      <w:r w:rsidRPr="005363DB">
        <w:rPr>
          <w:rFonts w:ascii="標楷體" w:eastAsia="標楷體" w:hAnsi="標楷體" w:cs="BiauKai" w:hint="eastAsia"/>
          <w:kern w:val="2"/>
          <w:szCs w:val="24"/>
        </w:rPr>
        <w:t>年齡＞65歲。</w:t>
      </w:r>
    </w:p>
    <w:p w:rsidR="000838F4" w:rsidRPr="005363DB" w:rsidRDefault="000838F4" w:rsidP="00167FEB">
      <w:pPr>
        <w:numPr>
          <w:ilvl w:val="0"/>
          <w:numId w:val="9"/>
        </w:numPr>
        <w:suppressAutoHyphens w:val="0"/>
        <w:autoSpaceDN/>
        <w:spacing w:line="400" w:lineRule="exact"/>
        <w:ind w:leftChars="474" w:left="1560" w:hangingChars="176" w:hanging="422"/>
        <w:textAlignment w:val="auto"/>
        <w:rPr>
          <w:rFonts w:ascii="標楷體" w:eastAsia="標楷體" w:hAnsi="標楷體" w:cs="BiauKai"/>
          <w:kern w:val="2"/>
          <w:szCs w:val="24"/>
        </w:rPr>
      </w:pPr>
      <w:r w:rsidRPr="005363DB">
        <w:rPr>
          <w:rFonts w:ascii="標楷體" w:eastAsia="標楷體" w:hAnsi="標楷體" w:cs="BiauKai" w:hint="eastAsia"/>
          <w:kern w:val="2"/>
          <w:szCs w:val="24"/>
        </w:rPr>
        <w:t>血紅素計數≦11g/dL。</w:t>
      </w:r>
    </w:p>
    <w:p w:rsidR="000838F4" w:rsidRPr="005363DB" w:rsidRDefault="000838F4" w:rsidP="00167FEB">
      <w:pPr>
        <w:numPr>
          <w:ilvl w:val="0"/>
          <w:numId w:val="9"/>
        </w:numPr>
        <w:suppressAutoHyphens w:val="0"/>
        <w:autoSpaceDN/>
        <w:spacing w:line="400" w:lineRule="exact"/>
        <w:ind w:leftChars="415" w:left="1560" w:hangingChars="235" w:hanging="564"/>
        <w:textAlignment w:val="auto"/>
        <w:rPr>
          <w:rFonts w:ascii="標楷體" w:eastAsia="標楷體" w:hAnsi="標楷體" w:cs="BiauKai"/>
          <w:kern w:val="2"/>
          <w:szCs w:val="24"/>
        </w:rPr>
      </w:pPr>
      <w:r w:rsidRPr="005363DB">
        <w:rPr>
          <w:rFonts w:ascii="標楷體" w:eastAsia="標楷體" w:hAnsi="標楷體" w:cs="BiauKai" w:hint="eastAsia"/>
          <w:kern w:val="2"/>
          <w:szCs w:val="24"/>
        </w:rPr>
        <w:t>血小板計數≦100×109/L。</w:t>
      </w:r>
    </w:p>
    <w:p w:rsidR="000838F4" w:rsidRPr="005363DB" w:rsidRDefault="000838F4" w:rsidP="00167FEB">
      <w:pPr>
        <w:numPr>
          <w:ilvl w:val="0"/>
          <w:numId w:val="9"/>
        </w:numPr>
        <w:suppressAutoHyphens w:val="0"/>
        <w:autoSpaceDN/>
        <w:spacing w:line="400" w:lineRule="exact"/>
        <w:ind w:leftChars="472" w:left="1558" w:hangingChars="177" w:hanging="425"/>
        <w:textAlignment w:val="auto"/>
        <w:rPr>
          <w:rFonts w:ascii="標楷體" w:eastAsia="標楷體" w:hAnsi="標楷體" w:cs="BiauKai"/>
          <w:kern w:val="2"/>
          <w:szCs w:val="24"/>
        </w:rPr>
      </w:pPr>
      <w:r w:rsidRPr="005363DB">
        <w:rPr>
          <w:rFonts w:ascii="標楷體" w:eastAsia="標楷體" w:hAnsi="標楷體" w:cs="BiauKai" w:hint="eastAsia"/>
          <w:kern w:val="2"/>
          <w:szCs w:val="24"/>
        </w:rPr>
        <w:t>β2-microglobulin&gt;3mg/L。</w:t>
      </w:r>
    </w:p>
    <w:p w:rsidR="000838F4" w:rsidRPr="005363DB" w:rsidRDefault="000838F4" w:rsidP="00167FEB">
      <w:pPr>
        <w:numPr>
          <w:ilvl w:val="0"/>
          <w:numId w:val="9"/>
        </w:numPr>
        <w:suppressAutoHyphens w:val="0"/>
        <w:autoSpaceDN/>
        <w:spacing w:line="400" w:lineRule="exact"/>
        <w:ind w:leftChars="531" w:left="1557" w:hangingChars="118" w:hanging="283"/>
        <w:textAlignment w:val="auto"/>
        <w:rPr>
          <w:rFonts w:ascii="標楷體" w:eastAsia="標楷體" w:hAnsi="標楷體" w:cs="BiauKai"/>
          <w:kern w:val="2"/>
          <w:szCs w:val="24"/>
        </w:rPr>
      </w:pPr>
      <w:r w:rsidRPr="005363DB">
        <w:rPr>
          <w:rFonts w:ascii="標楷體" w:eastAsia="標楷體" w:hAnsi="標楷體" w:cs="BiauKai" w:hint="eastAsia"/>
          <w:kern w:val="2"/>
          <w:szCs w:val="24"/>
        </w:rPr>
        <w:t>免疫球蛋白IgM&gt;7g/dL。</w:t>
      </w:r>
    </w:p>
    <w:p w:rsidR="000838F4" w:rsidRPr="00347CE0"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需經事前審查核准後使用(事審代碼：C88N3)。首次申請事前審查之療程以4個月為限，之後每3個月需再次申請，再次申請時應檢附前次治療結果評估資料，如影像學檢查報告。</w:t>
      </w:r>
      <w:r w:rsidRPr="00347CE0">
        <w:rPr>
          <w:rFonts w:ascii="標楷體" w:eastAsia="標楷體" w:hAnsi="標楷體" w:cstheme="minorBidi" w:hint="eastAsia"/>
          <w:kern w:val="2"/>
          <w:szCs w:val="24"/>
        </w:rPr>
        <w:t>(</w:t>
      </w:r>
      <w:r w:rsidRPr="005363DB">
        <w:rPr>
          <w:rFonts w:ascii="標楷體" w:eastAsia="標楷體" w:hAnsi="標楷體" w:cstheme="minorBidi" w:hint="eastAsia"/>
          <w:kern w:val="2"/>
          <w:szCs w:val="24"/>
        </w:rPr>
        <w:t>114/8/1)</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若疾病進展，則必須停止使用。</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每位病人限給付20個月。</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每日至多處方4粒。</w:t>
      </w:r>
    </w:p>
    <w:p w:rsidR="000838F4" w:rsidRPr="005363DB" w:rsidRDefault="000838F4" w:rsidP="00167FEB">
      <w:pPr>
        <w:numPr>
          <w:ilvl w:val="0"/>
          <w:numId w:val="30"/>
        </w:numPr>
        <w:suppressAutoHyphens w:val="0"/>
        <w:autoSpaceDN/>
        <w:spacing w:line="400" w:lineRule="exact"/>
        <w:ind w:left="567" w:hanging="283"/>
        <w:textAlignment w:val="auto"/>
        <w:rPr>
          <w:rFonts w:ascii="標楷體" w:eastAsia="標楷體" w:hAnsi="標楷體" w:cs="BiauKai"/>
          <w:kern w:val="2"/>
          <w:szCs w:val="24"/>
        </w:rPr>
      </w:pPr>
      <w:r w:rsidRPr="005363DB">
        <w:rPr>
          <w:rFonts w:ascii="標楷體" w:eastAsia="標楷體" w:hAnsi="標楷體" w:cs="BiauKai" w:hint="eastAsia"/>
          <w:kern w:val="2"/>
          <w:szCs w:val="24"/>
        </w:rPr>
        <w:t>與</w:t>
      </w:r>
      <w:r w:rsidRPr="00347CE0">
        <w:rPr>
          <w:rFonts w:ascii="標楷體" w:eastAsia="標楷體" w:hAnsi="標楷體" w:cstheme="minorBidi" w:hint="eastAsia"/>
          <w:kern w:val="2"/>
          <w:szCs w:val="24"/>
        </w:rPr>
        <w:t>obinutuzumab</w:t>
      </w:r>
      <w:r w:rsidRPr="005363DB">
        <w:rPr>
          <w:rFonts w:ascii="標楷體" w:eastAsia="標楷體" w:hAnsi="標楷體" w:cs="BiauKai" w:hint="eastAsia"/>
          <w:kern w:val="2"/>
          <w:szCs w:val="24"/>
        </w:rPr>
        <w:t>併用，治療先前曾接受至少兩線(每線至少4個療程)全身性治療無效或復發的濾泡性淋巴瘤成人病人。(</w:t>
      </w:r>
      <w:r w:rsidRPr="005363DB">
        <w:rPr>
          <w:rFonts w:ascii="標楷體" w:eastAsia="標楷體" w:hAnsi="標楷體" w:cstheme="minorBidi" w:hint="eastAsia"/>
          <w:kern w:val="2"/>
          <w:szCs w:val="24"/>
        </w:rPr>
        <w:t>114/8/1</w:t>
      </w:r>
      <w:r w:rsidRPr="005363DB">
        <w:rPr>
          <w:rFonts w:ascii="標楷體" w:eastAsia="標楷體" w:hAnsi="標楷體" w:cs="BiauKai" w:hint="eastAsia"/>
          <w:kern w:val="2"/>
          <w:szCs w:val="24"/>
        </w:rPr>
        <w:t>)</w:t>
      </w:r>
    </w:p>
    <w:p w:rsidR="000838F4" w:rsidRPr="005363DB" w:rsidRDefault="000838F4" w:rsidP="00167FEB">
      <w:pPr>
        <w:numPr>
          <w:ilvl w:val="1"/>
          <w:numId w:val="11"/>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需曾接受過至少一種anti-CD20 monoclonal antibody及一種靜脈注射型之alkylating agent治療。</w:t>
      </w:r>
    </w:p>
    <w:p w:rsidR="000838F4" w:rsidRPr="005363DB" w:rsidRDefault="000838F4" w:rsidP="00167FEB">
      <w:pPr>
        <w:numPr>
          <w:ilvl w:val="1"/>
          <w:numId w:val="11"/>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需符合WHO 淋巴瘤分類為I、II或IIIa期的診斷。</w:t>
      </w:r>
    </w:p>
    <w:p w:rsidR="000838F4" w:rsidRPr="005363DB" w:rsidRDefault="000838F4" w:rsidP="00167FEB">
      <w:pPr>
        <w:numPr>
          <w:ilvl w:val="1"/>
          <w:numId w:val="11"/>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開始使用前之疾病狀態需出現下列任一情形：</w:t>
      </w:r>
    </w:p>
    <w:p w:rsidR="000838F4" w:rsidRPr="005363DB" w:rsidRDefault="000838F4" w:rsidP="00167FEB">
      <w:pPr>
        <w:numPr>
          <w:ilvl w:val="0"/>
          <w:numId w:val="10"/>
        </w:numPr>
        <w:suppressAutoHyphens w:val="0"/>
        <w:autoSpaceDN/>
        <w:spacing w:line="400" w:lineRule="exact"/>
        <w:ind w:left="1560" w:hanging="360"/>
        <w:textAlignment w:val="auto"/>
        <w:rPr>
          <w:rFonts w:ascii="標楷體" w:eastAsia="標楷體" w:hAnsi="標楷體" w:cs="BiauKai"/>
          <w:kern w:val="2"/>
          <w:szCs w:val="24"/>
        </w:rPr>
      </w:pPr>
      <w:r w:rsidRPr="005363DB">
        <w:rPr>
          <w:rFonts w:ascii="標楷體" w:eastAsia="標楷體" w:hAnsi="標楷體" w:cs="BiauKai" w:hint="eastAsia"/>
          <w:kern w:val="2"/>
          <w:szCs w:val="24"/>
        </w:rPr>
        <w:t>有單一腫瘤直徑7公分以上者；</w:t>
      </w:r>
    </w:p>
    <w:p w:rsidR="000838F4" w:rsidRPr="005363DB" w:rsidRDefault="000838F4" w:rsidP="00167FEB">
      <w:pPr>
        <w:numPr>
          <w:ilvl w:val="0"/>
          <w:numId w:val="10"/>
        </w:numPr>
        <w:suppressAutoHyphens w:val="0"/>
        <w:autoSpaceDN/>
        <w:spacing w:line="400" w:lineRule="exact"/>
        <w:ind w:left="1560" w:hanging="502"/>
        <w:textAlignment w:val="auto"/>
        <w:rPr>
          <w:rFonts w:ascii="標楷體" w:eastAsia="標楷體" w:hAnsi="標楷體" w:cs="BiauKai"/>
          <w:kern w:val="2"/>
          <w:szCs w:val="24"/>
        </w:rPr>
      </w:pPr>
      <w:r w:rsidRPr="005363DB">
        <w:rPr>
          <w:rFonts w:ascii="標楷體" w:eastAsia="標楷體" w:hAnsi="標楷體" w:cs="BiauKai" w:hint="eastAsia"/>
          <w:kern w:val="2"/>
          <w:szCs w:val="24"/>
        </w:rPr>
        <w:t>有</w:t>
      </w:r>
      <w:r w:rsidRPr="005363DB">
        <w:rPr>
          <w:rFonts w:ascii="標楷體" w:eastAsia="標楷體" w:hAnsi="標楷體" w:cs="BiauKai" w:hint="eastAsia"/>
          <w:kern w:val="2"/>
        </w:rPr>
        <w:t>三顆以上之腫瘤其直徑大於3公分以上者</w:t>
      </w:r>
      <w:r w:rsidRPr="005363DB">
        <w:rPr>
          <w:rFonts w:ascii="標楷體" w:eastAsia="標楷體" w:hAnsi="標楷體" w:cs="BiauKai" w:hint="eastAsia"/>
          <w:kern w:val="2"/>
          <w:szCs w:val="24"/>
        </w:rPr>
        <w:t>；</w:t>
      </w:r>
    </w:p>
    <w:p w:rsidR="000838F4" w:rsidRPr="005363DB" w:rsidRDefault="000838F4" w:rsidP="00167FEB">
      <w:pPr>
        <w:numPr>
          <w:ilvl w:val="0"/>
          <w:numId w:val="10"/>
        </w:numPr>
        <w:suppressAutoHyphens w:val="0"/>
        <w:autoSpaceDN/>
        <w:spacing w:line="400" w:lineRule="exact"/>
        <w:ind w:leftChars="413" w:left="1555" w:hangingChars="235" w:hanging="564"/>
        <w:textAlignment w:val="auto"/>
        <w:rPr>
          <w:rFonts w:ascii="標楷體" w:eastAsia="標楷體" w:hAnsi="標楷體" w:cs="BiauKai"/>
          <w:kern w:val="2"/>
          <w:szCs w:val="24"/>
        </w:rPr>
      </w:pPr>
      <w:r w:rsidRPr="005363DB">
        <w:rPr>
          <w:rFonts w:ascii="標楷體" w:eastAsia="標楷體" w:hAnsi="標楷體" w:cs="BiauKai" w:hint="eastAsia"/>
          <w:kern w:val="2"/>
          <w:szCs w:val="24"/>
        </w:rPr>
        <w:t>脾臟腫大，其長度16公分以上者；</w:t>
      </w:r>
    </w:p>
    <w:p w:rsidR="000838F4" w:rsidRPr="005363DB" w:rsidRDefault="000838F4" w:rsidP="00167FEB">
      <w:pPr>
        <w:numPr>
          <w:ilvl w:val="0"/>
          <w:numId w:val="10"/>
        </w:numPr>
        <w:suppressAutoHyphens w:val="0"/>
        <w:autoSpaceDN/>
        <w:spacing w:line="400" w:lineRule="exact"/>
        <w:ind w:left="1560" w:hanging="426"/>
        <w:textAlignment w:val="auto"/>
        <w:rPr>
          <w:rFonts w:ascii="標楷體" w:eastAsia="標楷體" w:hAnsi="標楷體" w:cs="BiauKai"/>
          <w:kern w:val="2"/>
          <w:szCs w:val="24"/>
        </w:rPr>
      </w:pPr>
      <w:r w:rsidRPr="005363DB">
        <w:rPr>
          <w:rFonts w:ascii="標楷體" w:eastAsia="標楷體" w:hAnsi="標楷體" w:cs="BiauKai" w:hint="eastAsia"/>
          <w:kern w:val="2"/>
          <w:szCs w:val="24"/>
        </w:rPr>
        <w:t>對vitalorgans造成擠壓者；</w:t>
      </w:r>
    </w:p>
    <w:p w:rsidR="000838F4" w:rsidRPr="005363DB" w:rsidRDefault="000838F4" w:rsidP="00167FEB">
      <w:pPr>
        <w:numPr>
          <w:ilvl w:val="0"/>
          <w:numId w:val="10"/>
        </w:numPr>
        <w:suppressAutoHyphens w:val="0"/>
        <w:autoSpaceDN/>
        <w:spacing w:line="400" w:lineRule="exact"/>
        <w:ind w:left="1560" w:hanging="360"/>
        <w:textAlignment w:val="auto"/>
        <w:rPr>
          <w:rFonts w:ascii="標楷體" w:eastAsia="標楷體" w:hAnsi="標楷體" w:cs="BiauKai"/>
          <w:kern w:val="2"/>
          <w:szCs w:val="24"/>
        </w:rPr>
      </w:pPr>
      <w:r w:rsidRPr="005363DB">
        <w:rPr>
          <w:rFonts w:ascii="標楷體" w:eastAsia="標楷體" w:hAnsi="標楷體" w:cs="BiauKai" w:hint="eastAsia"/>
          <w:kern w:val="2"/>
          <w:szCs w:val="24"/>
        </w:rPr>
        <w:t>周邊血中出現淋巴球增生超過5000/ 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者；</w:t>
      </w:r>
    </w:p>
    <w:p w:rsidR="000838F4" w:rsidRPr="005363DB" w:rsidRDefault="000838F4" w:rsidP="00167FEB">
      <w:pPr>
        <w:numPr>
          <w:ilvl w:val="0"/>
          <w:numId w:val="10"/>
        </w:numPr>
        <w:suppressAutoHyphens w:val="0"/>
        <w:autoSpaceDN/>
        <w:spacing w:line="400" w:lineRule="exact"/>
        <w:ind w:left="1560" w:hanging="426"/>
        <w:textAlignment w:val="auto"/>
        <w:rPr>
          <w:rFonts w:ascii="標楷體" w:eastAsia="標楷體" w:hAnsi="標楷體" w:cs="BiauKai"/>
          <w:kern w:val="2"/>
          <w:szCs w:val="24"/>
        </w:rPr>
      </w:pPr>
      <w:r w:rsidRPr="005363DB">
        <w:rPr>
          <w:rFonts w:ascii="標楷體" w:eastAsia="標楷體" w:hAnsi="標楷體" w:cs="BiauKai" w:hint="eastAsia"/>
          <w:kern w:val="2"/>
          <w:szCs w:val="24"/>
        </w:rPr>
        <w:t>出現任一系列血球低下者（platelet&lt;100,000/ 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，或 Hb&lt;10gm/dL，或absolute neutrophil count&lt;1500/mm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w:t>
      </w:r>
    </w:p>
    <w:p w:rsidR="000838F4" w:rsidRPr="005363DB" w:rsidRDefault="000838F4" w:rsidP="00167FEB">
      <w:pPr>
        <w:numPr>
          <w:ilvl w:val="0"/>
          <w:numId w:val="10"/>
        </w:numPr>
        <w:suppressAutoHyphens w:val="0"/>
        <w:autoSpaceDN/>
        <w:spacing w:line="400" w:lineRule="exact"/>
        <w:ind w:left="1560" w:hanging="567"/>
        <w:textAlignment w:val="auto"/>
        <w:rPr>
          <w:rFonts w:ascii="標楷體" w:eastAsia="標楷體" w:hAnsi="標楷體" w:cs="BiauKai"/>
          <w:kern w:val="2"/>
          <w:szCs w:val="24"/>
        </w:rPr>
      </w:pPr>
      <w:r w:rsidRPr="005363DB">
        <w:rPr>
          <w:rFonts w:ascii="標楷體" w:eastAsia="標楷體" w:hAnsi="標楷體" w:cs="BiauKai" w:hint="eastAsia"/>
          <w:kern w:val="2"/>
          <w:szCs w:val="24"/>
        </w:rPr>
        <w:lastRenderedPageBreak/>
        <w:t>B symptoms。</w:t>
      </w:r>
    </w:p>
    <w:p w:rsidR="000838F4" w:rsidRDefault="000838F4" w:rsidP="00167FEB">
      <w:pPr>
        <w:numPr>
          <w:ilvl w:val="1"/>
          <w:numId w:val="11"/>
        </w:numPr>
        <w:suppressAutoHyphens w:val="0"/>
        <w:autoSpaceDN/>
        <w:spacing w:line="400" w:lineRule="exact"/>
        <w:ind w:left="1276" w:hanging="425"/>
        <w:textAlignment w:val="auto"/>
        <w:rPr>
          <w:rFonts w:ascii="標楷體" w:eastAsia="標楷體" w:hAnsi="標楷體" w:cs="BiauKai"/>
          <w:kern w:val="2"/>
          <w:szCs w:val="24"/>
        </w:rPr>
      </w:pPr>
      <w:r w:rsidRPr="005363DB">
        <w:rPr>
          <w:rFonts w:ascii="標楷體" w:eastAsia="標楷體" w:hAnsi="標楷體" w:cs="BiauKai" w:hint="eastAsia"/>
          <w:kern w:val="2"/>
          <w:szCs w:val="24"/>
        </w:rPr>
        <w:t>需經事前審查核准後使用</w:t>
      </w:r>
      <w:r w:rsidRPr="005363DB">
        <w:rPr>
          <w:rFonts w:ascii="標楷體" w:eastAsia="標楷體" w:hAnsi="標楷體" w:cstheme="minorBidi" w:hint="eastAsia"/>
          <w:kern w:val="2"/>
          <w:szCs w:val="24"/>
        </w:rPr>
        <w:t>(事審代碼：C82N</w:t>
      </w:r>
      <w:r>
        <w:rPr>
          <w:rFonts w:ascii="標楷體" w:eastAsia="標楷體" w:hAnsi="標楷體" w:cstheme="minorBidi" w:hint="eastAsia"/>
          <w:kern w:val="2"/>
          <w:szCs w:val="24"/>
        </w:rPr>
        <w:t>3</w:t>
      </w:r>
      <w:r w:rsidRPr="005363DB">
        <w:rPr>
          <w:rFonts w:ascii="標楷體" w:eastAsia="標楷體" w:hAnsi="標楷體" w:cstheme="minorBidi" w:hint="eastAsia"/>
          <w:kern w:val="2"/>
          <w:szCs w:val="24"/>
        </w:rPr>
        <w:t>)</w:t>
      </w:r>
      <w:r w:rsidRPr="005363DB">
        <w:rPr>
          <w:rFonts w:ascii="標楷體" w:eastAsia="標楷體" w:hAnsi="標楷體" w:cs="BiauKai" w:hint="eastAsia"/>
          <w:kern w:val="2"/>
          <w:szCs w:val="24"/>
        </w:rPr>
        <w:t>，每3個月需再次申請，再次申請時需檢附療效評估資料，若未達partial remission或 complete remission，則不予給付。</w:t>
      </w:r>
    </w:p>
    <w:p w:rsidR="000838F4" w:rsidRDefault="000838F4" w:rsidP="00167FEB">
      <w:pPr>
        <w:numPr>
          <w:ilvl w:val="1"/>
          <w:numId w:val="11"/>
        </w:numPr>
        <w:suppressAutoHyphens w:val="0"/>
        <w:autoSpaceDN/>
        <w:spacing w:line="400" w:lineRule="exact"/>
        <w:ind w:left="1276" w:hanging="425"/>
        <w:textAlignment w:val="auto"/>
        <w:rPr>
          <w:rFonts w:ascii="標楷體" w:eastAsia="標楷體" w:hAnsi="標楷體" w:cs="BiauKai"/>
          <w:kern w:val="2"/>
          <w:szCs w:val="24"/>
        </w:rPr>
      </w:pPr>
      <w:r w:rsidRPr="0074474A">
        <w:rPr>
          <w:rFonts w:ascii="標楷體" w:eastAsia="標楷體" w:hAnsi="標楷體" w:cs="BiauKai" w:hint="eastAsia"/>
          <w:kern w:val="2"/>
          <w:szCs w:val="24"/>
        </w:rPr>
        <w:t>總療程以全部24個月為上限。Zanubrutinib每日至多處方4粒。</w:t>
      </w:r>
    </w:p>
    <w:p w:rsidR="000838F4" w:rsidRDefault="000838F4" w:rsidP="00167FEB">
      <w:pPr>
        <w:numPr>
          <w:ilvl w:val="0"/>
          <w:numId w:val="30"/>
        </w:numPr>
        <w:suppressAutoHyphens w:val="0"/>
        <w:autoSpaceDN/>
        <w:spacing w:line="400" w:lineRule="exact"/>
        <w:ind w:left="567" w:hanging="283"/>
        <w:textAlignment w:val="auto"/>
        <w:rPr>
          <w:rFonts w:ascii="標楷體" w:eastAsia="標楷體" w:hAnsi="標楷體" w:cs="BiauKai"/>
          <w:kern w:val="2"/>
          <w:szCs w:val="24"/>
        </w:rPr>
      </w:pPr>
      <w:r w:rsidRPr="00170338">
        <w:rPr>
          <w:rFonts w:ascii="標楷體" w:eastAsia="標楷體" w:hAnsi="標楷體" w:cs="BiauKai" w:hint="eastAsia"/>
          <w:kern w:val="2"/>
          <w:szCs w:val="24"/>
        </w:rPr>
        <w:t>單獨使用於慢性淋巴球性白血病(CLL)成人病人。(114/10/1)</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170338">
        <w:rPr>
          <w:rFonts w:ascii="標楷體" w:eastAsia="標楷體" w:hAnsi="標楷體" w:cs="BiauKai" w:hint="eastAsia"/>
          <w:kern w:val="2"/>
          <w:szCs w:val="24"/>
        </w:rPr>
        <w:t>ECOG 分數須≦2。</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需符合下列任一情況：</w:t>
      </w:r>
    </w:p>
    <w:p w:rsidR="000838F4" w:rsidRDefault="000838F4" w:rsidP="00167FEB">
      <w:pPr>
        <w:pStyle w:val="a9"/>
        <w:numPr>
          <w:ilvl w:val="0"/>
          <w:numId w:val="33"/>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具有17p缺失</w:t>
      </w:r>
      <w:r>
        <w:rPr>
          <w:rFonts w:ascii="標楷體" w:eastAsia="標楷體" w:hAnsi="標楷體" w:cs="BiauKai" w:hint="eastAsia"/>
          <w:kern w:val="2"/>
        </w:rPr>
        <w:t>。</w:t>
      </w:r>
    </w:p>
    <w:p w:rsidR="000838F4" w:rsidRDefault="000838F4" w:rsidP="00167FEB">
      <w:pPr>
        <w:pStyle w:val="a9"/>
        <w:numPr>
          <w:ilvl w:val="0"/>
          <w:numId w:val="33"/>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非IGHV突變且曾接受至少1種包括alkylating agent與anti-CD20(如R-CVP、RCHOP、rituximab加bendamustine等)的治療2個療程以上仍惡化或復發者</w:t>
      </w:r>
      <w:r>
        <w:rPr>
          <w:rFonts w:ascii="標楷體" w:eastAsia="標楷體" w:hAnsi="標楷體" w:cs="BiauKai" w:hint="eastAsia"/>
          <w:kern w:val="2"/>
        </w:rPr>
        <w:t>。</w:t>
      </w:r>
    </w:p>
    <w:p w:rsidR="000838F4" w:rsidRPr="006915F1" w:rsidRDefault="000838F4" w:rsidP="00167FEB">
      <w:pPr>
        <w:pStyle w:val="a9"/>
        <w:numPr>
          <w:ilvl w:val="0"/>
          <w:numId w:val="33"/>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CLL病人需先前曾接受至少2線治療(排除僅有口服藥物之療程)，治療中須包括alkylating agent與anti-CD20(如R-CVP、RCHOP、rituximab加bendamustine等)的治療，每線治療至少2個療程以上後，仍惡化或復發者</w:t>
      </w:r>
      <w:r>
        <w:rPr>
          <w:rFonts w:ascii="標楷體" w:eastAsia="標楷體" w:hAnsi="標楷體" w:cs="BiauKai" w:hint="eastAsia"/>
          <w:kern w:val="2"/>
        </w:rPr>
        <w:t>。</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開始使用前之疾病狀態需出現下列任一情形：</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進行性的血液相惡化至Hb &lt; 10.0 gm/dL或PLT &lt; 100 K/uL，且無其他原因可以解釋</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脾臟腫大超過左肋骨下緣</w:t>
      </w:r>
      <w:r w:rsidRPr="006915F1">
        <w:rPr>
          <w:rFonts w:ascii="標楷體" w:eastAsia="標楷體" w:hAnsi="標楷體" w:cs="BiauKai"/>
          <w:kern w:val="2"/>
        </w:rPr>
        <w:t>6cm</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淋巴結腫大，最長徑超過</w:t>
      </w:r>
      <w:r w:rsidRPr="006915F1">
        <w:rPr>
          <w:rFonts w:ascii="標楷體" w:eastAsia="標楷體" w:hAnsi="標楷體" w:cs="BiauKai"/>
          <w:kern w:val="2"/>
        </w:rPr>
        <w:t>10cm</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周邊血液淋巴球在2個月內增加50%以上，或倍增時間(doubling time)小於6個月</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出現自體免疫併發症，且經類固醇治療無效。</w:t>
      </w:r>
    </w:p>
    <w:p w:rsidR="000838F4" w:rsidRPr="006915F1"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出現具症狀的淋巴結外病灶</w:t>
      </w:r>
      <w:r>
        <w:rPr>
          <w:rFonts w:ascii="標楷體" w:eastAsia="標楷體" w:hAnsi="標楷體" w:cs="BiauKai" w:hint="eastAsia"/>
          <w:kern w:val="2"/>
        </w:rPr>
        <w:t>。</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需經事前審查核准後使用(事審代碼：C91N1)，每3個月需再次申請。再次申請時需檢附療效評估資料，若未達iwCLL (International Workshop on CLL)最新定義之partial remission或complete remission，則不予給付</w:t>
      </w:r>
      <w:r>
        <w:rPr>
          <w:rFonts w:ascii="標楷體" w:eastAsia="標楷體" w:hAnsi="標楷體" w:cs="BiauKai" w:hint="eastAsia"/>
          <w:kern w:val="2"/>
          <w:szCs w:val="24"/>
        </w:rPr>
        <w:t>。</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在具有17缺失病人，acalabrutinib、ibrutinib、venetoclax與zanubrutinib四者僅能擇一使用，唯有在出現無法忍受其副作用時方可互換。四者使用總療程合併計算，以全部24個月為上限。</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在非IGHV突變二線以上病人及CLL三線以上病人，acalabrutinib與zanubrutinib二者僅能擇一使用，唯有在出現無法忍受其副作用時方可互換。二者使用總療程合併計算，以全部24個月為上限。</w:t>
      </w:r>
    </w:p>
    <w:p w:rsidR="005363DB" w:rsidRPr="0074474A"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每日至多處方4粒</w:t>
      </w:r>
      <w:r>
        <w:rPr>
          <w:rFonts w:ascii="標楷體" w:eastAsia="標楷體" w:hAnsi="標楷體" w:cs="BiauKai" w:hint="eastAsia"/>
          <w:kern w:val="2"/>
          <w:szCs w:val="24"/>
        </w:rPr>
        <w:t>。</w:t>
      </w:r>
      <w:bookmarkEnd w:id="44"/>
    </w:p>
    <w:p w:rsidR="00517C45" w:rsidRPr="00803B45" w:rsidRDefault="00517C45" w:rsidP="00517C45">
      <w:pPr>
        <w:spacing w:line="400" w:lineRule="exact"/>
        <w:ind w:left="142"/>
        <w:rPr>
          <w:rFonts w:ascii="標楷體" w:eastAsia="標楷體" w:hAnsi="標楷體"/>
          <w:szCs w:val="24"/>
        </w:rPr>
      </w:pPr>
      <w:bookmarkStart w:id="45" w:name="_Hlk204085052"/>
      <w:r w:rsidRPr="00803B45">
        <w:rPr>
          <w:rFonts w:ascii="標楷體" w:eastAsia="標楷體" w:hAnsi="標楷體"/>
          <w:szCs w:val="24"/>
        </w:rPr>
        <w:t>9.105.Polatuzumab vedotin (如Polivy)：(113/2/1</w:t>
      </w:r>
      <w:r w:rsidRPr="00803B45">
        <w:rPr>
          <w:rFonts w:ascii="標楷體" w:eastAsia="標楷體" w:hAnsi="標楷體" w:hint="eastAsia"/>
        </w:rPr>
        <w:t>、114/8/1</w:t>
      </w:r>
      <w:r w:rsidRPr="00803B45">
        <w:rPr>
          <w:rFonts w:ascii="標楷體" w:eastAsia="標楷體" w:hAnsi="標楷體"/>
          <w:szCs w:val="24"/>
        </w:rPr>
        <w:t>)</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lastRenderedPageBreak/>
        <w:t>1.限與bendamustine和rituximab併用，適用於第三線治療復發型（relapsed）或難治型（refractory）且未曾接受及不適合接受造血幹細胞移植的瀰漫性大型B細胞淋巴瘤（DLBCL）成年病人，並須完全符合下列條件：</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(1)ECOG分數≦2。</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(2)未曾接受幹細胞移植且需先經兩位曾接受血液及骨髓移植訓練並合格之醫師評估為不適合接受移植之病人並滿足下列條件之一：</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Ⅰ.年齡在65歲（含）以上，且使用過的第二線治療含鉑類藥物（cisplatin、oxaliplatin、carboplatin）後，以影像學檢查證實疾病惡化中。</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Ⅱ.年齡在65歲以下，符合HCT-CI≧3分，且使用過的第二線治療含鉑類藥物（cisplatin、oxaliplatin、carboplatin）後，以影像學檢查證實疾病惡化中。</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Ⅲ.使用過第二線治療含鉑類藥物（cisplatin、oxaliplatin、carboplatin）後，在收集造血幹細胞時，即使使用plerixafor後收集的CD34陽性原始細胞仍未達每公斤體重200萬顆細胞，且以影像學檢查證實疾病惡化中。</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一線曾接受經兩次（含）以上rituximab合併化學治療，治療4個療程以上復發或是於治療中發生疾病惡化者。(113/2/1、114/8/1)</w:t>
      </w:r>
      <w:r w:rsidRPr="00803B45">
        <w:rPr>
          <w:rFonts w:ascii="標楷體" w:eastAsia="標楷體" w:hAnsi="標楷體"/>
        </w:rPr>
        <w:t xml:space="preserve"> </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hint="eastAsia"/>
        </w:rPr>
        <w:tab/>
        <w:t>救援治療需符合以下任一條件：(114/8/1)</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w:t>
      </w:r>
      <w:r w:rsidRPr="00803B45">
        <w:rPr>
          <w:rFonts w:ascii="標楷體" w:eastAsia="標楷體" w:hAnsi="標楷體" w:hint="eastAsia"/>
        </w:rPr>
        <w:tab/>
        <w:t>治療2個療程以上復發或是於治療中發生疾病惡化者。</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II.</w:t>
      </w:r>
      <w:r w:rsidRPr="00803B45">
        <w:rPr>
          <w:rFonts w:ascii="標楷體" w:eastAsia="標楷體" w:hAnsi="標楷體" w:hint="eastAsia"/>
        </w:rPr>
        <w:tab/>
        <w:t>經造血幹細胞移植治療失敗者。</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2.需經事前審查核准後使用：</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(1)每次申請事前審查以3個療程為限，再次申請必須提出客觀證據（如：影像學）證實無惡化，若病情惡化即不得再次申請。</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(2)每位病人終生限給付6個療程。</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病人接受本藥物治療後，不給付造血幹細胞移植。(113/2/1、114/8/1)</w:t>
      </w:r>
    </w:p>
    <w:p w:rsidR="00517C45" w:rsidRPr="00517C45" w:rsidRDefault="00517C45" w:rsidP="00517C45">
      <w:pPr>
        <w:pStyle w:val="a9"/>
        <w:spacing w:line="400" w:lineRule="exact"/>
        <w:ind w:left="993"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rPr>
        <w:t>.</w:t>
      </w:r>
      <w:r w:rsidRPr="00803B45">
        <w:rPr>
          <w:rFonts w:ascii="標楷體" w:eastAsia="標楷體" w:hAnsi="標楷體" w:hint="eastAsia"/>
        </w:rPr>
        <w:t>本藥品、glofitamab及epcoritamab僅得擇一給付，治療失敗後不得互換。(114/8/1)</w:t>
      </w:r>
      <w:bookmarkEnd w:id="45"/>
    </w:p>
    <w:p w:rsidR="008B4C4B" w:rsidRPr="00204759" w:rsidRDefault="008B4C4B" w:rsidP="008B4C4B">
      <w:pPr>
        <w:spacing w:line="400" w:lineRule="exact"/>
        <w:ind w:left="30" w:hanging="30"/>
        <w:rPr>
          <w:rFonts w:ascii="標楷體" w:eastAsia="標楷體" w:hAnsi="標楷體"/>
          <w:color w:val="000000"/>
          <w:szCs w:val="24"/>
        </w:rPr>
      </w:pPr>
      <w:r w:rsidRPr="00204759">
        <w:rPr>
          <w:rFonts w:ascii="標楷體" w:eastAsia="標楷體" w:hAnsi="標楷體"/>
          <w:color w:val="000000"/>
          <w:szCs w:val="24"/>
        </w:rPr>
        <w:t>9.106.Sacituzumab govitecan (如Trodelvy）：(113/2/1、114/2/1</w:t>
      </w:r>
      <w:r w:rsidRPr="00204759">
        <w:rPr>
          <w:rFonts w:ascii="標楷體" w:eastAsia="標楷體" w:hAnsi="標楷體" w:hint="eastAsia"/>
          <w:color w:val="000000"/>
          <w:szCs w:val="24"/>
        </w:rPr>
        <w:t>、1</w:t>
      </w:r>
      <w:r w:rsidRPr="00204759">
        <w:rPr>
          <w:rFonts w:ascii="標楷體" w:eastAsia="標楷體" w:hAnsi="標楷體"/>
          <w:color w:val="000000"/>
          <w:szCs w:val="24"/>
        </w:rPr>
        <w:t>14</w:t>
      </w:r>
      <w:r w:rsidRPr="00204759">
        <w:rPr>
          <w:rFonts w:ascii="標楷體" w:eastAsia="標楷體" w:hAnsi="標楷體" w:hint="eastAsia"/>
          <w:color w:val="000000"/>
          <w:szCs w:val="24"/>
        </w:rPr>
        <w:t>/1</w:t>
      </w:r>
      <w:r w:rsidRPr="00204759">
        <w:rPr>
          <w:rFonts w:ascii="標楷體" w:eastAsia="標楷體" w:hAnsi="標楷體"/>
          <w:color w:val="000000"/>
          <w:szCs w:val="24"/>
        </w:rPr>
        <w:t>0</w:t>
      </w:r>
      <w:r w:rsidRPr="00204759">
        <w:rPr>
          <w:rFonts w:ascii="標楷體" w:eastAsia="標楷體" w:hAnsi="標楷體" w:hint="eastAsia"/>
          <w:color w:val="000000"/>
          <w:szCs w:val="24"/>
        </w:rPr>
        <w:t>/1</w:t>
      </w:r>
      <w:r w:rsidRPr="00204759">
        <w:rPr>
          <w:rFonts w:ascii="標楷體" w:eastAsia="標楷體" w:hAnsi="標楷體"/>
          <w:color w:val="000000"/>
          <w:szCs w:val="24"/>
        </w:rPr>
        <w:t>)</w:t>
      </w:r>
    </w:p>
    <w:p w:rsidR="008B4C4B" w:rsidRPr="00204759" w:rsidRDefault="008B4C4B" w:rsidP="008B4C4B">
      <w:pPr>
        <w:spacing w:line="400" w:lineRule="exact"/>
        <w:ind w:left="567" w:hanging="284"/>
        <w:rPr>
          <w:rFonts w:ascii="標楷體" w:eastAsia="標楷體" w:hAnsi="標楷體"/>
          <w:color w:val="000000"/>
          <w:szCs w:val="24"/>
        </w:rPr>
      </w:pPr>
      <w:r w:rsidRPr="00204759">
        <w:rPr>
          <w:rFonts w:ascii="標楷體" w:eastAsia="標楷體" w:hAnsi="標楷體"/>
          <w:color w:val="000000"/>
          <w:szCs w:val="24"/>
        </w:rPr>
        <w:t>1.用於治療先前已接受兩次以上全身性治療無效(其中一次需為治療晚期疾病)之無法切除的局部晚期或轉移性的三陰性乳癌成</w:t>
      </w:r>
      <w:r w:rsidRPr="00204759">
        <w:rPr>
          <w:rFonts w:ascii="標楷體" w:eastAsia="標楷體" w:hAnsi="標楷體" w:hint="eastAsia"/>
          <w:color w:val="000000"/>
          <w:szCs w:val="24"/>
        </w:rPr>
        <w:t>人</w:t>
      </w:r>
      <w:r w:rsidRPr="00204759">
        <w:rPr>
          <w:rFonts w:ascii="標楷體" w:eastAsia="標楷體" w:hAnsi="標楷體"/>
          <w:color w:val="000000"/>
          <w:szCs w:val="24"/>
        </w:rPr>
        <w:t>病人</w:t>
      </w:r>
      <w:r w:rsidRPr="00204759">
        <w:rPr>
          <w:rFonts w:ascii="標楷體" w:eastAsia="標楷體" w:hAnsi="標楷體" w:hint="eastAsia"/>
          <w:color w:val="000000"/>
          <w:szCs w:val="24"/>
        </w:rPr>
        <w:t>。</w:t>
      </w:r>
      <w:r w:rsidRPr="00204759">
        <w:rPr>
          <w:rFonts w:ascii="標楷體" w:eastAsia="標楷體" w:hAnsi="標楷體"/>
          <w:szCs w:val="24"/>
        </w:rPr>
        <w:t>(</w:t>
      </w:r>
      <w:r w:rsidRPr="00204759">
        <w:rPr>
          <w:rFonts w:ascii="標楷體" w:eastAsia="標楷體" w:hAnsi="標楷體" w:hint="eastAsia"/>
          <w:szCs w:val="24"/>
        </w:rPr>
        <w:t>113/2/1、1</w:t>
      </w:r>
      <w:r w:rsidRPr="00204759">
        <w:rPr>
          <w:rFonts w:ascii="標楷體" w:eastAsia="標楷體" w:hAnsi="標楷體"/>
          <w:szCs w:val="24"/>
        </w:rPr>
        <w:t>14/2/1)</w:t>
      </w:r>
    </w:p>
    <w:p w:rsidR="008B4C4B" w:rsidRPr="00204759" w:rsidRDefault="008B4C4B" w:rsidP="008B4C4B">
      <w:pPr>
        <w:tabs>
          <w:tab w:val="left" w:pos="739"/>
        </w:tabs>
        <w:spacing w:line="400" w:lineRule="exact"/>
        <w:ind w:leftChars="136" w:left="566" w:hangingChars="100" w:hanging="240"/>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Ⅰ.病人身體狀況良好（</w:t>
      </w:r>
      <w:r w:rsidRPr="00204759">
        <w:rPr>
          <w:rFonts w:ascii="標楷體" w:eastAsia="標楷體" w:hAnsi="標楷體"/>
          <w:szCs w:val="24"/>
        </w:rPr>
        <w:t>ECOG</w:t>
      </w:r>
      <w:r w:rsidRPr="00204759">
        <w:rPr>
          <w:rFonts w:ascii="標楷體" w:eastAsia="標楷體" w:hAnsi="標楷體" w:hint="eastAsia"/>
          <w:szCs w:val="24"/>
        </w:rPr>
        <w:t>≦</w:t>
      </w:r>
      <w:r w:rsidRPr="00204759">
        <w:rPr>
          <w:rFonts w:ascii="標楷體" w:eastAsia="標楷體" w:hAnsi="標楷體"/>
          <w:szCs w:val="24"/>
        </w:rPr>
        <w:t>1</w:t>
      </w:r>
      <w:r w:rsidRPr="00204759">
        <w:rPr>
          <w:rFonts w:ascii="標楷體" w:eastAsia="標楷體" w:hAnsi="標楷體" w:hint="eastAsia"/>
          <w:szCs w:val="24"/>
        </w:rPr>
        <w:t>）。</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Ⅱ.須使用過</w:t>
      </w:r>
      <w:r w:rsidRPr="00204759">
        <w:rPr>
          <w:rFonts w:ascii="標楷體" w:eastAsia="標楷體" w:hAnsi="標楷體"/>
          <w:szCs w:val="24"/>
        </w:rPr>
        <w:t>taxane</w:t>
      </w:r>
      <w:r w:rsidRPr="00204759">
        <w:rPr>
          <w:rFonts w:ascii="標楷體" w:eastAsia="標楷體" w:hAnsi="標楷體" w:hint="eastAsia"/>
          <w:szCs w:val="24"/>
        </w:rPr>
        <w:t>類藥物至少1個療程。</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Ⅲ.先前未接受過trastuzumab deruxtecan治療。(114/2/1)</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須經事前審查核准後使用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初次申請時需檢附ER、PR、HER2皆為陰性之檢測報告</w:t>
      </w:r>
      <w:r w:rsidRPr="00204759">
        <w:rPr>
          <w:rFonts w:ascii="標楷體" w:eastAsia="標楷體" w:hAnsi="標楷體" w:hint="eastAsia"/>
          <w:szCs w:val="24"/>
        </w:rPr>
        <w:t>。</w:t>
      </w:r>
    </w:p>
    <w:p w:rsidR="008B4C4B" w:rsidRPr="00204759" w:rsidRDefault="008B4C4B" w:rsidP="008B4C4B">
      <w:pPr>
        <w:tabs>
          <w:tab w:val="left" w:pos="739"/>
        </w:tabs>
        <w:spacing w:line="400" w:lineRule="exact"/>
        <w:ind w:leftChars="131" w:left="676" w:hangingChars="151" w:hanging="362"/>
        <w:rPr>
          <w:rFonts w:ascii="標楷體" w:eastAsia="標楷體" w:hAnsi="標楷體"/>
          <w:color w:val="000000"/>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再次申請必須提出客觀證據（如：影像學）證實無惡化，才可繼續使用。</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lastRenderedPageBreak/>
        <w:t>(4)</w:t>
      </w:r>
      <w:r w:rsidRPr="00204759">
        <w:rPr>
          <w:rFonts w:ascii="標楷體" w:eastAsia="標楷體" w:hAnsi="標楷體"/>
          <w:szCs w:val="24"/>
        </w:rPr>
        <w:t>Sacituzumab govitecan和trastuzumab deruxtecan僅能擇一給付，不得互換。(114/2/1)</w:t>
      </w:r>
      <w:r w:rsidRPr="00204759">
        <w:rPr>
          <w:rFonts w:ascii="標楷體" w:eastAsia="標楷體" w:hAnsi="標楷體" w:hint="eastAsia"/>
          <w:szCs w:val="24"/>
        </w:rPr>
        <w:t>。</w:t>
      </w:r>
    </w:p>
    <w:p w:rsidR="008B4C4B" w:rsidRPr="00204759" w:rsidRDefault="008B4C4B" w:rsidP="008B4C4B">
      <w:pPr>
        <w:spacing w:line="400" w:lineRule="exact"/>
        <w:ind w:left="567" w:hanging="284"/>
        <w:rPr>
          <w:rFonts w:ascii="標楷體" w:eastAsia="標楷體" w:hAnsi="標楷體"/>
          <w:szCs w:val="24"/>
        </w:rPr>
      </w:pPr>
      <w:r w:rsidRPr="00204759">
        <w:rPr>
          <w:rFonts w:ascii="標楷體" w:eastAsia="標楷體" w:hAnsi="標楷體" w:hint="eastAsia"/>
          <w:szCs w:val="24"/>
        </w:rPr>
        <w:t>2.</w:t>
      </w:r>
      <w:r w:rsidRPr="008B4C4B">
        <w:rPr>
          <w:rFonts w:ascii="標楷體" w:eastAsia="標楷體" w:hAnsi="標楷體" w:hint="eastAsia"/>
          <w:color w:val="000000"/>
          <w:szCs w:val="24"/>
        </w:rPr>
        <w:t>用於</w:t>
      </w:r>
      <w:r w:rsidRPr="00204759">
        <w:rPr>
          <w:rFonts w:ascii="標楷體" w:eastAsia="標楷體" w:hAnsi="標楷體"/>
          <w:szCs w:val="24"/>
        </w:rPr>
        <w:t>治療患有無法切除的局部晚期或轉移性的HR陽性</w:t>
      </w:r>
      <w:r w:rsidRPr="00204759">
        <w:rPr>
          <w:rFonts w:ascii="標楷體" w:eastAsia="標楷體" w:hAnsi="標楷體" w:hint="eastAsia"/>
          <w:szCs w:val="24"/>
        </w:rPr>
        <w:t>、</w:t>
      </w:r>
      <w:r w:rsidRPr="00204759">
        <w:rPr>
          <w:rFonts w:ascii="標楷體" w:eastAsia="標楷體" w:hAnsi="標楷體"/>
          <w:szCs w:val="24"/>
        </w:rPr>
        <w:t>HER2陰性</w:t>
      </w:r>
      <w:r w:rsidRPr="00204759">
        <w:rPr>
          <w:rFonts w:ascii="標楷體" w:eastAsia="標楷體" w:hAnsi="標楷體" w:hint="eastAsia"/>
          <w:szCs w:val="24"/>
        </w:rPr>
        <w:t>之</w:t>
      </w:r>
      <w:r w:rsidRPr="00204759">
        <w:rPr>
          <w:rFonts w:ascii="標楷體" w:eastAsia="標楷體" w:hAnsi="標楷體"/>
          <w:szCs w:val="24"/>
        </w:rPr>
        <w:t>乳癌成</w:t>
      </w:r>
      <w:r w:rsidRPr="00204759">
        <w:rPr>
          <w:rFonts w:ascii="標楷體" w:eastAsia="標楷體" w:hAnsi="標楷體" w:hint="eastAsia"/>
          <w:szCs w:val="24"/>
        </w:rPr>
        <w:t>人</w:t>
      </w:r>
      <w:r w:rsidRPr="00204759">
        <w:rPr>
          <w:rFonts w:ascii="標楷體" w:eastAsia="標楷體" w:hAnsi="標楷體"/>
          <w:szCs w:val="24"/>
        </w:rPr>
        <w:t>病人</w:t>
      </w:r>
      <w:r w:rsidRPr="00204759">
        <w:rPr>
          <w:rFonts w:ascii="標楷體" w:eastAsia="標楷體" w:hAnsi="標楷體" w:hint="eastAsia"/>
          <w:szCs w:val="24"/>
        </w:rPr>
        <w:t>。(1</w:t>
      </w:r>
      <w:r w:rsidRPr="00204759">
        <w:rPr>
          <w:rFonts w:ascii="標楷體" w:eastAsia="標楷體" w:hAnsi="標楷體"/>
          <w:szCs w:val="24"/>
        </w:rPr>
        <w:t>14</w:t>
      </w:r>
      <w:r w:rsidRPr="00204759">
        <w:rPr>
          <w:rFonts w:ascii="標楷體" w:eastAsia="標楷體" w:hAnsi="標楷體" w:hint="eastAsia"/>
          <w:szCs w:val="24"/>
        </w:rPr>
        <w:t>/1</w:t>
      </w:r>
      <w:r w:rsidRPr="00204759">
        <w:rPr>
          <w:rFonts w:ascii="標楷體" w:eastAsia="標楷體" w:hAnsi="標楷體"/>
          <w:szCs w:val="24"/>
        </w:rPr>
        <w:t>0</w:t>
      </w:r>
      <w:r w:rsidRPr="00204759">
        <w:rPr>
          <w:rFonts w:ascii="標楷體" w:eastAsia="標楷體" w:hAnsi="標楷體" w:hint="eastAsia"/>
          <w:szCs w:val="24"/>
        </w:rPr>
        <w:t>/1)</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rsidR="008B4C4B" w:rsidRPr="00204759" w:rsidRDefault="008B4C4B" w:rsidP="008B4C4B">
      <w:pPr>
        <w:spacing w:line="400" w:lineRule="exact"/>
        <w:ind w:leftChars="200" w:left="960" w:hangingChars="200" w:hanging="480"/>
        <w:rPr>
          <w:rFonts w:ascii="標楷體" w:eastAsia="標楷體" w:hAnsi="標楷體"/>
          <w:szCs w:val="24"/>
        </w:rPr>
      </w:pPr>
      <w:r w:rsidRPr="00204759">
        <w:rPr>
          <w:rFonts w:ascii="標楷體" w:eastAsia="標楷體" w:hAnsi="標楷體" w:hint="eastAsia"/>
          <w:szCs w:val="24"/>
        </w:rPr>
        <w:t>Ⅰ.須排除活動性腦轉移。</w:t>
      </w:r>
    </w:p>
    <w:p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Ⅱ.曾接受 CDK4/6 抑制劑≦12個月，並有內臟轉移。</w:t>
      </w:r>
    </w:p>
    <w:p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Ⅲ.</w:t>
      </w:r>
      <w:r w:rsidRPr="00204759">
        <w:rPr>
          <w:rFonts w:ascii="標楷體" w:eastAsia="標楷體" w:hAnsi="標楷體"/>
          <w:szCs w:val="24"/>
        </w:rPr>
        <w:t>曾接受</w:t>
      </w:r>
      <w:r w:rsidRPr="00204759">
        <w:rPr>
          <w:rFonts w:ascii="標楷體" w:eastAsia="標楷體" w:hAnsi="標楷體" w:hint="eastAsia"/>
          <w:szCs w:val="24"/>
        </w:rPr>
        <w:t>至少兩線(每線至少兩個完整療程或於第二個療程中產生疾病惡化)的</w:t>
      </w:r>
      <w:r w:rsidRPr="00204759">
        <w:rPr>
          <w:rFonts w:ascii="標楷體" w:eastAsia="標楷體" w:hAnsi="標楷體"/>
          <w:szCs w:val="24"/>
        </w:rPr>
        <w:t>轉移性乳癌化</w:t>
      </w:r>
      <w:r w:rsidRPr="00204759">
        <w:rPr>
          <w:rFonts w:ascii="標楷體" w:eastAsia="標楷體" w:hAnsi="標楷體" w:hint="eastAsia"/>
          <w:szCs w:val="24"/>
        </w:rPr>
        <w:t>學治療。</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w:t>
      </w:r>
      <w:r w:rsidRPr="008B4C4B">
        <w:rPr>
          <w:rFonts w:ascii="標楷體" w:eastAsia="標楷體" w:hAnsi="標楷體"/>
          <w:szCs w:val="24"/>
        </w:rPr>
        <w:t>審查</w:t>
      </w:r>
      <w:r w:rsidRPr="00204759">
        <w:rPr>
          <w:rFonts w:ascii="標楷體" w:eastAsia="標楷體" w:hAnsi="標楷體"/>
          <w:color w:val="000000"/>
          <w:szCs w:val="24"/>
        </w:rPr>
        <w:t>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w:t>
      </w:r>
      <w:r w:rsidRPr="00204759">
        <w:rPr>
          <w:rFonts w:ascii="標楷體" w:eastAsia="標楷體" w:hAnsi="標楷體" w:hint="eastAsia"/>
          <w:szCs w:val="24"/>
        </w:rPr>
        <w:t>H</w:t>
      </w:r>
      <w:r w:rsidRPr="00204759">
        <w:rPr>
          <w:rFonts w:ascii="標楷體" w:eastAsia="標楷體" w:hAnsi="標楷體"/>
          <w:szCs w:val="24"/>
        </w:rPr>
        <w:t>R</w:t>
      </w:r>
      <w:r w:rsidRPr="00204759">
        <w:rPr>
          <w:rFonts w:ascii="標楷體" w:eastAsia="標楷體" w:hAnsi="標楷體" w:hint="eastAsia"/>
          <w:szCs w:val="24"/>
        </w:rPr>
        <w:t>陽性</w:t>
      </w:r>
      <w:r w:rsidRPr="00204759">
        <w:rPr>
          <w:rFonts w:ascii="標楷體" w:eastAsia="標楷體" w:hAnsi="標楷體"/>
          <w:szCs w:val="24"/>
        </w:rPr>
        <w:t>、HER2陰性</w:t>
      </w:r>
      <w:r w:rsidRPr="00204759">
        <w:rPr>
          <w:rFonts w:ascii="標楷體" w:eastAsia="標楷體" w:hAnsi="標楷體" w:hint="eastAsia"/>
          <w:szCs w:val="24"/>
        </w:rPr>
        <w:t>(</w:t>
      </w:r>
      <w:r w:rsidRPr="00204759">
        <w:rPr>
          <w:rFonts w:ascii="標楷體" w:eastAsia="標楷體" w:hAnsi="標楷體"/>
          <w:szCs w:val="24"/>
        </w:rPr>
        <w:t>IHC 0、IHC 1+或 IHC 2+/ISH–</w:t>
      </w:r>
      <w:r w:rsidRPr="00204759">
        <w:rPr>
          <w:rFonts w:ascii="標楷體" w:eastAsia="標楷體" w:hAnsi="標楷體" w:hint="eastAsia"/>
          <w:szCs w:val="24"/>
        </w:rPr>
        <w:t>)</w:t>
      </w:r>
      <w:r w:rsidRPr="00204759">
        <w:rPr>
          <w:rFonts w:ascii="標楷體" w:eastAsia="標楷體" w:hAnsi="標楷體"/>
          <w:szCs w:val="24"/>
        </w:rPr>
        <w:t>之檢測報告</w:t>
      </w:r>
      <w:r w:rsidRPr="00204759">
        <w:rPr>
          <w:rFonts w:ascii="標楷體" w:eastAsia="標楷體" w:hAnsi="標楷體" w:hint="eastAsia"/>
          <w:szCs w:val="24"/>
        </w:rPr>
        <w:t>。</w:t>
      </w:r>
    </w:p>
    <w:p w:rsidR="00B96EA0" w:rsidRPr="00957AD9" w:rsidRDefault="008B4C4B" w:rsidP="00957AD9">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w:t>
      </w:r>
      <w:r w:rsidRPr="008B4C4B">
        <w:rPr>
          <w:rFonts w:ascii="標楷體" w:eastAsia="標楷體" w:hAnsi="標楷體"/>
          <w:szCs w:val="24"/>
        </w:rPr>
        <w:t>證據</w:t>
      </w:r>
      <w:r w:rsidRPr="00204759">
        <w:rPr>
          <w:rFonts w:ascii="標楷體" w:eastAsia="標楷體" w:hAnsi="標楷體"/>
          <w:color w:val="000000"/>
          <w:szCs w:val="24"/>
        </w:rPr>
        <w:t>（如：影像學）證實無惡化，才可繼續使用。</w:t>
      </w:r>
    </w:p>
    <w:p w:rsidR="00B96EA0" w:rsidRDefault="007D66B8" w:rsidP="005142EB">
      <w:pPr>
        <w:spacing w:line="400" w:lineRule="exact"/>
        <w:ind w:left="752" w:hanging="706"/>
        <w:rPr>
          <w:rFonts w:ascii="標楷體" w:eastAsia="標楷體" w:hAnsi="標楷體"/>
          <w:color w:val="000000"/>
        </w:rPr>
      </w:pPr>
      <w:r>
        <w:rPr>
          <w:rFonts w:ascii="標楷體" w:eastAsia="標楷體" w:hAnsi="標楷體"/>
          <w:color w:val="000000"/>
        </w:rPr>
        <w:t>9.107.Abemaciclib (如Verzenio)：(113/3/1、113/6/1)</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1.併用內分泌療法(tamoxifen或芳香環酶抑制劑)，作為荷爾蒙受體(HR)陽性(ER或PR&gt;30%)、第二型人類表皮生長因子受體(HER2)陰性、淋巴結陽性，高復發風險之早期乳癌成年女性病人的輔助療法，須符合下列高復發風險條件之一(113/3/1、113/6/1)：</w:t>
      </w:r>
    </w:p>
    <w:p w:rsidR="00B96EA0" w:rsidRDefault="007D66B8" w:rsidP="005142EB">
      <w:pPr>
        <w:spacing w:line="400" w:lineRule="exact"/>
        <w:ind w:left="1332" w:hanging="566"/>
      </w:pPr>
      <w:r>
        <w:rPr>
          <w:rFonts w:ascii="標楷體" w:eastAsia="標楷體" w:hAnsi="標楷體"/>
          <w:color w:val="000000"/>
        </w:rPr>
        <w:t xml:space="preserve">(1)pALN (positive axillary lymph nodes，陽性腋下淋巴結) </w:t>
      </w:r>
      <w:r>
        <w:rPr>
          <w:rFonts w:eastAsia="標楷體"/>
          <w:color w:val="000000"/>
        </w:rPr>
        <w:t>≥</w:t>
      </w:r>
      <w:r>
        <w:rPr>
          <w:rFonts w:ascii="標楷體" w:eastAsia="標楷體" w:hAnsi="標楷體"/>
          <w:color w:val="000000"/>
        </w:rPr>
        <w:t>4。</w:t>
      </w:r>
    </w:p>
    <w:p w:rsidR="00B96EA0" w:rsidRDefault="007D66B8" w:rsidP="005142EB">
      <w:pPr>
        <w:spacing w:line="400" w:lineRule="exact"/>
        <w:ind w:left="1332" w:hanging="566"/>
      </w:pPr>
      <w:r>
        <w:rPr>
          <w:rFonts w:ascii="標楷體" w:eastAsia="標楷體" w:hAnsi="標楷體"/>
          <w:color w:val="000000"/>
        </w:rPr>
        <w:t>(2)pALN (陽性腋下淋巴結)為1-3 且腫瘤大小</w:t>
      </w:r>
      <w:r>
        <w:rPr>
          <w:rFonts w:eastAsia="標楷體"/>
          <w:color w:val="000000"/>
        </w:rPr>
        <w:t>≥</w:t>
      </w:r>
      <w:r>
        <w:rPr>
          <w:rFonts w:ascii="標楷體" w:eastAsia="標楷體" w:hAnsi="標楷體"/>
          <w:color w:val="000000"/>
        </w:rPr>
        <w:t>5 cm。</w:t>
      </w:r>
    </w:p>
    <w:p w:rsidR="00B96EA0" w:rsidRDefault="007D66B8" w:rsidP="005142EB">
      <w:pPr>
        <w:spacing w:line="400" w:lineRule="exact"/>
        <w:ind w:left="1332" w:hanging="566"/>
        <w:rPr>
          <w:rFonts w:ascii="標楷體" w:eastAsia="標楷體" w:hAnsi="標楷體"/>
          <w:color w:val="000000"/>
        </w:rPr>
      </w:pPr>
      <w:r>
        <w:rPr>
          <w:rFonts w:ascii="標楷體" w:eastAsia="標楷體" w:hAnsi="標楷體"/>
          <w:color w:val="000000"/>
        </w:rPr>
        <w:t>(3)pALN (陽性腋下淋巴結)為1-3 且腫瘤細胞分化第3級。</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2.使用前，須接受標準之化學及放射輔助治療方可申請使用。使用中，若疾病惡化須停止使用且不得再使用其他CDK4/6抑制劑。</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3.使用前，僅能接受最多12週的內分泌治療，且應於手術切除後16個月內接受本品治療。</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4.須經事前審查核准後使用，每24週須再次申請並檢附療效評估資料，若疾病有惡化情形須停止使用。</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5.每日至多使用2錠，使用不得超過2年。</w:t>
      </w:r>
    </w:p>
    <w:p w:rsidR="00941523" w:rsidRPr="00276A1A" w:rsidRDefault="007D66B8" w:rsidP="00941523">
      <w:pPr>
        <w:adjustRightInd w:val="0"/>
        <w:snapToGrid w:val="0"/>
        <w:spacing w:line="400" w:lineRule="exact"/>
        <w:ind w:left="480" w:hangingChars="200" w:hanging="480"/>
        <w:rPr>
          <w:rFonts w:ascii="標楷體" w:eastAsia="標楷體" w:hAnsi="標楷體"/>
          <w:szCs w:val="24"/>
        </w:rPr>
      </w:pPr>
      <w:r>
        <w:rPr>
          <w:rFonts w:ascii="標楷體" w:eastAsia="標楷體" w:hAnsi="標楷體"/>
          <w:szCs w:val="24"/>
        </w:rPr>
        <w:t>9.108.</w:t>
      </w:r>
      <w:r w:rsidR="00941523" w:rsidRPr="00941523">
        <w:rPr>
          <w:rFonts w:ascii="標楷體" w:eastAsia="標楷體" w:hAnsi="標楷體"/>
          <w:szCs w:val="24"/>
        </w:rPr>
        <w:t xml:space="preserve"> </w:t>
      </w:r>
      <w:r w:rsidR="00941523" w:rsidRPr="00276A1A">
        <w:rPr>
          <w:rFonts w:ascii="標楷體" w:eastAsia="標楷體" w:hAnsi="標楷體"/>
          <w:szCs w:val="24"/>
        </w:rPr>
        <w:t>Isatuximab(如</w:t>
      </w:r>
      <w:bookmarkStart w:id="46" w:name="_Hlk173438635"/>
      <w:r w:rsidR="00941523" w:rsidRPr="00276A1A">
        <w:rPr>
          <w:rFonts w:ascii="標楷體" w:eastAsia="標楷體" w:hAnsi="標楷體"/>
          <w:szCs w:val="24"/>
        </w:rPr>
        <w:t>Sarclisa</w:t>
      </w:r>
      <w:bookmarkEnd w:id="46"/>
      <w:r w:rsidR="00941523" w:rsidRPr="00276A1A">
        <w:rPr>
          <w:rFonts w:ascii="標楷體" w:eastAsia="標楷體" w:hAnsi="標楷體"/>
          <w:szCs w:val="24"/>
        </w:rPr>
        <w:t>)：(113/4/1、</w:t>
      </w:r>
      <w:r w:rsidR="00941523" w:rsidRPr="00276A1A">
        <w:rPr>
          <w:rFonts w:ascii="標楷體" w:eastAsia="標楷體" w:hAnsi="標楷體" w:hint="eastAsia"/>
          <w:szCs w:val="24"/>
        </w:rPr>
        <w:t>114</w:t>
      </w:r>
      <w:r w:rsidR="00941523" w:rsidRPr="00276A1A">
        <w:rPr>
          <w:rFonts w:ascii="標楷體" w:eastAsia="標楷體" w:hAnsi="標楷體"/>
          <w:szCs w:val="24"/>
        </w:rPr>
        <w:t>/</w:t>
      </w:r>
      <w:r w:rsidR="00941523" w:rsidRPr="00276A1A">
        <w:rPr>
          <w:rFonts w:ascii="標楷體" w:eastAsia="標楷體" w:hAnsi="標楷體" w:hint="eastAsia"/>
          <w:szCs w:val="24"/>
        </w:rPr>
        <w:t>9</w:t>
      </w:r>
      <w:r w:rsidR="00941523" w:rsidRPr="00276A1A">
        <w:rPr>
          <w:rFonts w:ascii="標楷體" w:eastAsia="標楷體" w:hAnsi="標楷體"/>
          <w:szCs w:val="24"/>
        </w:rPr>
        <w:t>/1)</w:t>
      </w:r>
    </w:p>
    <w:p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1.限與carfilzomib/dexamethasone併用，治療先前曾接受至少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種含bortezomib或lenalidomide之療法治療失敗的多發性骨髓瘤成人患者，且須具有良好日常體能狀態(ECOG&lt;2)者。</w:t>
      </w:r>
    </w:p>
    <w:p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2.須經事前審查核准後使用：(113/4/1、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941523" w:rsidRPr="00276A1A" w:rsidRDefault="00941523" w:rsidP="00941523">
      <w:pPr>
        <w:adjustRightInd w:val="0"/>
        <w:snapToGrid w:val="0"/>
        <w:spacing w:line="400" w:lineRule="exact"/>
        <w:ind w:leftChars="177" w:left="562" w:hangingChars="57" w:hanging="137"/>
        <w:rPr>
          <w:rFonts w:ascii="標楷體" w:eastAsia="標楷體" w:hAnsi="標楷體"/>
          <w:szCs w:val="24"/>
        </w:rPr>
      </w:pPr>
      <w:r w:rsidRPr="00276A1A">
        <w:rPr>
          <w:rFonts w:ascii="標楷體" w:eastAsia="標楷體" w:hAnsi="標楷體"/>
          <w:szCs w:val="24"/>
        </w:rPr>
        <w:t>(1)首次申請為10次輸注，且需同時符合下列Ⅰ.、Ⅱ.與Ⅲ.的條件：</w:t>
      </w:r>
    </w:p>
    <w:p w:rsidR="00941523" w:rsidRPr="00276A1A" w:rsidRDefault="00941523" w:rsidP="00941523">
      <w:pPr>
        <w:adjustRightInd w:val="0"/>
        <w:snapToGrid w:val="0"/>
        <w:spacing w:line="400" w:lineRule="exact"/>
        <w:ind w:leftChars="295" w:left="840" w:hangingChars="55" w:hanging="132"/>
        <w:rPr>
          <w:rFonts w:ascii="標楷體" w:eastAsia="標楷體" w:hAnsi="標楷體"/>
          <w:szCs w:val="24"/>
        </w:rPr>
      </w:pPr>
      <w:r w:rsidRPr="00276A1A">
        <w:rPr>
          <w:rFonts w:ascii="標楷體" w:eastAsia="標楷體" w:hAnsi="標楷體"/>
          <w:szCs w:val="24"/>
        </w:rPr>
        <w:t>Ⅰ.病人先前曾未接受過daratumumab之治療。(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941523" w:rsidRPr="00276A1A" w:rsidRDefault="00941523" w:rsidP="00941523">
      <w:pPr>
        <w:adjustRightInd w:val="0"/>
        <w:snapToGrid w:val="0"/>
        <w:spacing w:line="400" w:lineRule="exact"/>
        <w:ind w:leftChars="299" w:left="1133" w:hangingChars="173" w:hanging="415"/>
        <w:rPr>
          <w:rFonts w:ascii="標楷體" w:eastAsia="標楷體" w:hAnsi="標楷體"/>
          <w:szCs w:val="24"/>
        </w:rPr>
      </w:pPr>
      <w:r w:rsidRPr="00276A1A">
        <w:rPr>
          <w:rFonts w:ascii="標楷體" w:eastAsia="標楷體" w:hAnsi="標楷體"/>
          <w:szCs w:val="24"/>
        </w:rPr>
        <w:t>Ⅱ.具有下列任一疾病惡化的指標： 病患開始治療前須在連續2次評估中均符合同一指標 (但若為plamacytoma 體積增加，或是新產生的bone lesion(s)或新</w:t>
      </w:r>
      <w:r w:rsidRPr="00276A1A">
        <w:rPr>
          <w:rFonts w:ascii="標楷體" w:eastAsia="標楷體" w:hAnsi="標楷體"/>
          <w:szCs w:val="24"/>
        </w:rPr>
        <w:lastRenderedPageBreak/>
        <w:t xml:space="preserve">plasmacytoma，則僅需1次評估)： </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iii.在non-secretary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iv.新產生的bone lesion(s)或plasmacytoma；且須經病理切片證實。</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vi.周邊血液中漿細胞比例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cells/μL。</w:t>
      </w:r>
    </w:p>
    <w:p w:rsidR="00941523" w:rsidRPr="00276A1A" w:rsidRDefault="00941523" w:rsidP="00941523">
      <w:pPr>
        <w:adjustRightInd w:val="0"/>
        <w:snapToGrid w:val="0"/>
        <w:spacing w:line="400" w:lineRule="exact"/>
        <w:ind w:leftChars="295" w:left="1354" w:hangingChars="269" w:hanging="646"/>
        <w:rPr>
          <w:rFonts w:ascii="標楷體" w:eastAsia="標楷體" w:hAnsi="標楷體"/>
          <w:szCs w:val="24"/>
        </w:rPr>
      </w:pPr>
      <w:r w:rsidRPr="00276A1A">
        <w:rPr>
          <w:rFonts w:ascii="標楷體" w:eastAsia="標楷體" w:hAnsi="標楷體"/>
          <w:szCs w:val="24"/>
        </w:rPr>
        <w:t xml:space="preserve">Ⅲ.出現下列任一臨床症狀： </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.新產生的bone lesion(s)或plasmacytoma；且須經病理切片證實。</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iii.高血鈣(corrected serum calcium＞11.0 mg/dL 或 2.75 mmol/L)。</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iv.貧血(Hemoglobin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vi.出現其他end-organ dysfunctions。</w:t>
      </w:r>
    </w:p>
    <w:p w:rsidR="00941523" w:rsidRPr="00276A1A" w:rsidRDefault="00941523" w:rsidP="00941523">
      <w:pPr>
        <w:adjustRightInd w:val="0"/>
        <w:snapToGrid w:val="0"/>
        <w:spacing w:line="400" w:lineRule="exact"/>
        <w:ind w:leftChars="236" w:left="849" w:hanging="283"/>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w:t>
      </w:r>
    </w:p>
    <w:p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3.每位病人終生限給付26次輸注。</w:t>
      </w:r>
    </w:p>
    <w:p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4.除carfilzomib外，本案藥品不得與其他蛋白酶體抑制劑(proteasome inhibitor)或免疫調節劑(immunomodulatory drugs)併用。</w:t>
      </w:r>
    </w:p>
    <w:p w:rsidR="00B96EA0" w:rsidRDefault="00941523" w:rsidP="00941523">
      <w:pPr>
        <w:spacing w:line="400" w:lineRule="exact"/>
        <w:ind w:leftChars="119" w:left="567" w:hangingChars="117" w:hanging="281"/>
      </w:pPr>
      <w:r w:rsidRPr="00276A1A">
        <w:rPr>
          <w:rFonts w:ascii="標楷體" w:eastAsia="標楷體" w:hAnsi="標楷體"/>
          <w:szCs w:val="24"/>
        </w:rPr>
        <w:t>5.Isatuximab與daratumumab二者僅能擇一使用，除因藥物耐受不良以外，不可以其他原因申請互換使用。</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9.109.Enfortumab vedotin(如</w:t>
      </w:r>
      <w:bookmarkStart w:id="47" w:name="_Hlk141697711"/>
      <w:r>
        <w:rPr>
          <w:rFonts w:ascii="標楷體" w:eastAsia="標楷體" w:hAnsi="標楷體"/>
          <w:color w:val="000000"/>
        </w:rPr>
        <w:t>Padcev</w:t>
      </w:r>
      <w:bookmarkEnd w:id="47"/>
      <w:r>
        <w:rPr>
          <w:rFonts w:ascii="標楷體" w:eastAsia="標楷體" w:hAnsi="標楷體"/>
          <w:color w:val="000000"/>
        </w:rPr>
        <w:t>）：(113/5/1)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先前接受過含鉑化學治療，後續接受免疫檢查點抑制劑(如atezolizumab；nivolumab；pembrolizumab；avelumab；ipilimumab製劑)治療失敗後疾病惡化的局部晚期或轉移性泌尿道上皮癌成人病人，須檢附接受過含鉑化學治療之病歷報告。</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2.使用條件：</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(1)病人身體狀況良好（ECOG≦2）且預期壽命至少3個月以上。</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(2)病人之心肺與肝腎功能須符合下列所有條件：</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I.NYHA(the New York Heart Association) Functional Class I或II。</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 xml:space="preserve">II.GOT&lt;60U/L及GPT&lt;60U/L，且T-bilirubin&lt;1.5mg/dL。 </w:t>
      </w:r>
    </w:p>
    <w:p w:rsidR="00B96EA0" w:rsidRDefault="007D66B8" w:rsidP="005142EB">
      <w:pPr>
        <w:tabs>
          <w:tab w:val="left" w:pos="1418"/>
        </w:tabs>
        <w:spacing w:line="400" w:lineRule="exact"/>
        <w:ind w:left="1291" w:hanging="245"/>
        <w:jc w:val="both"/>
      </w:pPr>
      <w:r>
        <w:rPr>
          <w:rFonts w:ascii="標楷體" w:eastAsia="標楷體" w:hAnsi="標楷體"/>
          <w:color w:val="000000"/>
        </w:rPr>
        <w:t>III.腎功能: eGFR&gt;30mL/min /1.73m</w:t>
      </w:r>
      <w:r>
        <w:rPr>
          <w:rFonts w:ascii="標楷體" w:eastAsia="標楷體" w:hAnsi="標楷體"/>
          <w:color w:val="000000"/>
          <w:vertAlign w:val="superscript"/>
        </w:rPr>
        <w:t>2</w:t>
      </w:r>
      <w:r>
        <w:rPr>
          <w:rFonts w:ascii="標楷體" w:eastAsia="標楷體" w:hAnsi="標楷體"/>
          <w:color w:val="000000"/>
        </w:rPr>
        <w:t>。</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(3)無中樞神經系統(CNS)轉移。</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lastRenderedPageBreak/>
        <w:t>(4)需排除病情控制不佳的糖尿病患者（HbA1c≧8%）。</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3.須經事前審查核准後使用。初次申請時需檢附以下資料：</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(1)病人身體狀況良好(ECOG≦2)及心肺與肝腎功能之評估資料。</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(2)病人12週內之疾病影像檢查及報告(如胸部X光、電腦斷層或其他可作為評估的影像)，此影像證明以可測量(measurable)的病灶為優先，如沒有可以測量的病灶，則可評估(evaluable)的病灶亦可採用。</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(3)其他佐證病歷資料。</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4.每次申請事前審查以3個療程為限，再次申請時需檢附療效評估資料，若病情惡化即不得再次申請，無效後或給付時程期滿後則不再給付該適應症相關之標靶藥物及免疫檢查點抑制劑。</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5.每位病人限給付6個療程。</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9.110.Tirabrutinib (如Velexbru）：(113/6/1)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1.適用於治療成人復發或難治型原發性中樞神經系統B細胞淋巴瘤，且符合下列各項條件：</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(1)復發頑固型，曾接受過至少兩個療程HD-MTX治療。</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(2)細胞型態須為Large B cell。</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(3)須排除HIV(+)及Burkitt lymphoma患者。 </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2.須經事前審查核准後使用。首次申請事前審查之療程以3個月為限，之後每3個月需再次申請，再次申請時應檢附前次治療結果評估資料，如影像學檢查報告。</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3.每日至多處方6粒。</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4.限給付9個月。</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5.限單獨使用，不得同時使用單株抗體及化療。</w:t>
      </w:r>
    </w:p>
    <w:p w:rsidR="00B96EA0" w:rsidRDefault="007D66B8" w:rsidP="005142EB">
      <w:pPr>
        <w:tabs>
          <w:tab w:val="left" w:pos="1418"/>
        </w:tabs>
        <w:spacing w:line="400" w:lineRule="exact"/>
        <w:ind w:left="655" w:hanging="612"/>
        <w:rPr>
          <w:rFonts w:ascii="標楷體" w:eastAsia="標楷體" w:hAnsi="標楷體"/>
          <w:szCs w:val="24"/>
        </w:rPr>
      </w:pPr>
      <w:r>
        <w:rPr>
          <w:rFonts w:ascii="標楷體" w:eastAsia="標楷體" w:hAnsi="標楷體"/>
          <w:szCs w:val="24"/>
        </w:rPr>
        <w:t>9.111.Elotuzumab (如Empliciti)：(113/9/1)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1.與pomalidomide及dexamethasone併用，治療之前曾接受過至少兩種療法（包括lenalidomide和蛋白酶體抑制劑）的多發性骨髓瘤成年病人，且完全符合下列條件：</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(1)確認完成前次治療時或結束治療後六十天內發生疾病惡化(disease progression)。</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(2)須具有良好日常體能狀態(ECOG &lt; 2)。</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2.需經事前審查核准後使用：</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(1)初次申請以3個療程為限，且需同時符合下列Ⅰ.與Ⅱ.的條件：</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Ⅰ.具有下列任一疾病惡化的指標： 病人開始治療前須在連續2次評估中均符合同一指標 (但若為plamacytoma 體積增加，或是新產生的bone lesion(s)或新plasmacytoma，則僅需1次評估)： </w:t>
      </w:r>
    </w:p>
    <w:p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.若前一線治療中M component 最低值</w:t>
      </w:r>
      <w:r>
        <w:rPr>
          <w:rFonts w:ascii="標楷體" w:eastAsia="標楷體" w:hAnsi="標楷體" w:cs="新細明體"/>
          <w:szCs w:val="24"/>
        </w:rPr>
        <w:t>≧</w:t>
      </w:r>
      <w:r>
        <w:rPr>
          <w:rFonts w:ascii="標楷體" w:eastAsia="標楷體" w:hAnsi="標楷體"/>
          <w:szCs w:val="24"/>
        </w:rPr>
        <w:t>5 g/dL，血清M蛋白需增加</w:t>
      </w:r>
      <w:r>
        <w:rPr>
          <w:rFonts w:ascii="標楷體" w:eastAsia="標楷體" w:hAnsi="標楷體" w:cs="新細明體"/>
          <w:szCs w:val="24"/>
        </w:rPr>
        <w:t>≧</w:t>
      </w:r>
      <w:r>
        <w:rPr>
          <w:rFonts w:ascii="標楷體" w:eastAsia="標楷體" w:hAnsi="標楷體"/>
          <w:szCs w:val="24"/>
        </w:rPr>
        <w:t>1 g/dL；若前一線治療中M component最低值＜5 g/dL，血清M蛋白需增加</w:t>
      </w:r>
      <w:r>
        <w:rPr>
          <w:rFonts w:ascii="標楷體" w:eastAsia="標楷體" w:hAnsi="標楷體" w:cs="新細明體"/>
          <w:szCs w:val="24"/>
        </w:rPr>
        <w:t>≧</w:t>
      </w:r>
      <w:r>
        <w:rPr>
          <w:rFonts w:ascii="標楷體" w:eastAsia="標楷體" w:hAnsi="標楷體"/>
          <w:szCs w:val="24"/>
        </w:rPr>
        <w:t>0.5g/dL。</w:t>
      </w:r>
    </w:p>
    <w:p w:rsidR="00B96EA0" w:rsidRDefault="007D66B8" w:rsidP="005142EB">
      <w:pPr>
        <w:spacing w:line="400" w:lineRule="exact"/>
        <w:ind w:left="1800" w:hanging="360"/>
      </w:pPr>
      <w:r>
        <w:rPr>
          <w:rFonts w:ascii="新細明體" w:hAnsi="新細明體" w:cs="新細明體"/>
          <w:szCs w:val="24"/>
        </w:rPr>
        <w:lastRenderedPageBreak/>
        <w:t>ⅱ</w:t>
      </w:r>
      <w:r>
        <w:rPr>
          <w:rFonts w:ascii="標楷體" w:eastAsia="標楷體" w:hAnsi="標楷體"/>
          <w:szCs w:val="24"/>
        </w:rPr>
        <w:t>.Urine M-protein需增加≧0.2 gm/24Hr，且需較前一線治療中的最低值增加≧25%。</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iii.在non-secretary myeloma 病人，骨髓漿細胞 (plasma cells)之比例絕對值增加≧10%，且需較前一線治療中的最低值增加≧25%。</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iv.新產生的bone lesion(s)或plasmacytoma；且須經病理切片證實。</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v.Plasmacytoma體積增加≧50%。</w:t>
      </w:r>
    </w:p>
    <w:p w:rsidR="00B96EA0" w:rsidRDefault="007D66B8" w:rsidP="005142EB">
      <w:pPr>
        <w:spacing w:line="400" w:lineRule="exact"/>
        <w:ind w:left="1800" w:hanging="360"/>
      </w:pPr>
      <w:r>
        <w:rPr>
          <w:rFonts w:ascii="標楷體" w:eastAsia="標楷體" w:hAnsi="標楷體"/>
          <w:szCs w:val="24"/>
        </w:rPr>
        <w:t>vi.周邊血液中漿細胞比例</w:t>
      </w:r>
      <w:r>
        <w:rPr>
          <w:rFonts w:ascii="標楷體" w:eastAsia="標楷體" w:hAnsi="標楷體" w:cs="新細明體"/>
          <w:szCs w:val="24"/>
        </w:rPr>
        <w:t>≧</w:t>
      </w:r>
      <w:r>
        <w:rPr>
          <w:rFonts w:ascii="標楷體" w:eastAsia="標楷體" w:hAnsi="標楷體"/>
          <w:szCs w:val="24"/>
        </w:rPr>
        <w:t>20%或漿細胞絕對值</w:t>
      </w:r>
      <w:r>
        <w:rPr>
          <w:rFonts w:ascii="標楷體" w:eastAsia="標楷體" w:hAnsi="標楷體" w:cs="新細明體"/>
          <w:szCs w:val="24"/>
        </w:rPr>
        <w:t>≧</w:t>
      </w:r>
      <w:r>
        <w:rPr>
          <w:rFonts w:ascii="標楷體" w:eastAsia="標楷體" w:hAnsi="標楷體"/>
          <w:szCs w:val="24"/>
        </w:rPr>
        <w:t>2000 cells/μL。</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Ⅱ.出現下列任一臨床症狀： </w:t>
      </w:r>
    </w:p>
    <w:p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.新產生的bone lesion(s)或plasmacytoma；且須經病理切片證實。</w:t>
      </w:r>
    </w:p>
    <w:p w:rsidR="00B96EA0" w:rsidRDefault="007D66B8" w:rsidP="005142EB">
      <w:pPr>
        <w:spacing w:line="400" w:lineRule="exact"/>
        <w:ind w:left="1800" w:hanging="360"/>
      </w:pPr>
      <w:r>
        <w:rPr>
          <w:rFonts w:ascii="新細明體" w:hAnsi="新細明體" w:cs="新細明體"/>
          <w:szCs w:val="24"/>
        </w:rPr>
        <w:t>ⅱ</w:t>
      </w:r>
      <w:r>
        <w:rPr>
          <w:rFonts w:ascii="標楷體" w:eastAsia="標楷體" w:hAnsi="標楷體"/>
          <w:szCs w:val="24"/>
        </w:rPr>
        <w:t>.Plasmacytoma 體積增加≧50%。</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iii.高血鈣(corrected serum calcium＞11.0 mg/dL 或 2.75 mmol/L)。</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iv.貧血(Hemoglobin 下降幅度≧ 2gm/dL且無其他原因可以解釋)。</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v.腎功能惡化(eGFR需下降幅度≧25%)，且無其他原因可以解釋。</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vi.出現其他end-organ dysfunctions。</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(3)每人以10個療程為上限。</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3.不得與蛋白酶體抑制劑(bortezomib、carfilzomib)或lenalidomide併用。</w:t>
      </w:r>
    </w:p>
    <w:p w:rsidR="00B96EA0" w:rsidRDefault="007D66B8" w:rsidP="005142EB">
      <w:pPr>
        <w:tabs>
          <w:tab w:val="left" w:pos="1418"/>
        </w:tabs>
        <w:spacing w:line="400" w:lineRule="exact"/>
        <w:ind w:left="655" w:right="-197" w:hanging="612"/>
        <w:rPr>
          <w:rFonts w:ascii="標楷體" w:eastAsia="標楷體" w:hAnsi="標楷體"/>
          <w:szCs w:val="24"/>
        </w:rPr>
      </w:pPr>
      <w:r>
        <w:rPr>
          <w:rFonts w:ascii="標楷體" w:eastAsia="標楷體" w:hAnsi="標楷體"/>
          <w:szCs w:val="24"/>
        </w:rPr>
        <w:t>9.112.Pertuzumab與trastuzumab皮下注射複方製劑(如Phesgo):(113/12/1、114/5/1)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1.本藥品及化學療法併用於具HER2過度表現（IHC3+或FISH+），且具腋下淋巴結轉移但無遠處臟器轉移之早期乳癌病人（113/12/1、114/5/1）</w:t>
      </w:r>
    </w:p>
    <w:p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(1)使用於術前輔助治療，經外科手術後達病理上完全緩解者（pCR），得繼續使用至18個療程為上限。</w:t>
      </w:r>
    </w:p>
    <w:p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(2)若未接受術前輔助治療，即先行手術者，可給予術後輔助治療，以18個療程為使用上限。</w:t>
      </w:r>
    </w:p>
    <w:p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(3)</w:t>
      </w:r>
      <w:r>
        <w:rPr>
          <w:rFonts w:ascii="標楷體" w:eastAsia="標楷體" w:hAnsi="標楷體"/>
          <w:szCs w:val="24"/>
        </w:rPr>
        <w:tab/>
        <w:t>下列Ｉ~Ⅲ使用於外科手術前後之總療程合併計算，依藥品仿單記載以18個療程為上限：</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Ⅱ：trastuzumab</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Ⅲ：pertuzumab與trastuzumab併用</w:t>
      </w:r>
    </w:p>
    <w:p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(4)</w:t>
      </w:r>
      <w:r>
        <w:rPr>
          <w:rFonts w:ascii="標楷體" w:eastAsia="標楷體" w:hAnsi="標楷體"/>
          <w:szCs w:val="24"/>
        </w:rPr>
        <w:tab/>
        <w:t>須經事前審查核准後使用，核准後每24週須檢附療效評估資料再次申請，若疾病有惡化情形即不應再行申請。（113/12/1、114/5/1）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2.轉移性乳癌</w:t>
      </w:r>
    </w:p>
    <w:p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(1)與docetaxel併用於治療轉移後未曾以抗HER2或化學療法治療之HER2過度表現</w:t>
      </w:r>
      <w:r>
        <w:rPr>
          <w:rFonts w:ascii="標楷體" w:eastAsia="標楷體" w:hAnsi="標楷體"/>
          <w:szCs w:val="24"/>
        </w:rPr>
        <w:lastRenderedPageBreak/>
        <w:t>(IHC3+或FISH+)轉移性乳癌病人。</w:t>
      </w:r>
    </w:p>
    <w:p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(2)須經事前審查核准後使用，核准後每18週須檢附療效評估資料再次申請，若疾病有惡化情形即不應再行申請，每位病人至多給付18個月為限。</w:t>
      </w:r>
    </w:p>
    <w:p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(3)下列Ｉ~Ⅱ使用於轉移性乳癌總療程合併計算，以全部18個月為上限：</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Ⅱ：pertuzumab與trastuzumab併用</w:t>
      </w:r>
    </w:p>
    <w:p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(4)先前於早期乳癌已使用過本藥品或pertuzumab與trastuzumab併用者，不得再次申請本藥品，惟於早期乳癌治療結束至首次疾病復發轉移時間超過12個月以上者得再次申請。(113/12/1)</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9.113.Gemtuzumab ozogamicin(如Mylotarg)：(114/1/1)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1.限用於新診斷原發型CD33陽性的急性骨髓性白血病(AML)病人之標準前導與鞏固性化療時合併使用，且完全符合下列條件：</w:t>
      </w:r>
    </w:p>
    <w:p w:rsidR="00B96EA0" w:rsidRDefault="007D66B8" w:rsidP="005142EB">
      <w:pPr>
        <w:tabs>
          <w:tab w:val="left" w:pos="1185"/>
        </w:tabs>
        <w:spacing w:line="400" w:lineRule="exact"/>
        <w:ind w:left="1051" w:hanging="245"/>
        <w:jc w:val="both"/>
      </w:pPr>
      <w:r>
        <w:rPr>
          <w:rFonts w:ascii="標楷體" w:eastAsia="標楷體" w:hAnsi="標楷體"/>
          <w:color w:val="000000"/>
        </w:rPr>
        <w:t>(1)需</w:t>
      </w:r>
      <w:r>
        <w:rPr>
          <w:rFonts w:ascii="標楷體" w:eastAsia="標楷體" w:hAnsi="標楷體"/>
          <w:szCs w:val="24"/>
        </w:rPr>
        <w:t>為細胞遺傳學風險等級較佳(favorable)的病人。</w:t>
      </w:r>
    </w:p>
    <w:p w:rsidR="00B96EA0" w:rsidRDefault="007D66B8" w:rsidP="005142EB">
      <w:pPr>
        <w:tabs>
          <w:tab w:val="left" w:pos="1185"/>
        </w:tabs>
        <w:spacing w:line="400" w:lineRule="exact"/>
        <w:ind w:left="1051" w:hanging="245"/>
        <w:jc w:val="both"/>
      </w:pPr>
      <w:r>
        <w:rPr>
          <w:rFonts w:ascii="標楷體" w:eastAsia="標楷體" w:hAnsi="標楷體"/>
          <w:szCs w:val="24"/>
        </w:rPr>
        <w:t>(2)排</w:t>
      </w:r>
      <w:r>
        <w:rPr>
          <w:rFonts w:ascii="標楷體" w:eastAsia="標楷體" w:hAnsi="標楷體"/>
          <w:color w:val="000000"/>
        </w:rPr>
        <w:t>除急性前骨髓性細胞白血病(acute promyelocytic leukemia,APL)病人。</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2.需經事前審查核准後使用，用於誘導期時，以1個療程(3次輸注)為限，並需合併標準3+7緩解誘導化療使用。</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3.若病患疾病達到完全緩解(即CR 或 CRi)，可續申請使用於鞏固治療期，每次申請以1個療程為限(1次輸注)，並最多給付2個鞏固治療療程(即2次輸注)。申請時需檢附前次治療結果評估資料證實無疾病惡化。</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4.每人以給付5次輸注為上限。</w:t>
      </w:r>
    </w:p>
    <w:p w:rsidR="00557419" w:rsidRPr="00AA26C9" w:rsidRDefault="00557419" w:rsidP="00557419">
      <w:pPr>
        <w:spacing w:line="400" w:lineRule="exact"/>
        <w:ind w:left="677" w:hangingChars="282" w:hanging="677"/>
        <w:rPr>
          <w:rFonts w:ascii="標楷體" w:eastAsia="標楷體" w:hAnsi="標楷體"/>
          <w:szCs w:val="24"/>
        </w:rPr>
      </w:pPr>
      <w:bookmarkStart w:id="48" w:name="_Hlk196225396"/>
      <w:r w:rsidRPr="00AA26C9">
        <w:rPr>
          <w:rFonts w:ascii="標楷體" w:eastAsia="標楷體" w:hAnsi="標楷體"/>
          <w:szCs w:val="24"/>
        </w:rPr>
        <w:t>9.114.Fedratinib (</w:t>
      </w:r>
      <w:r w:rsidRPr="00AA26C9">
        <w:rPr>
          <w:rFonts w:ascii="標楷體" w:eastAsia="標楷體" w:hAnsi="標楷體" w:hint="eastAsia"/>
          <w:szCs w:val="24"/>
        </w:rPr>
        <w:t>如</w:t>
      </w:r>
      <w:r w:rsidRPr="00AA26C9">
        <w:rPr>
          <w:rFonts w:ascii="標楷體" w:eastAsia="標楷體" w:hAnsi="標楷體"/>
          <w:szCs w:val="24"/>
        </w:rPr>
        <w:t>Inrebic)</w:t>
      </w:r>
      <w:r w:rsidRPr="00AA26C9">
        <w:rPr>
          <w:rFonts w:ascii="標楷體" w:eastAsia="標楷體" w:hAnsi="標楷體" w:hint="eastAsia"/>
          <w:szCs w:val="24"/>
        </w:rPr>
        <w:t>：</w:t>
      </w:r>
      <w:r w:rsidRPr="00AA26C9">
        <w:rPr>
          <w:rFonts w:ascii="標楷體" w:eastAsia="標楷體" w:hAnsi="標楷體"/>
          <w:szCs w:val="24"/>
        </w:rPr>
        <w:t>(114/1/1</w:t>
      </w:r>
      <w:r w:rsidRPr="00CD4BD4">
        <w:rPr>
          <w:rFonts w:ascii="標楷體" w:eastAsia="標楷體" w:hAnsi="標楷體" w:hint="eastAsia"/>
          <w:szCs w:val="24"/>
        </w:rPr>
        <w:t>、114</w:t>
      </w:r>
      <w:r w:rsidRPr="00CD4BD4">
        <w:rPr>
          <w:rFonts w:ascii="標楷體" w:eastAsia="標楷體" w:hAnsi="標楷體"/>
          <w:szCs w:val="24"/>
        </w:rPr>
        <w:t>/</w:t>
      </w:r>
      <w:r w:rsidRPr="00CD4BD4">
        <w:rPr>
          <w:rFonts w:ascii="標楷體" w:eastAsia="標楷體" w:hAnsi="標楷體" w:hint="eastAsia"/>
          <w:szCs w:val="24"/>
        </w:rPr>
        <w:t>10</w:t>
      </w:r>
      <w:r w:rsidRPr="00CD4BD4">
        <w:rPr>
          <w:rFonts w:ascii="標楷體" w:eastAsia="標楷體" w:hAnsi="標楷體"/>
          <w:szCs w:val="24"/>
        </w:rPr>
        <w:t>/1)</w:t>
      </w:r>
    </w:p>
    <w:bookmarkEnd w:id="48"/>
    <w:p w:rsidR="00557419" w:rsidRPr="00AA26C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用於未曾接受</w:t>
      </w:r>
      <w:r w:rsidRPr="00AA26C9">
        <w:rPr>
          <w:rFonts w:ascii="標楷體" w:eastAsia="標楷體" w:hAnsi="標楷體"/>
          <w:szCs w:val="24"/>
        </w:rPr>
        <w:t xml:space="preserve">Janus </w:t>
      </w:r>
      <w:r w:rsidRPr="00AA26C9">
        <w:rPr>
          <w:rFonts w:ascii="標楷體" w:eastAsia="標楷體" w:hAnsi="標楷體" w:hint="eastAsia"/>
          <w:szCs w:val="24"/>
        </w:rPr>
        <w:t>激酶抑制劑（</w:t>
      </w:r>
      <w:r w:rsidRPr="00AA26C9">
        <w:rPr>
          <w:rFonts w:ascii="標楷體" w:eastAsia="標楷體" w:hAnsi="標楷體"/>
          <w:szCs w:val="24"/>
        </w:rPr>
        <w:t>JAK inhibitor</w:t>
      </w:r>
      <w:r w:rsidRPr="00AA26C9">
        <w:rPr>
          <w:rFonts w:ascii="標楷體" w:eastAsia="標楷體" w:hAnsi="標楷體" w:hint="eastAsia"/>
          <w:szCs w:val="24"/>
        </w:rPr>
        <w:t>）治療或曾接受</w:t>
      </w:r>
      <w:r w:rsidRPr="00AA26C9">
        <w:rPr>
          <w:rFonts w:ascii="標楷體" w:eastAsia="標楷體" w:hAnsi="標楷體"/>
          <w:szCs w:val="24"/>
        </w:rPr>
        <w:t xml:space="preserve">ruxolitinib </w:t>
      </w:r>
      <w:r w:rsidRPr="00AA26C9">
        <w:rPr>
          <w:rFonts w:ascii="標楷體" w:eastAsia="標楷體" w:hAnsi="標楷體" w:hint="eastAsia"/>
          <w:szCs w:val="24"/>
        </w:rPr>
        <w:t>治療後不耐受或有禁忌症，且為</w:t>
      </w:r>
      <w:r w:rsidRPr="00AA26C9">
        <w:rPr>
          <w:rFonts w:ascii="標楷體" w:eastAsia="標楷體" w:hAnsi="標楷體"/>
          <w:szCs w:val="24"/>
        </w:rPr>
        <w:t>International Working Group</w:t>
      </w:r>
      <w:r w:rsidRPr="00AA26C9">
        <w:rPr>
          <w:rFonts w:ascii="標楷體" w:eastAsia="標楷體" w:hAnsi="標楷體" w:hint="eastAsia"/>
          <w:szCs w:val="24"/>
        </w:rPr>
        <w:t>（</w:t>
      </w:r>
      <w:r w:rsidRPr="00AA26C9">
        <w:rPr>
          <w:rFonts w:ascii="標楷體" w:eastAsia="標楷體" w:hAnsi="標楷體"/>
          <w:szCs w:val="24"/>
        </w:rPr>
        <w:t>IWG</w:t>
      </w:r>
      <w:r w:rsidRPr="00AA26C9">
        <w:rPr>
          <w:rFonts w:ascii="標楷體" w:eastAsia="標楷體" w:hAnsi="標楷體" w:hint="eastAsia"/>
          <w:szCs w:val="24"/>
        </w:rPr>
        <w:t>）</w:t>
      </w:r>
      <w:r w:rsidRPr="00AA26C9">
        <w:rPr>
          <w:rFonts w:ascii="標楷體" w:eastAsia="標楷體" w:hAnsi="標楷體"/>
          <w:szCs w:val="24"/>
        </w:rPr>
        <w:t xml:space="preserve">Consensus Criteria </w:t>
      </w:r>
      <w:r w:rsidRPr="00AA26C9">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A26C9">
        <w:rPr>
          <w:rFonts w:ascii="標楷體" w:eastAsia="標楷體" w:hAnsi="標楷體"/>
          <w:szCs w:val="24"/>
        </w:rPr>
        <w:t>symptomatic splenomegaly</w:t>
      </w:r>
      <w:r w:rsidRPr="00AA26C9">
        <w:rPr>
          <w:rFonts w:ascii="標楷體" w:eastAsia="標楷體" w:hAnsi="標楷體" w:hint="eastAsia"/>
          <w:szCs w:val="24"/>
        </w:rPr>
        <w:t>）及</w:t>
      </w:r>
      <w:r w:rsidRPr="00AA26C9">
        <w:rPr>
          <w:rFonts w:ascii="標楷體" w:eastAsia="標楷體" w:hAnsi="標楷體"/>
          <w:szCs w:val="24"/>
        </w:rPr>
        <w:t>/</w:t>
      </w:r>
      <w:r w:rsidRPr="00AA26C9">
        <w:rPr>
          <w:rFonts w:ascii="標楷體" w:eastAsia="標楷體" w:hAnsi="標楷體" w:hint="eastAsia"/>
          <w:szCs w:val="24"/>
        </w:rPr>
        <w:t>或其他相關全身症狀且不適於接受幹細胞移植的成人病人（</w:t>
      </w:r>
      <w:r w:rsidRPr="00AA26C9">
        <w:rPr>
          <w:rFonts w:ascii="標楷體" w:eastAsia="標楷體" w:hAnsi="標楷體"/>
          <w:szCs w:val="24"/>
        </w:rPr>
        <w:t>stem cell transplantation</w:t>
      </w:r>
      <w:r w:rsidRPr="00AA26C9">
        <w:rPr>
          <w:rFonts w:ascii="標楷體" w:eastAsia="標楷體" w:hAnsi="標楷體" w:hint="eastAsia"/>
          <w:szCs w:val="24"/>
        </w:rPr>
        <w:t>）。</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需經事前審查核准後使用，每次申請之療程以</w:t>
      </w:r>
      <w:r w:rsidRPr="00AA26C9">
        <w:rPr>
          <w:rFonts w:ascii="標楷體" w:eastAsia="標楷體" w:hAnsi="標楷體"/>
          <w:szCs w:val="24"/>
        </w:rPr>
        <w:t>6</w:t>
      </w:r>
      <w:r w:rsidRPr="00AA26C9">
        <w:rPr>
          <w:rFonts w:ascii="標楷體" w:eastAsia="標楷體" w:hAnsi="標楷體" w:hint="eastAsia"/>
          <w:szCs w:val="24"/>
        </w:rPr>
        <w:t>個月為限，送審時需檢送影像資料及症狀改善之病歷紀錄，每</w:t>
      </w:r>
      <w:r w:rsidRPr="00AA26C9">
        <w:rPr>
          <w:rFonts w:ascii="標楷體" w:eastAsia="標楷體" w:hAnsi="標楷體"/>
          <w:szCs w:val="24"/>
        </w:rPr>
        <w:t>6</w:t>
      </w:r>
      <w:r w:rsidRPr="00AA26C9">
        <w:rPr>
          <w:rFonts w:ascii="標楷體" w:eastAsia="標楷體" w:hAnsi="標楷體" w:hint="eastAsia"/>
          <w:szCs w:val="24"/>
        </w:rPr>
        <w:t>個月評估一次。</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用藥後第一次評估時，需達到症狀反應</w:t>
      </w:r>
      <w:r w:rsidRPr="00AA26C9">
        <w:rPr>
          <w:rFonts w:ascii="標楷體" w:eastAsia="標楷體" w:hAnsi="標楷體"/>
          <w:szCs w:val="24"/>
        </w:rPr>
        <w:t>(symptom response)</w:t>
      </w:r>
      <w:r w:rsidRPr="00AA26C9">
        <w:rPr>
          <w:rFonts w:ascii="標楷體" w:eastAsia="標楷體" w:hAnsi="標楷體" w:hint="eastAsia"/>
          <w:szCs w:val="24"/>
        </w:rPr>
        <w:t>或脾臟體積無惡化兩者之一，且同時無</w:t>
      </w:r>
      <w:r w:rsidRPr="00AA26C9">
        <w:rPr>
          <w:rFonts w:ascii="標楷體" w:eastAsia="標楷體" w:hAnsi="標楷體"/>
          <w:szCs w:val="24"/>
        </w:rPr>
        <w:t>AML tranformation</w:t>
      </w:r>
      <w:r w:rsidRPr="00AA26C9">
        <w:rPr>
          <w:rFonts w:ascii="標楷體" w:eastAsia="標楷體" w:hAnsi="標楷體" w:hint="eastAsia"/>
          <w:szCs w:val="24"/>
        </w:rPr>
        <w:t>，方得以繼續使用。分別定義如下：</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症狀反應：</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與治療前基準值相比，需下降超過</w:t>
      </w:r>
      <w:r w:rsidRPr="00AA26C9">
        <w:rPr>
          <w:rFonts w:ascii="標楷體" w:eastAsia="標楷體" w:hAnsi="標楷體"/>
          <w:szCs w:val="24"/>
        </w:rPr>
        <w:t>50%</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脾臟體積無惡化：使用電腦斷層評估，脾臟長度未增加超過治療前基準值之</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w:t>
      </w:r>
      <w:r w:rsidRPr="00AA26C9">
        <w:rPr>
          <w:rFonts w:ascii="標楷體" w:eastAsia="標楷體" w:hAnsi="標楷體" w:hint="eastAsia"/>
          <w:szCs w:val="24"/>
        </w:rPr>
        <w:lastRenderedPageBreak/>
        <w:t>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(3)</w:t>
      </w:r>
      <w:r w:rsidRPr="00AA26C9">
        <w:rPr>
          <w:rFonts w:ascii="標楷體" w:eastAsia="標楷體" w:hAnsi="標楷體" w:hint="eastAsia"/>
          <w:szCs w:val="24"/>
        </w:rPr>
        <w:t>用藥後第二次及其後的評估，必須顯示無疾病惡化（無症狀惡化且脾臟體積無惡化，並同時無</w:t>
      </w:r>
      <w:r w:rsidRPr="00AA26C9">
        <w:rPr>
          <w:rFonts w:ascii="標楷體" w:eastAsia="標楷體" w:hAnsi="標楷體"/>
          <w:szCs w:val="24"/>
        </w:rPr>
        <w:t>AML transformation</w:t>
      </w:r>
      <w:r w:rsidRPr="00AA26C9">
        <w:rPr>
          <w:rFonts w:ascii="標楷體" w:eastAsia="標楷體" w:hAnsi="標楷體" w:hint="eastAsia"/>
          <w:szCs w:val="24"/>
        </w:rPr>
        <w:t>），方得以繼續使用。分別定義如下：</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無症狀惡化：未出現新症狀，且</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未超過治療前的基準值。</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脾臟體積無惡化：使用電腦斷層評估，脾臟長度未增加超過最佳反應</w:t>
      </w:r>
      <w:r w:rsidRPr="00AA26C9">
        <w:rPr>
          <w:rFonts w:ascii="標楷體" w:eastAsia="標楷體" w:hAnsi="標楷體"/>
          <w:szCs w:val="24"/>
        </w:rPr>
        <w:t>(best response)</w:t>
      </w:r>
      <w:r w:rsidRPr="00AA26C9">
        <w:rPr>
          <w:rFonts w:ascii="標楷體" w:eastAsia="標楷體" w:hAnsi="標楷體" w:hint="eastAsia"/>
          <w:szCs w:val="24"/>
        </w:rPr>
        <w:t>時之脾臟長度</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rsidR="00B96EA0" w:rsidRPr="0055741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本藥品與</w:t>
      </w:r>
      <w:r w:rsidRPr="00AA26C9">
        <w:rPr>
          <w:rFonts w:ascii="標楷體" w:eastAsia="標楷體" w:hAnsi="標楷體"/>
          <w:szCs w:val="24"/>
        </w:rPr>
        <w:t>ruxolitinib</w:t>
      </w:r>
      <w:r w:rsidRPr="00AA26C9">
        <w:rPr>
          <w:rFonts w:ascii="標楷體" w:eastAsia="標楷體" w:hAnsi="標楷體" w:hint="eastAsia"/>
          <w:szCs w:val="24"/>
          <w:u w:val="single"/>
        </w:rPr>
        <w:t>、</w:t>
      </w:r>
      <w:r w:rsidRPr="00AA26C9">
        <w:rPr>
          <w:rFonts w:ascii="標楷體" w:eastAsia="標楷體" w:hAnsi="標楷體"/>
          <w:szCs w:val="24"/>
          <w:u w:val="single"/>
        </w:rPr>
        <w:t>momelotinib</w:t>
      </w:r>
      <w:r w:rsidRPr="00AA26C9">
        <w:rPr>
          <w:rFonts w:ascii="標楷體" w:eastAsia="標楷體" w:hAnsi="標楷體" w:hint="eastAsia"/>
          <w:szCs w:val="24"/>
        </w:rPr>
        <w:t>用於中度風險或高風險之骨髓纖維化治療時，僅得擇一給付。r</w:t>
      </w:r>
      <w:r w:rsidRPr="00AA26C9">
        <w:rPr>
          <w:rFonts w:ascii="標楷體" w:eastAsia="標楷體" w:hAnsi="標楷體"/>
          <w:szCs w:val="24"/>
        </w:rPr>
        <w:t>uxolitinib</w:t>
      </w:r>
      <w:r w:rsidRPr="00AA26C9">
        <w:rPr>
          <w:rFonts w:ascii="標楷體" w:eastAsia="標楷體" w:hAnsi="標楷體" w:hint="eastAsia"/>
          <w:szCs w:val="24"/>
          <w:u w:val="single"/>
        </w:rPr>
        <w:t>、</w:t>
      </w:r>
      <w:r w:rsidRPr="00AA26C9">
        <w:rPr>
          <w:rFonts w:ascii="標楷體" w:eastAsia="標楷體" w:hAnsi="標楷體"/>
          <w:szCs w:val="24"/>
          <w:u w:val="single"/>
        </w:rPr>
        <w:t>momelotinib</w:t>
      </w:r>
      <w:r w:rsidRPr="00AA26C9">
        <w:rPr>
          <w:rFonts w:ascii="標楷體" w:eastAsia="標楷體" w:hAnsi="標楷體" w:hint="eastAsia"/>
          <w:szCs w:val="24"/>
        </w:rPr>
        <w:t>治療後如疾病惡化不得換用本藥品。</w:t>
      </w:r>
      <w:r w:rsidRPr="00557419">
        <w:rPr>
          <w:rFonts w:ascii="標楷體" w:eastAsia="標楷體" w:hAnsi="標楷體"/>
          <w:szCs w:val="24"/>
        </w:rPr>
        <w:t>(</w:t>
      </w:r>
      <w:r w:rsidRPr="00557419">
        <w:rPr>
          <w:rFonts w:ascii="標楷體" w:eastAsia="標楷體" w:hAnsi="標楷體" w:hint="eastAsia"/>
          <w:szCs w:val="24"/>
        </w:rPr>
        <w:t>114</w:t>
      </w:r>
      <w:r w:rsidRPr="00557419">
        <w:rPr>
          <w:rFonts w:ascii="標楷體" w:eastAsia="標楷體" w:hAnsi="標楷體"/>
          <w:szCs w:val="24"/>
        </w:rPr>
        <w:t>/</w:t>
      </w:r>
      <w:r w:rsidRPr="00557419">
        <w:rPr>
          <w:rFonts w:ascii="標楷體" w:eastAsia="標楷體" w:hAnsi="標楷體" w:hint="eastAsia"/>
          <w:szCs w:val="24"/>
        </w:rPr>
        <w:t>10</w:t>
      </w:r>
      <w:r w:rsidRPr="00557419">
        <w:rPr>
          <w:rFonts w:ascii="標楷體" w:eastAsia="標楷體" w:hAnsi="標楷體"/>
          <w:szCs w:val="24"/>
        </w:rPr>
        <w:t>/1)</w:t>
      </w:r>
    </w:p>
    <w:p w:rsidR="00B96EA0" w:rsidRDefault="007D66B8" w:rsidP="005142EB">
      <w:pPr>
        <w:spacing w:line="400" w:lineRule="exact"/>
        <w:rPr>
          <w:rFonts w:ascii="標楷體" w:eastAsia="標楷體" w:hAnsi="標楷體"/>
          <w:szCs w:val="28"/>
        </w:rPr>
      </w:pPr>
      <w:r>
        <w:rPr>
          <w:rFonts w:ascii="標楷體" w:eastAsia="標楷體" w:hAnsi="標楷體"/>
          <w:szCs w:val="28"/>
        </w:rPr>
        <w:t>9.115.Trastuzumab deruxtecan (如Enhertu)：(114/2/1)</w:t>
      </w:r>
    </w:p>
    <w:p w:rsidR="00B96EA0" w:rsidRDefault="007D66B8" w:rsidP="005142EB">
      <w:pPr>
        <w:tabs>
          <w:tab w:val="left" w:pos="1418"/>
        </w:tabs>
        <w:spacing w:line="400" w:lineRule="exact"/>
        <w:ind w:left="811" w:hanging="245"/>
        <w:jc w:val="both"/>
      </w:pPr>
      <w:r>
        <w:rPr>
          <w:rFonts w:ascii="標楷體" w:eastAsia="標楷體" w:hAnsi="標楷體"/>
          <w:szCs w:val="28"/>
        </w:rPr>
        <w:t>1.單獨</w:t>
      </w:r>
      <w:r>
        <w:rPr>
          <w:rFonts w:ascii="標楷體" w:eastAsia="標楷體" w:hAnsi="標楷體"/>
          <w:color w:val="000000"/>
        </w:rPr>
        <w:t>使用</w:t>
      </w:r>
      <w:r>
        <w:rPr>
          <w:rFonts w:ascii="標楷體" w:eastAsia="標楷體" w:hAnsi="標楷體"/>
          <w:szCs w:val="28"/>
        </w:rPr>
        <w:t>於具HER2過度表現(IHC3+或FISH+)之轉移性乳癌病人作為二線治療，並同時符合下列情形：</w:t>
      </w:r>
    </w:p>
    <w:p w:rsidR="00B96EA0" w:rsidRDefault="007D66B8" w:rsidP="005142EB">
      <w:pPr>
        <w:tabs>
          <w:tab w:val="left" w:pos="1185"/>
        </w:tabs>
        <w:spacing w:line="400" w:lineRule="exact"/>
        <w:ind w:left="1051" w:hanging="245"/>
        <w:jc w:val="both"/>
      </w:pPr>
      <w:r>
        <w:rPr>
          <w:rFonts w:ascii="標楷體" w:eastAsia="標楷體" w:hAnsi="標楷體"/>
          <w:szCs w:val="28"/>
        </w:rPr>
        <w:t>(1)之前</w:t>
      </w:r>
      <w:r>
        <w:rPr>
          <w:rFonts w:ascii="標楷體" w:eastAsia="標楷體" w:hAnsi="標楷體"/>
          <w:color w:val="000000"/>
        </w:rPr>
        <w:t>分別接受過 trastuzumab 與一種taxane 藥物治療，或其合併療法，或pertuzumab 與trastuzumab 與一種taxane藥物治療。</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(2)之前已經接受過轉移性癌症治療，或在輔助療法治療期間或完成治療後6 個月內癌症復發。</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(3)合併有主要臟器(不包含骨及軟組織)轉移。</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(4)須經事前審查核准後使用，核准後每12週須檢附療效評估資料再次申請，若疾病有惡化情形即不應再行申請，每位病人至多給付18個療程為上限。</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(5)Trastuzumab deruxtecan、trastuzumab emtansine 和lapatinib 僅能擇一給付，不得互換。</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2.單獨使用於ER、PR皆陰性且具 HER2弱陽性(IHC 1+或IHC 2+/ISH-)表現之無法切除的局部晚期或轉移性乳癌病人，且符合下列各項條件：</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(1)病人身體狀況良好（ECOG≦1）。</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(2)須接受過至少一種化學療法治療。</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(3)須經事前審查核准後使用，每次申請之療程以12週為限，初次申請時需檢附ER、PR皆為陰性且HER2弱陽性(IHC1+或IHC2+/ISH-)之檢測報告。</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(4)再次申請必須提出客觀證據（如：影像學）證實無惡化，才可繼續使用。</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(5)Trastuzumab deruxtecan和sacituzumab govitecan僅能擇一給付，不得互換。</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3.申報醫療費用時「總量」應依實際使用量申報，取至小數點第一位，第二位四捨五入。</w:t>
      </w:r>
    </w:p>
    <w:p w:rsidR="00B96EA0" w:rsidRDefault="007D66B8" w:rsidP="005142EB">
      <w:pPr>
        <w:spacing w:line="400" w:lineRule="exact"/>
      </w:pPr>
      <w:r>
        <w:rPr>
          <w:rFonts w:ascii="標楷體" w:eastAsia="標楷體" w:hAnsi="標楷體"/>
          <w:szCs w:val="28"/>
        </w:rPr>
        <w:t>9.116.Selumetinib (如Koselugo)：(114/2/1)</w:t>
      </w:r>
    </w:p>
    <w:p w:rsidR="00B96EA0" w:rsidRDefault="007D66B8" w:rsidP="005142EB">
      <w:pPr>
        <w:tabs>
          <w:tab w:val="left" w:pos="1418"/>
        </w:tabs>
        <w:spacing w:line="400" w:lineRule="exact"/>
        <w:ind w:left="811" w:hanging="245"/>
        <w:jc w:val="both"/>
      </w:pPr>
      <w:r>
        <w:rPr>
          <w:rFonts w:ascii="標楷體" w:eastAsia="標楷體" w:hAnsi="標楷體"/>
          <w:szCs w:val="24"/>
        </w:rPr>
        <w:t>1.</w:t>
      </w:r>
      <w:r>
        <w:rPr>
          <w:rFonts w:ascii="標楷體" w:eastAsia="標楷體" w:hAnsi="標楷體"/>
          <w:szCs w:val="28"/>
        </w:rPr>
        <w:t>治療</w:t>
      </w:r>
      <w:r>
        <w:rPr>
          <w:rFonts w:ascii="標楷體" w:eastAsia="標楷體" w:hAnsi="標楷體"/>
          <w:szCs w:val="24"/>
        </w:rPr>
        <w:t>3歲以上至未滿18歲第1型神經纖維瘤(neurofibromatosis type1，NF1) 合併有</w:t>
      </w:r>
      <w:r>
        <w:rPr>
          <w:rFonts w:ascii="標楷體" w:eastAsia="標楷體" w:hAnsi="標楷體"/>
          <w:szCs w:val="24"/>
        </w:rPr>
        <w:lastRenderedPageBreak/>
        <w:t>叢狀神經纖維瘤（plexiform neurofibroma，PN）之兒童病人，且同時符合下列情形：</w:t>
      </w:r>
    </w:p>
    <w:p w:rsidR="00B96EA0" w:rsidRDefault="007D66B8" w:rsidP="005142EB">
      <w:pPr>
        <w:tabs>
          <w:tab w:val="left" w:pos="1185"/>
        </w:tabs>
        <w:spacing w:line="400" w:lineRule="exact"/>
        <w:ind w:left="1051" w:hanging="245"/>
        <w:jc w:val="both"/>
      </w:pPr>
      <w:r>
        <w:rPr>
          <w:rFonts w:ascii="標楷體" w:eastAsia="標楷體" w:hAnsi="標楷體"/>
          <w:szCs w:val="24"/>
        </w:rPr>
        <w:t>(1)無法以</w:t>
      </w:r>
      <w:r>
        <w:rPr>
          <w:rFonts w:ascii="標楷體" w:eastAsia="標楷體" w:hAnsi="標楷體"/>
          <w:szCs w:val="28"/>
        </w:rPr>
        <w:t>手術切除。</w:t>
      </w:r>
    </w:p>
    <w:p w:rsidR="00B96EA0" w:rsidRDefault="007D66B8" w:rsidP="005142EB">
      <w:pPr>
        <w:tabs>
          <w:tab w:val="left" w:pos="1185"/>
        </w:tabs>
        <w:spacing w:line="400" w:lineRule="exact"/>
        <w:ind w:left="1051" w:hanging="245"/>
        <w:jc w:val="both"/>
      </w:pPr>
      <w:r>
        <w:rPr>
          <w:rFonts w:ascii="標楷體" w:eastAsia="標楷體" w:hAnsi="標楷體"/>
          <w:szCs w:val="28"/>
        </w:rPr>
        <w:t>(2)具有症狀</w:t>
      </w:r>
      <w:r>
        <w:rPr>
          <w:rFonts w:ascii="標楷體" w:eastAsia="標楷體" w:hAnsi="標楷體"/>
          <w:szCs w:val="24"/>
        </w:rPr>
        <w:t>且嚴重的PN。</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2.無法以手術切除的定義為：</w:t>
      </w:r>
    </w:p>
    <w:p w:rsidR="00B96EA0" w:rsidRDefault="007D66B8" w:rsidP="005142EB">
      <w:pPr>
        <w:tabs>
          <w:tab w:val="left" w:pos="1185"/>
        </w:tabs>
        <w:spacing w:line="400" w:lineRule="exact"/>
        <w:ind w:left="1051" w:hanging="245"/>
        <w:jc w:val="both"/>
      </w:pPr>
      <w:r>
        <w:rPr>
          <w:rFonts w:ascii="標楷體" w:eastAsia="標楷體" w:hAnsi="標楷體"/>
          <w:szCs w:val="24"/>
        </w:rPr>
        <w:t>(1)經專科醫師</w:t>
      </w:r>
      <w:r>
        <w:rPr>
          <w:rFonts w:ascii="標楷體" w:eastAsia="標楷體" w:hAnsi="標楷體"/>
          <w:szCs w:val="28"/>
        </w:rPr>
        <w:t>評估</w:t>
      </w:r>
      <w:r>
        <w:rPr>
          <w:rFonts w:ascii="標楷體" w:eastAsia="標楷體" w:hAnsi="標楷體"/>
          <w:szCs w:val="24"/>
        </w:rPr>
        <w:t>無法以外科手術治療或手術切除者，須包含下列情形其中之一：</w:t>
      </w:r>
    </w:p>
    <w:p w:rsidR="00B96EA0" w:rsidRDefault="007D66B8" w:rsidP="005142EB">
      <w:pPr>
        <w:tabs>
          <w:tab w:val="left" w:pos="1418"/>
        </w:tabs>
        <w:spacing w:line="400" w:lineRule="exact"/>
        <w:ind w:left="1291" w:hanging="245"/>
        <w:jc w:val="both"/>
      </w:pPr>
      <w:r>
        <w:rPr>
          <w:rFonts w:ascii="標楷體" w:eastAsia="標楷體" w:hAnsi="標楷體"/>
          <w:szCs w:val="24"/>
        </w:rPr>
        <w:t>I.PN包</w:t>
      </w:r>
      <w:r>
        <w:rPr>
          <w:rFonts w:ascii="標楷體" w:eastAsia="標楷體" w:hAnsi="標楷體"/>
          <w:color w:val="000000"/>
        </w:rPr>
        <w:t>裹住或靠近重要器官。</w:t>
      </w:r>
    </w:p>
    <w:p w:rsidR="00B96EA0" w:rsidRDefault="007D66B8" w:rsidP="005142EB">
      <w:pPr>
        <w:tabs>
          <w:tab w:val="left" w:pos="1418"/>
        </w:tabs>
        <w:spacing w:line="400" w:lineRule="exact"/>
        <w:ind w:left="1291" w:hanging="245"/>
        <w:jc w:val="both"/>
      </w:pPr>
      <w:r>
        <w:rPr>
          <w:rFonts w:ascii="標楷體" w:eastAsia="標楷體" w:hAnsi="標楷體"/>
          <w:color w:val="000000"/>
        </w:rPr>
        <w:t>II.PN具</w:t>
      </w:r>
      <w:r>
        <w:rPr>
          <w:rFonts w:ascii="標楷體" w:eastAsia="標楷體" w:hAnsi="標楷體"/>
          <w:szCs w:val="24"/>
        </w:rPr>
        <w:t>侵襲性，或具高度血管分布，易導致術後大量出血、神經損傷或其他嚴重併發症者。</w:t>
      </w:r>
    </w:p>
    <w:p w:rsidR="00B96EA0" w:rsidRDefault="007D66B8" w:rsidP="005142EB">
      <w:pPr>
        <w:tabs>
          <w:tab w:val="left" w:pos="1185"/>
        </w:tabs>
        <w:spacing w:line="400" w:lineRule="exact"/>
        <w:ind w:left="1051" w:hanging="245"/>
        <w:jc w:val="both"/>
      </w:pPr>
      <w:r>
        <w:rPr>
          <w:rFonts w:ascii="標楷體" w:eastAsia="標楷體" w:hAnsi="標楷體"/>
          <w:szCs w:val="24"/>
        </w:rPr>
        <w:t>(2)需</w:t>
      </w:r>
      <w:r>
        <w:rPr>
          <w:rFonts w:ascii="標楷體" w:eastAsia="標楷體" w:hAnsi="標楷體"/>
          <w:szCs w:val="28"/>
        </w:rPr>
        <w:t>檢附經專科醫師評估後具名之手術風險評估報告。</w:t>
      </w:r>
    </w:p>
    <w:p w:rsidR="00B96EA0" w:rsidRDefault="007D66B8" w:rsidP="005142EB">
      <w:pPr>
        <w:tabs>
          <w:tab w:val="left" w:pos="1185"/>
        </w:tabs>
        <w:spacing w:line="400" w:lineRule="exact"/>
        <w:ind w:left="1051" w:hanging="245"/>
        <w:jc w:val="both"/>
      </w:pPr>
      <w:r>
        <w:rPr>
          <w:rFonts w:ascii="標楷體" w:eastAsia="標楷體" w:hAnsi="標楷體"/>
          <w:szCs w:val="28"/>
        </w:rPr>
        <w:t>(3)上</w:t>
      </w:r>
      <w:r>
        <w:rPr>
          <w:rFonts w:ascii="標楷體" w:eastAsia="標楷體" w:hAnsi="標楷體"/>
          <w:szCs w:val="24"/>
        </w:rPr>
        <w:t>述專科醫師包括：神經內科、神經外科、血液腫瘤科、整形外科、耳鼻喉科、一般外科、泌尿科、眼科、皮膚科、小兒神經科、小兒遺傳科或小兒血液腫瘤科。</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3.具有症狀且嚴重的PN定義為因PN引起的嚴重症狀，且符合下列情況之一者：</w:t>
      </w:r>
    </w:p>
    <w:p w:rsidR="00B96EA0" w:rsidRDefault="007D66B8" w:rsidP="005142EB">
      <w:pPr>
        <w:tabs>
          <w:tab w:val="left" w:pos="1185"/>
        </w:tabs>
        <w:spacing w:line="400" w:lineRule="exact"/>
        <w:ind w:left="1051" w:hanging="245"/>
        <w:jc w:val="both"/>
      </w:pPr>
      <w:r>
        <w:rPr>
          <w:rFonts w:ascii="標楷體" w:eastAsia="標楷體" w:hAnsi="標楷體"/>
          <w:szCs w:val="24"/>
        </w:rPr>
        <w:t>(1) 因</w:t>
      </w:r>
      <w:r>
        <w:rPr>
          <w:rFonts w:ascii="標楷體" w:eastAsia="標楷體" w:hAnsi="標楷體"/>
          <w:szCs w:val="28"/>
        </w:rPr>
        <w:t>腫瘤</w:t>
      </w:r>
      <w:r>
        <w:rPr>
          <w:rFonts w:ascii="標楷體" w:eastAsia="標楷體" w:hAnsi="標楷體"/>
          <w:szCs w:val="24"/>
        </w:rPr>
        <w:t>壓迫導致之中度至嚴重的疼痛，需檢附疼痛評估報告(pain scale score需</w:t>
      </w:r>
      <w:r>
        <w:rPr>
          <w:rFonts w:ascii="標楷體" w:eastAsia="標楷體" w:hAnsi="標楷體" w:cs="新細明體"/>
          <w:szCs w:val="24"/>
        </w:rPr>
        <w:t>≧</w:t>
      </w:r>
      <w:r>
        <w:rPr>
          <w:rFonts w:ascii="標楷體" w:eastAsia="標楷體" w:hAnsi="標楷體"/>
          <w:szCs w:val="24"/>
        </w:rPr>
        <w:t>7)。</w:t>
      </w:r>
    </w:p>
    <w:p w:rsidR="00B96EA0" w:rsidRDefault="007D66B8" w:rsidP="005142EB">
      <w:pPr>
        <w:tabs>
          <w:tab w:val="left" w:pos="1185"/>
        </w:tabs>
        <w:spacing w:line="400" w:lineRule="exact"/>
        <w:ind w:left="1051" w:hanging="245"/>
        <w:jc w:val="both"/>
      </w:pPr>
      <w:r>
        <w:rPr>
          <w:rFonts w:ascii="標楷體" w:eastAsia="標楷體" w:hAnsi="標楷體"/>
          <w:szCs w:val="24"/>
        </w:rPr>
        <w:t>(2)PN</w:t>
      </w:r>
      <w:r>
        <w:rPr>
          <w:rFonts w:ascii="標楷體" w:eastAsia="標楷體" w:hAnsi="標楷體"/>
          <w:szCs w:val="28"/>
        </w:rPr>
        <w:t>壓迫</w:t>
      </w:r>
      <w:r>
        <w:rPr>
          <w:rFonts w:ascii="標楷體" w:eastAsia="標楷體" w:hAnsi="標楷體"/>
          <w:szCs w:val="24"/>
        </w:rPr>
        <w:t>臟器、呼吸道、大血管或顱、脊椎、臂叢、腰叢區域神經等部位，以致影響器官功能或功能受損（如視力受損、聽力受損、下半身偏癱、大小便失禁等）。需檢附相關功能受損之評估檢驗報告。</w:t>
      </w:r>
    </w:p>
    <w:p w:rsidR="00B96EA0" w:rsidRDefault="007D66B8" w:rsidP="005142EB">
      <w:pPr>
        <w:tabs>
          <w:tab w:val="left" w:pos="1418"/>
        </w:tabs>
        <w:spacing w:line="400" w:lineRule="exact"/>
        <w:ind w:left="811" w:hanging="245"/>
        <w:jc w:val="both"/>
      </w:pPr>
      <w:r>
        <w:rPr>
          <w:rFonts w:ascii="標楷體" w:eastAsia="標楷體" w:hAnsi="標楷體"/>
          <w:szCs w:val="28"/>
        </w:rPr>
        <w:t>4.需經事前審查核准後使用，每次申請以6</w:t>
      </w:r>
      <w:r>
        <w:rPr>
          <w:rFonts w:ascii="標楷體" w:eastAsia="標楷體" w:hAnsi="標楷體"/>
          <w:szCs w:val="24"/>
        </w:rPr>
        <w:t>個月為</w:t>
      </w:r>
      <w:r>
        <w:rPr>
          <w:rFonts w:ascii="標楷體" w:eastAsia="標楷體" w:hAnsi="標楷體"/>
          <w:szCs w:val="28"/>
        </w:rPr>
        <w:t>限，初次申請時須提供疾病相關檢驗及症狀證據，如照片、檢查影像、病理報告或評估報告；再次申請時應檢附前次治療結果評估資料，以RECIST標準評定藥物療效反應，</w:t>
      </w:r>
      <w:r>
        <w:rPr>
          <w:rFonts w:ascii="標楷體" w:eastAsia="標楷體" w:hAnsi="標楷體"/>
          <w:szCs w:val="24"/>
        </w:rPr>
        <w:t>如有下列情況之一，應停止使用</w:t>
      </w:r>
      <w:r>
        <w:rPr>
          <w:rFonts w:ascii="標楷體" w:eastAsia="標楷體" w:hAnsi="標楷體"/>
          <w:szCs w:val="28"/>
        </w:rPr>
        <w:t>：</w:t>
      </w:r>
    </w:p>
    <w:p w:rsidR="00B96EA0" w:rsidRDefault="007D66B8" w:rsidP="005142EB">
      <w:pPr>
        <w:tabs>
          <w:tab w:val="left" w:pos="1185"/>
        </w:tabs>
        <w:spacing w:line="400" w:lineRule="exact"/>
        <w:ind w:left="1051" w:hanging="245"/>
        <w:jc w:val="both"/>
      </w:pPr>
      <w:r>
        <w:rPr>
          <w:rFonts w:ascii="標楷體" w:eastAsia="標楷體" w:hAnsi="標楷體"/>
          <w:szCs w:val="24"/>
        </w:rPr>
        <w:t>(1)病情惡化</w:t>
      </w:r>
      <w:r>
        <w:rPr>
          <w:rFonts w:ascii="標楷體" w:eastAsia="標楷體" w:hAnsi="標楷體"/>
          <w:szCs w:val="28"/>
        </w:rPr>
        <w:t>(PD，指與基準點或用藥後的最佳反應時相比時，目標PN最大直徑總和增加</w:t>
      </w:r>
      <w:r>
        <w:rPr>
          <w:rFonts w:ascii="Times New Roman" w:eastAsia="標楷體" w:hAnsi="Times New Roman"/>
          <w:szCs w:val="28"/>
        </w:rPr>
        <w:t>≥</w:t>
      </w:r>
      <w:r>
        <w:rPr>
          <w:rFonts w:ascii="標楷體" w:eastAsia="標楷體" w:hAnsi="標楷體"/>
          <w:szCs w:val="28"/>
        </w:rPr>
        <w:t>20%，或有新PN出現)。</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(2)無法耐受藥品副作用。</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(3)原無法手術切除的PN得以接受完整手術切除。</w:t>
      </w:r>
    </w:p>
    <w:p w:rsidR="00B96EA0" w:rsidRDefault="007D66B8" w:rsidP="005142EB">
      <w:pPr>
        <w:tabs>
          <w:tab w:val="left" w:pos="1185"/>
        </w:tabs>
        <w:spacing w:line="400" w:lineRule="exact"/>
        <w:ind w:left="1051" w:hanging="245"/>
        <w:jc w:val="both"/>
      </w:pPr>
      <w:r>
        <w:rPr>
          <w:rFonts w:ascii="標楷體" w:eastAsia="標楷體" w:hAnsi="標楷體"/>
          <w:szCs w:val="28"/>
        </w:rPr>
        <w:t>(4)經治療18個月後，初次申請之目標PN引起之症狀未改善且PN惡化。</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5.每日最高劑量為100 mg。</w:t>
      </w:r>
    </w:p>
    <w:p w:rsidR="00B96EA0" w:rsidRDefault="007D66B8" w:rsidP="005142EB">
      <w:pPr>
        <w:spacing w:line="400" w:lineRule="exact"/>
        <w:rPr>
          <w:rFonts w:ascii="標楷體" w:eastAsia="標楷體" w:hAnsi="標楷體"/>
          <w:color w:val="000000"/>
        </w:rPr>
      </w:pPr>
      <w:r>
        <w:rPr>
          <w:rFonts w:ascii="標楷體" w:eastAsia="標楷體" w:hAnsi="標楷體"/>
          <w:color w:val="000000"/>
        </w:rPr>
        <w:t>9.117.Selinexor(如Xpovio)：(114/3/1)</w:t>
      </w:r>
    </w:p>
    <w:p w:rsidR="00B96EA0" w:rsidRDefault="007D66B8" w:rsidP="005142EB">
      <w:pPr>
        <w:tabs>
          <w:tab w:val="left" w:pos="1418"/>
        </w:tabs>
        <w:spacing w:line="400" w:lineRule="exact"/>
        <w:ind w:left="811" w:hanging="245"/>
        <w:jc w:val="both"/>
      </w:pPr>
      <w:r>
        <w:rPr>
          <w:rFonts w:ascii="標楷體" w:eastAsia="標楷體" w:hAnsi="標楷體"/>
          <w:color w:val="000000"/>
        </w:rPr>
        <w:t>1.</w:t>
      </w:r>
      <w:r>
        <w:rPr>
          <w:rFonts w:ascii="標楷體" w:eastAsia="標楷體" w:hAnsi="標楷體"/>
          <w:szCs w:val="28"/>
        </w:rPr>
        <w:t>與bortezomib及dexamethasone合併使用於先前已接受至少2種治療失敗之多發性骨髓瘤病人，且須具有良好日常體能狀態(ECOG&lt;2)者。</w:t>
      </w:r>
    </w:p>
    <w:p w:rsidR="00B96EA0" w:rsidRDefault="007D66B8" w:rsidP="005142EB">
      <w:pPr>
        <w:tabs>
          <w:tab w:val="left" w:pos="1418"/>
        </w:tabs>
        <w:spacing w:line="400" w:lineRule="exact"/>
        <w:ind w:left="811" w:hanging="245"/>
        <w:jc w:val="both"/>
      </w:pPr>
      <w:r>
        <w:rPr>
          <w:rFonts w:ascii="標楷體" w:eastAsia="標楷體" w:hAnsi="標楷體"/>
          <w:szCs w:val="28"/>
        </w:rPr>
        <w:t>2.須</w:t>
      </w:r>
      <w:r>
        <w:rPr>
          <w:rFonts w:ascii="標楷體" w:eastAsia="標楷體" w:hAnsi="標楷體"/>
          <w:color w:val="000000"/>
        </w:rPr>
        <w:t>經事前審查核准後使用：</w:t>
      </w:r>
    </w:p>
    <w:p w:rsidR="00B96EA0" w:rsidRDefault="007D66B8" w:rsidP="000C7C60">
      <w:pPr>
        <w:tabs>
          <w:tab w:val="left" w:pos="1185"/>
        </w:tabs>
        <w:spacing w:line="400" w:lineRule="exact"/>
        <w:ind w:left="993" w:hanging="245"/>
        <w:jc w:val="both"/>
      </w:pPr>
      <w:r>
        <w:rPr>
          <w:rFonts w:ascii="標楷體" w:eastAsia="標楷體" w:hAnsi="標楷體"/>
          <w:color w:val="000000"/>
        </w:rPr>
        <w:t>(1)</w:t>
      </w:r>
      <w:r w:rsidRPr="000C7C60">
        <w:rPr>
          <w:rFonts w:ascii="標楷體" w:eastAsia="標楷體" w:hAnsi="標楷體"/>
          <w:color w:val="000000"/>
        </w:rPr>
        <w:t>初次</w:t>
      </w:r>
      <w:r>
        <w:rPr>
          <w:rFonts w:ascii="標楷體" w:eastAsia="標楷體" w:hAnsi="標楷體"/>
          <w:color w:val="000000"/>
        </w:rPr>
        <w:t>申請以4個療程(每療程為5週)為限，且需同時符合下列Ⅰ.與Ⅱ.的條件：</w:t>
      </w:r>
    </w:p>
    <w:p w:rsidR="00B96EA0" w:rsidRDefault="007D66B8" w:rsidP="005142EB">
      <w:pPr>
        <w:tabs>
          <w:tab w:val="left" w:pos="1418"/>
        </w:tabs>
        <w:spacing w:line="400" w:lineRule="exact"/>
        <w:ind w:left="1291" w:hanging="245"/>
        <w:jc w:val="both"/>
      </w:pPr>
      <w:r>
        <w:rPr>
          <w:rFonts w:ascii="標楷體" w:eastAsia="標楷體" w:hAnsi="標楷體"/>
          <w:color w:val="000000"/>
        </w:rPr>
        <w:t>I.</w:t>
      </w:r>
      <w:r>
        <w:rPr>
          <w:rFonts w:ascii="標楷體" w:eastAsia="標楷體" w:hAnsi="標楷體"/>
          <w:szCs w:val="24"/>
        </w:rPr>
        <w:t>具有</w:t>
      </w:r>
      <w:r>
        <w:rPr>
          <w:rFonts w:ascii="標楷體" w:eastAsia="標楷體" w:hAnsi="標楷體"/>
          <w:color w:val="000000"/>
        </w:rPr>
        <w:t>下列任一疾病惡化的指標：病患開始治療前須在連續2次評估中均符合同一指標(但若為plamacytoma體積增加，或是新產生的bone lesion(s)或新plasmacytoma，則僅需1次評估)：</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lastRenderedPageBreak/>
        <w:t>i.若前一線治療中M component最低值≧5g/dL，血清M蛋白需增加≧1g/dL；若前一線治療中M component最低值＜5g/dL，血清M蛋白需增加≧0.5g/dL。</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ii.Urine M-protein需增加≧0.2gm/24Hr，且需較前一線治療中的最低值增加≧25%。</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iii.在non-secretary myeloma病患，骨髓漿細胞(plasmacells)之比例絕對值增加≧10%，且需較前一線治療中的最低值增加≧25%。</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v.Plasmacytoma體積增加≧50%。</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II.出現下列任一臨床症狀：</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i.新產生的bone lesion(s)或plasmacytoma；且須經病理切片證實。</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ii.Plasmacytoma體積增加≧50%。</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iii.高血鈣(corrected serumcalcium＞11.0mg/dL或2.75mmol/L)。</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iv.貧血(Hemoglobin下降幅度≧2gm/dL且無其他原因可以解釋)。</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vi.出現其他end-organ dysfunctions。</w:t>
      </w:r>
    </w:p>
    <w:p w:rsidR="00B96EA0" w:rsidRDefault="007D66B8" w:rsidP="000C7C60">
      <w:pPr>
        <w:tabs>
          <w:tab w:val="left" w:pos="1185"/>
        </w:tabs>
        <w:spacing w:line="400" w:lineRule="exact"/>
        <w:ind w:left="993" w:hanging="245"/>
        <w:jc w:val="both"/>
      </w:pPr>
      <w:r>
        <w:rPr>
          <w:rFonts w:ascii="標楷體" w:eastAsia="標楷體" w:hAnsi="標楷體"/>
          <w:color w:val="000000"/>
        </w:rPr>
        <w:t>(2)</w:t>
      </w:r>
      <w:r w:rsidRPr="000C7C60">
        <w:rPr>
          <w:rFonts w:ascii="標楷體" w:eastAsia="標楷體" w:hAnsi="標楷體"/>
          <w:color w:val="000000"/>
        </w:rPr>
        <w:t>再次</w:t>
      </w:r>
      <w:r>
        <w:rPr>
          <w:rFonts w:ascii="標楷體" w:eastAsia="標楷體" w:hAnsi="標楷體"/>
          <w:color w:val="000000"/>
        </w:rPr>
        <w:t>申請時必須確定paraprotein(M-protein)未上升(即表示對藥物有反應或為穩定狀態)；或對部分non-secretory type MM病人以骨髓檢查plasma cell為療效依據，證明為對藥物有反應或為穩定狀態，方可繼續使用。續用時的申請每次以4個療程為限。</w:t>
      </w:r>
    </w:p>
    <w:p w:rsidR="00B96EA0" w:rsidRDefault="007D66B8" w:rsidP="000C7C60">
      <w:pPr>
        <w:tabs>
          <w:tab w:val="left" w:pos="1185"/>
        </w:tabs>
        <w:spacing w:line="400" w:lineRule="exact"/>
        <w:ind w:left="993" w:hanging="245"/>
        <w:jc w:val="both"/>
        <w:rPr>
          <w:rFonts w:ascii="標楷體" w:eastAsia="標楷體" w:hAnsi="標楷體"/>
          <w:color w:val="000000"/>
        </w:rPr>
      </w:pPr>
      <w:r>
        <w:rPr>
          <w:rFonts w:ascii="標楷體" w:eastAsia="標楷體" w:hAnsi="標楷體"/>
          <w:color w:val="000000"/>
        </w:rPr>
        <w:t>(3)每人終生以8個療程為上限。</w:t>
      </w:r>
    </w:p>
    <w:p w:rsidR="000C7C60" w:rsidRDefault="000C7C60" w:rsidP="000C7C60">
      <w:pPr>
        <w:spacing w:line="400" w:lineRule="exact"/>
        <w:ind w:left="280" w:hanging="280"/>
        <w:rPr>
          <w:rFonts w:ascii="標楷體" w:eastAsia="標楷體" w:hAnsi="標楷體"/>
          <w:szCs w:val="24"/>
        </w:rPr>
      </w:pPr>
      <w:bookmarkStart w:id="49" w:name="_Hlk204088647"/>
      <w:r w:rsidRPr="000C7C60">
        <w:rPr>
          <w:rFonts w:ascii="標楷體" w:eastAsia="標楷體" w:hAnsi="標楷體"/>
          <w:szCs w:val="24"/>
        </w:rPr>
        <w:t>9.</w:t>
      </w:r>
      <w:r>
        <w:rPr>
          <w:rFonts w:ascii="標楷體" w:eastAsia="標楷體" w:hAnsi="標楷體" w:hint="eastAsia"/>
          <w:szCs w:val="24"/>
        </w:rPr>
        <w:t>118</w:t>
      </w:r>
      <w:r w:rsidRPr="000C7C60">
        <w:rPr>
          <w:rFonts w:ascii="標楷體" w:eastAsia="標楷體" w:hAnsi="標楷體"/>
          <w:szCs w:val="24"/>
        </w:rPr>
        <w:t>.Elranatamab (如Elrexfio)：(114/5/1</w:t>
      </w:r>
      <w:r w:rsidRPr="000C7C60">
        <w:rPr>
          <w:rFonts w:ascii="標楷體" w:eastAsia="標楷體" w:hAnsi="標楷體" w:hint="eastAsia"/>
          <w:szCs w:val="24"/>
        </w:rPr>
        <w:t>、114/8/1</w:t>
      </w:r>
      <w:r w:rsidRPr="000C7C60">
        <w:rPr>
          <w:rFonts w:ascii="標楷體" w:eastAsia="標楷體" w:hAnsi="標楷體"/>
          <w:szCs w:val="24"/>
        </w:rPr>
        <w:t>)</w:t>
      </w:r>
    </w:p>
    <w:p w:rsidR="000C7C60" w:rsidRPr="000C7C60" w:rsidRDefault="000C7C60" w:rsidP="00617D60">
      <w:pPr>
        <w:spacing w:line="400" w:lineRule="exact"/>
        <w:ind w:left="567" w:hanging="283"/>
        <w:rPr>
          <w:rFonts w:ascii="標楷體" w:eastAsia="標楷體" w:hAnsi="標楷體"/>
          <w:szCs w:val="24"/>
        </w:rPr>
      </w:pPr>
      <w:r>
        <w:rPr>
          <w:rFonts w:ascii="標楷體" w:eastAsia="標楷體" w:hAnsi="標楷體" w:hint="eastAsia"/>
          <w:szCs w:val="24"/>
        </w:rPr>
        <w:t>1.</w:t>
      </w:r>
      <w:r w:rsidRPr="000C7C60">
        <w:rPr>
          <w:rFonts w:ascii="標楷體" w:eastAsia="標楷體" w:hAnsi="標楷體"/>
          <w:szCs w:val="24"/>
        </w:rPr>
        <w:t>適用於治療先前曾接受至少四線療法(包括一種蛋白酶體抑制劑、一種免疫調節劑和一種抗CD38單株抗體)並在最近治療後顯示為疾病惡化的復發性或難治性多發性骨髓瘤成人病人，且須具有良好日常體能狀態(ECOG</w:t>
      </w:r>
      <w:r w:rsidRPr="000C7C60">
        <w:rPr>
          <w:rFonts w:ascii="Times New Roman" w:eastAsia="標楷體" w:hAnsi="Times New Roman"/>
          <w:szCs w:val="24"/>
        </w:rPr>
        <w:t>≤</w:t>
      </w:r>
      <w:r w:rsidRPr="000C7C60">
        <w:rPr>
          <w:rFonts w:ascii="標楷體" w:eastAsia="標楷體" w:hAnsi="標楷體"/>
          <w:szCs w:val="24"/>
        </w:rPr>
        <w:t>2)。</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2.須經事前審查核准後使用：</w:t>
      </w:r>
    </w:p>
    <w:p w:rsidR="000C7C60" w:rsidRPr="000C7C60" w:rsidRDefault="000C7C60" w:rsidP="000C7C60">
      <w:pPr>
        <w:spacing w:line="400" w:lineRule="exact"/>
        <w:ind w:left="567" w:firstLine="167"/>
        <w:rPr>
          <w:rFonts w:ascii="標楷體" w:eastAsia="標楷體" w:hAnsi="標楷體"/>
          <w:szCs w:val="24"/>
        </w:rPr>
      </w:pPr>
      <w:r w:rsidRPr="000C7C60">
        <w:rPr>
          <w:rFonts w:ascii="標楷體" w:eastAsia="標楷體" w:hAnsi="標楷體"/>
          <w:szCs w:val="24"/>
        </w:rPr>
        <w:t>(1)首次申請為13次輸注，且需同時符合下列Ⅰ.與Ⅱ.的條件：</w:t>
      </w:r>
    </w:p>
    <w:p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I.具有下列任一疾病惡化的指標：病人開始治療前須在連續2次評估中均符合同一指標 (但若為plamacytoma 體積增加，或是新產生的bone lesion(s)或新plasmacytoma，則僅需1次評估)：</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i.若前一線治療中M component 最低值≧5 g/dL，血清M蛋白需增加≧1 g/dL；若前一線治療中M component 最低值＜5 g/dL，血清M蛋白需增加≧0.5g/dL。</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ii.Urine M-protein需增加≧0.2 gm/24Hr，且需較前一線治療中的最低值增加≧25%。</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lastRenderedPageBreak/>
        <w:t>iii.在non-secretary myeloma病人，骨髓漿細胞 (plasma cells)之比例絕對值增加≧10%，且需較前一線治療中的最低值增加≧25%。</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iv.新產生的bone lesion(s)或plasmacytoma，且須經病理切片證實。</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v.Plasmacytoma體積增加≧50%。</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vi.周邊血液中漿細胞比例≧20%或漿細胞絕對值≧2000 cells/μL。</w:t>
      </w:r>
    </w:p>
    <w:p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II.出現下列任一臨床症狀：</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i.新產生的bone lesion(s)或plasmacytoma，且須經病理切片證實。</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ii.Plasmacytoma 體積增加≧50%。</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iii.高血鈣(corrected serum calcium＞11.0 mg/dL或2.75 mmol/L)。</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iv.貧血(Hemoglobin 下降幅度≧ 2gm/dL 且無其他原因可以解釋)。</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v.腎功能惡化(eGFR下降幅度≧25%)，且無其他原因可以解釋。</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vi.出現其他end-organ dysfunctions。</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(2)再次申請時必須確定paraprotein (M-protein)未上升(即表示對藥物有反應或為穩定狀態)，或對部分non-secretory type MM 病人以骨髓檢查plasma cell 為療效依據，方可繼續使用。續用申請每次以13次輸注為限。</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3.每位病人終生限給付39次輸注。</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4.執行醫師須完全符合下列資格：</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(1)</w:t>
      </w:r>
      <w:r w:rsidRPr="000C7C60">
        <w:rPr>
          <w:rFonts w:ascii="標楷體" w:eastAsia="標楷體" w:hAnsi="標楷體" w:hint="eastAsia"/>
          <w:szCs w:val="24"/>
        </w:rPr>
        <w:t>醫師必須為血液病或造血幹細胞移植專科醫師且須完成血液病和造血幹細胞移植的相關照護訓練。</w:t>
      </w:r>
      <w:r w:rsidRPr="000C7C60">
        <w:rPr>
          <w:rFonts w:ascii="標楷體" w:eastAsia="標楷體" w:hAnsi="標楷體"/>
          <w:szCs w:val="24"/>
        </w:rPr>
        <w:t>(114/5/1</w:t>
      </w:r>
      <w:r w:rsidRPr="000C7C60">
        <w:rPr>
          <w:rFonts w:ascii="標楷體" w:eastAsia="標楷體" w:hAnsi="標楷體" w:hint="eastAsia"/>
          <w:szCs w:val="24"/>
        </w:rPr>
        <w:t>、</w:t>
      </w:r>
      <w:r w:rsidRPr="000C7C60">
        <w:rPr>
          <w:rFonts w:ascii="標楷體" w:eastAsia="標楷體" w:hAnsi="標楷體"/>
          <w:szCs w:val="24"/>
        </w:rPr>
        <w:t>114/8/1)</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(2)每兩年接受至少6小時中華民國血液及骨髓移植學會或中華民國血液病學會舉辦之雙特異性抗體相關治療教育訓練。</w:t>
      </w:r>
    </w:p>
    <w:p w:rsidR="00B96EA0" w:rsidRDefault="000C7C60" w:rsidP="00617D60">
      <w:pPr>
        <w:spacing w:line="400" w:lineRule="exact"/>
        <w:ind w:left="567" w:hanging="283"/>
      </w:pPr>
      <w:r w:rsidRPr="000C7C60">
        <w:rPr>
          <w:rFonts w:ascii="標楷體" w:eastAsia="標楷體" w:hAnsi="標楷體"/>
          <w:szCs w:val="24"/>
        </w:rPr>
        <w:t>5.Elranatamab與teclistamab僅能擇一給付，除因耐受性不良，不得互換。二者使用總療程合併計算，以全部39次輸注為上限。</w:t>
      </w:r>
    </w:p>
    <w:bookmarkEnd w:id="49"/>
    <w:p w:rsidR="00EA4516" w:rsidRPr="00EA4516" w:rsidRDefault="00EA4516" w:rsidP="00EA4516">
      <w:pPr>
        <w:snapToGrid w:val="0"/>
        <w:spacing w:line="400" w:lineRule="exact"/>
        <w:rPr>
          <w:rFonts w:ascii="標楷體" w:eastAsia="標楷體" w:hAnsi="標楷體"/>
          <w:szCs w:val="24"/>
        </w:rPr>
      </w:pPr>
      <w:r w:rsidRPr="00EA4516">
        <w:rPr>
          <w:rFonts w:ascii="標楷體" w:eastAsia="標楷體" w:hAnsi="標楷體"/>
          <w:szCs w:val="24"/>
        </w:rPr>
        <w:t>9.119. Teclistamab (如Tecvayli) ：(114/5/1</w:t>
      </w:r>
      <w:r w:rsidRPr="00EA4516">
        <w:rPr>
          <w:rFonts w:ascii="標楷體" w:eastAsia="標楷體" w:hAnsi="標楷體" w:hint="eastAsia"/>
          <w:szCs w:val="24"/>
        </w:rPr>
        <w:t>、114/8/1</w:t>
      </w:r>
      <w:r w:rsidRPr="00EA4516">
        <w:rPr>
          <w:rFonts w:ascii="標楷體" w:eastAsia="標楷體" w:hAnsi="標楷體"/>
          <w:szCs w:val="24"/>
        </w:rPr>
        <w:t>)</w:t>
      </w:r>
    </w:p>
    <w:p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rPr>
      </w:pPr>
      <w:r w:rsidRPr="00EA4516">
        <w:rPr>
          <w:rFonts w:ascii="標楷體" w:eastAsia="標楷體" w:hAnsi="標楷體"/>
          <w:szCs w:val="24"/>
        </w:rPr>
        <w:t xml:space="preserve">適用於治療先前曾接受至少四線療法(包括一種蛋白酶體抑制劑、一種免疫調節劑和一種抗CD38單株抗體)並在最近治療後顯示疾病惡化的復發性或難治性多發性骨髓瘤成人病人，且須具有良好日常體能狀態(ECOG </w:t>
      </w:r>
      <w:r w:rsidRPr="00EA4516">
        <w:rPr>
          <w:rFonts w:ascii="Times New Roman" w:eastAsia="標楷體" w:hAnsi="Times New Roman"/>
          <w:szCs w:val="24"/>
        </w:rPr>
        <w:t>≤</w:t>
      </w:r>
      <w:r w:rsidRPr="00EA4516">
        <w:rPr>
          <w:rFonts w:ascii="標楷體" w:eastAsia="標楷體" w:hAnsi="標楷體"/>
          <w:szCs w:val="24"/>
        </w:rPr>
        <w:t xml:space="preserve"> 2)。 </w:t>
      </w:r>
    </w:p>
    <w:p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須經事前審查核准後使用：</w:t>
      </w:r>
    </w:p>
    <w:p w:rsidR="00EA4516" w:rsidRPr="00EA4516" w:rsidRDefault="00EA4516" w:rsidP="00167FEB">
      <w:pPr>
        <w:numPr>
          <w:ilvl w:val="1"/>
          <w:numId w:val="17"/>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首次申請為30mg/3ml規格2次輸注與153mg/1.7ml規格11次輸注，且需同時符合下列Ⅰ.與Ⅱ.的條件：</w:t>
      </w:r>
    </w:p>
    <w:p w:rsidR="00EA4516" w:rsidRPr="00EA4516" w:rsidRDefault="00EA4516" w:rsidP="00EA4516">
      <w:pPr>
        <w:suppressAutoHyphens w:val="0"/>
        <w:snapToGrid w:val="0"/>
        <w:spacing w:line="400" w:lineRule="exact"/>
        <w:ind w:leftChars="508" w:left="1699" w:hangingChars="200" w:hanging="480"/>
        <w:textAlignment w:val="auto"/>
        <w:rPr>
          <w:rFonts w:ascii="標楷體" w:eastAsia="標楷體" w:hAnsi="標楷體"/>
          <w:szCs w:val="24"/>
        </w:rPr>
      </w:pPr>
      <w:r w:rsidRPr="00EA4516">
        <w:rPr>
          <w:rFonts w:ascii="標楷體" w:eastAsia="標楷體" w:hAnsi="標楷體" w:hint="eastAsia"/>
          <w:szCs w:val="24"/>
        </w:rPr>
        <w:t>Ⅰ.</w:t>
      </w:r>
      <w:r w:rsidRPr="00EA4516">
        <w:rPr>
          <w:rFonts w:ascii="標楷體" w:eastAsia="標楷體" w:hAnsi="標楷體"/>
          <w:szCs w:val="24"/>
        </w:rPr>
        <w:t>具有下列任一疾病惡化的指標：病人開始治療前須在連續2次評估中均符合同一指標 (但若為plamacytoma 體積增加，或是新產生的bone lesion(s)或新plasmacytoma，則僅需1次評估)：</w:t>
      </w:r>
    </w:p>
    <w:p w:rsidR="00EA4516" w:rsidRPr="00EA4516" w:rsidRDefault="00EA4516" w:rsidP="00167FEB">
      <w:pPr>
        <w:numPr>
          <w:ilvl w:val="3"/>
          <w:numId w:val="17"/>
        </w:numPr>
        <w:suppressAutoHyphens w:val="0"/>
        <w:snapToGrid w:val="0"/>
        <w:spacing w:line="400" w:lineRule="exact"/>
        <w:ind w:leftChars="710" w:left="1985" w:hangingChars="117" w:hanging="281"/>
        <w:textAlignment w:val="auto"/>
        <w:rPr>
          <w:rFonts w:ascii="標楷體" w:eastAsia="標楷體" w:hAnsi="標楷體"/>
        </w:rPr>
      </w:pPr>
      <w:r w:rsidRPr="00EA4516">
        <w:rPr>
          <w:rFonts w:ascii="標楷體" w:eastAsia="標楷體" w:hAnsi="標楷體"/>
        </w:rPr>
        <w:t>若前一線治療中M component 最低值</w:t>
      </w:r>
      <w:r w:rsidRPr="00EA4516">
        <w:rPr>
          <w:rFonts w:ascii="標楷體" w:eastAsia="標楷體" w:hAnsi="標楷體" w:cs="新細明體"/>
        </w:rPr>
        <w:t>≧</w:t>
      </w:r>
      <w:r w:rsidRPr="00EA4516">
        <w:rPr>
          <w:rFonts w:ascii="標楷體" w:eastAsia="標楷體" w:hAnsi="標楷體"/>
        </w:rPr>
        <w:t>5 g/dL，血清M蛋白需增加</w:t>
      </w:r>
      <w:r w:rsidRPr="00EA4516">
        <w:rPr>
          <w:rFonts w:ascii="標楷體" w:eastAsia="標楷體" w:hAnsi="標楷體" w:cs="新細明體"/>
        </w:rPr>
        <w:t>≧</w:t>
      </w:r>
      <w:r w:rsidRPr="00EA4516">
        <w:rPr>
          <w:rFonts w:ascii="標楷體" w:eastAsia="標楷體" w:hAnsi="標楷體"/>
        </w:rPr>
        <w:t>1 g/dL；若前一線治療中M component 最低值＜5 g/dL，血清M蛋白需增加</w:t>
      </w:r>
      <w:r w:rsidRPr="00EA4516">
        <w:rPr>
          <w:rFonts w:ascii="標楷體" w:eastAsia="標楷體" w:hAnsi="標楷體" w:cs="新細明體"/>
        </w:rPr>
        <w:t>≧</w:t>
      </w:r>
      <w:r w:rsidRPr="00EA4516">
        <w:rPr>
          <w:rFonts w:ascii="標楷體" w:eastAsia="標楷體" w:hAnsi="標楷體"/>
        </w:rPr>
        <w:t>0.5g/dL。</w:t>
      </w:r>
    </w:p>
    <w:p w:rsidR="00EA4516" w:rsidRPr="00EA4516" w:rsidRDefault="00EA4516" w:rsidP="00167FEB">
      <w:pPr>
        <w:numPr>
          <w:ilvl w:val="3"/>
          <w:numId w:val="17"/>
        </w:numPr>
        <w:suppressAutoHyphens w:val="0"/>
        <w:snapToGrid w:val="0"/>
        <w:spacing w:line="400" w:lineRule="exact"/>
        <w:ind w:leftChars="710" w:left="2126" w:hangingChars="176" w:hanging="422"/>
        <w:textAlignment w:val="auto"/>
        <w:rPr>
          <w:rFonts w:ascii="標楷體" w:eastAsia="標楷體" w:hAnsi="標楷體"/>
        </w:rPr>
      </w:pPr>
      <w:r w:rsidRPr="00EA4516">
        <w:rPr>
          <w:rFonts w:ascii="標楷體" w:eastAsia="標楷體" w:hAnsi="標楷體"/>
        </w:rPr>
        <w:lastRenderedPageBreak/>
        <w:t>Urine M-protein需增加</w:t>
      </w:r>
      <w:r w:rsidRPr="00EA4516">
        <w:rPr>
          <w:rFonts w:ascii="標楷體" w:eastAsia="標楷體" w:hAnsi="標楷體" w:cs="新細明體"/>
        </w:rPr>
        <w:t>≧</w:t>
      </w:r>
      <w:r w:rsidRPr="00EA4516">
        <w:rPr>
          <w:rFonts w:ascii="標楷體" w:eastAsia="標楷體" w:hAnsi="標楷體"/>
        </w:rPr>
        <w:t>0.2 gm/24Hr，且需較前一線治療中的最低值增加</w:t>
      </w:r>
      <w:r w:rsidRPr="00EA4516">
        <w:rPr>
          <w:rFonts w:ascii="標楷體" w:eastAsia="標楷體" w:hAnsi="標楷體" w:cs="新細明體"/>
        </w:rPr>
        <w:t>≧</w:t>
      </w:r>
      <w:r w:rsidRPr="00EA4516">
        <w:rPr>
          <w:rFonts w:ascii="標楷體" w:eastAsia="標楷體" w:hAnsi="標楷體"/>
        </w:rPr>
        <w:t>25%。</w:t>
      </w:r>
    </w:p>
    <w:p w:rsidR="00EA4516" w:rsidRPr="00EA4516" w:rsidRDefault="00EA4516" w:rsidP="00167FEB">
      <w:pPr>
        <w:numPr>
          <w:ilvl w:val="3"/>
          <w:numId w:val="17"/>
        </w:numPr>
        <w:suppressAutoHyphens w:val="0"/>
        <w:snapToGrid w:val="0"/>
        <w:spacing w:line="400" w:lineRule="exact"/>
        <w:ind w:leftChars="709" w:left="2268" w:hangingChars="236" w:hanging="566"/>
        <w:textAlignment w:val="auto"/>
        <w:rPr>
          <w:rFonts w:ascii="標楷體" w:eastAsia="標楷體" w:hAnsi="標楷體"/>
        </w:rPr>
      </w:pPr>
      <w:r w:rsidRPr="00EA4516">
        <w:rPr>
          <w:rFonts w:ascii="標楷體" w:eastAsia="標楷體" w:hAnsi="標楷體"/>
        </w:rPr>
        <w:t>在non-secretary myeloma病人，骨髓漿細胞 (plasma cells)之比例絕對值增加≧10%，且需較前一線治療中的最低值增加≧25%。</w:t>
      </w:r>
    </w:p>
    <w:p w:rsidR="00EA4516" w:rsidRPr="00EA4516" w:rsidRDefault="00EA4516" w:rsidP="00167FEB">
      <w:pPr>
        <w:numPr>
          <w:ilvl w:val="3"/>
          <w:numId w:val="17"/>
        </w:numPr>
        <w:tabs>
          <w:tab w:val="left" w:pos="2127"/>
        </w:tabs>
        <w:suppressAutoHyphens w:val="0"/>
        <w:snapToGrid w:val="0"/>
        <w:spacing w:line="400" w:lineRule="exact"/>
        <w:ind w:leftChars="708" w:left="1699" w:firstLine="2"/>
        <w:textAlignment w:val="auto"/>
        <w:rPr>
          <w:rFonts w:ascii="標楷體" w:eastAsia="標楷體" w:hAnsi="標楷體"/>
        </w:rPr>
      </w:pPr>
      <w:r w:rsidRPr="00EA4516">
        <w:rPr>
          <w:rFonts w:ascii="標楷體" w:eastAsia="標楷體" w:hAnsi="標楷體"/>
        </w:rPr>
        <w:t>新產生的bone lesion(s)或plasmacytoma，且須經病理切片證實。</w:t>
      </w:r>
    </w:p>
    <w:p w:rsidR="00EA4516" w:rsidRPr="00EA4516" w:rsidRDefault="00EA4516" w:rsidP="00167FEB">
      <w:pPr>
        <w:numPr>
          <w:ilvl w:val="3"/>
          <w:numId w:val="17"/>
        </w:numPr>
        <w:suppressAutoHyphens w:val="0"/>
        <w:snapToGrid w:val="0"/>
        <w:spacing w:line="400" w:lineRule="exact"/>
        <w:ind w:leftChars="769" w:left="2127" w:hangingChars="117" w:hanging="281"/>
        <w:textAlignment w:val="auto"/>
        <w:rPr>
          <w:rFonts w:ascii="標楷體" w:eastAsia="標楷體" w:hAnsi="標楷體"/>
        </w:rPr>
      </w:pPr>
      <w:r w:rsidRPr="00EA4516">
        <w:rPr>
          <w:rFonts w:ascii="標楷體" w:eastAsia="標楷體" w:hAnsi="標楷體"/>
        </w:rPr>
        <w:t>Plasmacytoma體積增加≧50%。</w:t>
      </w:r>
    </w:p>
    <w:p w:rsidR="00EA4516" w:rsidRDefault="00EA4516" w:rsidP="00167FEB">
      <w:pPr>
        <w:numPr>
          <w:ilvl w:val="3"/>
          <w:numId w:val="17"/>
        </w:numPr>
        <w:suppressAutoHyphens w:val="0"/>
        <w:snapToGrid w:val="0"/>
        <w:spacing w:line="400" w:lineRule="exact"/>
        <w:ind w:leftChars="768" w:left="2265" w:hangingChars="176" w:hanging="422"/>
        <w:textAlignment w:val="auto"/>
        <w:rPr>
          <w:rFonts w:ascii="標楷體" w:eastAsia="標楷體" w:hAnsi="標楷體"/>
        </w:rPr>
      </w:pPr>
      <w:r w:rsidRPr="00EA4516">
        <w:rPr>
          <w:rFonts w:ascii="標楷體" w:eastAsia="標楷體" w:hAnsi="標楷體"/>
        </w:rPr>
        <w:t>周邊血液中漿細胞比例</w:t>
      </w:r>
      <w:r w:rsidRPr="00EA4516">
        <w:rPr>
          <w:rFonts w:ascii="標楷體" w:eastAsia="標楷體" w:hAnsi="標楷體" w:cs="新細明體"/>
        </w:rPr>
        <w:t>≧</w:t>
      </w:r>
      <w:r w:rsidRPr="00EA4516">
        <w:rPr>
          <w:rFonts w:ascii="標楷體" w:eastAsia="標楷體" w:hAnsi="標楷體"/>
        </w:rPr>
        <w:t>20%或漿細胞絕對值</w:t>
      </w:r>
      <w:r w:rsidRPr="00EA4516">
        <w:rPr>
          <w:rFonts w:ascii="標楷體" w:eastAsia="標楷體" w:hAnsi="標楷體" w:cs="新細明體"/>
        </w:rPr>
        <w:t>≧</w:t>
      </w:r>
      <w:r w:rsidRPr="00EA4516">
        <w:rPr>
          <w:rFonts w:ascii="標楷體" w:eastAsia="標楷體" w:hAnsi="標楷體"/>
        </w:rPr>
        <w:t>2000 cells/μL。</w:t>
      </w:r>
    </w:p>
    <w:p w:rsidR="00EA4516" w:rsidRPr="00EA4516" w:rsidRDefault="00EA4516" w:rsidP="00EA4516">
      <w:pPr>
        <w:suppressAutoHyphens w:val="0"/>
        <w:snapToGrid w:val="0"/>
        <w:spacing w:line="400" w:lineRule="exact"/>
        <w:ind w:left="1134"/>
        <w:textAlignment w:val="auto"/>
        <w:rPr>
          <w:rFonts w:ascii="標楷體" w:eastAsia="標楷體" w:hAnsi="標楷體"/>
        </w:rPr>
      </w:pPr>
      <w:r>
        <w:rPr>
          <w:rFonts w:ascii="標楷體" w:eastAsia="標楷體" w:hAnsi="標楷體" w:hint="eastAsia"/>
          <w:szCs w:val="24"/>
        </w:rPr>
        <w:t>Ⅱ.</w:t>
      </w:r>
      <w:r w:rsidRPr="00EA4516">
        <w:rPr>
          <w:rFonts w:ascii="標楷體" w:eastAsia="標楷體" w:hAnsi="標楷體"/>
          <w:szCs w:val="24"/>
        </w:rPr>
        <w:t>出現下列任一臨床症狀：</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新產生的bone lesion(s)或plasmacytoma，且須經病理切片證實。</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Plasmacytoma 體積增加≧50%。</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高血鈣(corrected serum calcium＞11.0 mg/dL 或2.75 mmol/L)。</w:t>
      </w:r>
    </w:p>
    <w:p w:rsidR="00EA4516" w:rsidRDefault="00EA4516" w:rsidP="00167FEB">
      <w:pPr>
        <w:numPr>
          <w:ilvl w:val="3"/>
          <w:numId w:val="21"/>
        </w:numPr>
        <w:tabs>
          <w:tab w:val="left" w:pos="2410"/>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貧血(Hemoglobin 下降幅度≧ 2gm/dL 且無其他原因可以解釋)。</w:t>
      </w:r>
    </w:p>
    <w:p w:rsidR="00EA4516" w:rsidRPr="00EA4516" w:rsidRDefault="00EA4516" w:rsidP="00167FEB">
      <w:pPr>
        <w:numPr>
          <w:ilvl w:val="3"/>
          <w:numId w:val="21"/>
        </w:numPr>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腎功能惡化(eGFR下降幅度≧25%)，且無其他原因可以解釋。</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出現其他end-organ dysfunctions。</w:t>
      </w:r>
    </w:p>
    <w:p w:rsidR="00EA4516" w:rsidRPr="00EA4516" w:rsidRDefault="00EA4516" w:rsidP="00167FEB">
      <w:pPr>
        <w:numPr>
          <w:ilvl w:val="1"/>
          <w:numId w:val="21"/>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再次申請時必須確定paraprotein (M-protein)未上升(即表示對藥物有反應或為穩定狀態)，或對部分non-secretory type MM 病人以骨髓檢查plasma cell 為療效依據，方可繼續使用。續用時的申請每次以153mg/1.7ml規格13次輸注為限。</w:t>
      </w:r>
    </w:p>
    <w:p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每位</w:t>
      </w:r>
      <w:r w:rsidRPr="00A33F1B">
        <w:rPr>
          <w:rFonts w:ascii="標楷體" w:eastAsia="標楷體" w:hAnsi="標楷體"/>
          <w:szCs w:val="24"/>
        </w:rPr>
        <w:t>病人終生限給付39次輸注(含30mg/3ml規格共2次輸注、153mg/1.7ml規格共37次輸注)。</w:t>
      </w:r>
    </w:p>
    <w:p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執行醫師須完全符合下列資格：</w:t>
      </w:r>
    </w:p>
    <w:p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hint="eastAsia"/>
          <w:szCs w:val="24"/>
        </w:rPr>
        <w:t>醫師必須為血液病或造血幹細胞移植專科醫師且須完成血液病和造血幹細胞移植的相關照護訓練。</w:t>
      </w:r>
      <w:r w:rsidRPr="00A33F1B">
        <w:rPr>
          <w:rFonts w:ascii="標楷體" w:eastAsia="標楷體" w:hAnsi="標楷體"/>
          <w:szCs w:val="24"/>
        </w:rPr>
        <w:t>(114/5/1</w:t>
      </w:r>
      <w:r w:rsidRPr="00A33F1B">
        <w:rPr>
          <w:rFonts w:ascii="標楷體" w:eastAsia="標楷體" w:hAnsi="標楷體" w:hint="eastAsia"/>
          <w:szCs w:val="24"/>
        </w:rPr>
        <w:t>、</w:t>
      </w:r>
      <w:r w:rsidRPr="00A33F1B">
        <w:rPr>
          <w:rFonts w:ascii="標楷體" w:eastAsia="標楷體" w:hAnsi="標楷體"/>
          <w:szCs w:val="24"/>
        </w:rPr>
        <w:t>114/8/1)</w:t>
      </w:r>
    </w:p>
    <w:p w:rsidR="00EA4516" w:rsidRPr="00EA4516"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每兩年接受至少6小時中華民國血液及骨髓移植學會或中華民國血液病學會舉辦之雙特異性</w:t>
      </w:r>
      <w:r w:rsidRPr="00EA4516">
        <w:rPr>
          <w:rFonts w:ascii="標楷體" w:eastAsia="標楷體" w:hAnsi="標楷體"/>
          <w:szCs w:val="24"/>
        </w:rPr>
        <w:t>抗體相關治療教育訓練。</w:t>
      </w:r>
    </w:p>
    <w:p w:rsidR="00B96EA0" w:rsidRPr="00EA4516" w:rsidRDefault="00EA4516" w:rsidP="00EA4516">
      <w:pPr>
        <w:tabs>
          <w:tab w:val="left" w:pos="1418"/>
        </w:tabs>
        <w:spacing w:line="400" w:lineRule="exact"/>
        <w:ind w:left="1274" w:firstLine="2"/>
        <w:jc w:val="both"/>
        <w:rPr>
          <w:rFonts w:ascii="標楷體" w:eastAsia="標楷體" w:hAnsi="標楷體"/>
          <w:color w:val="000000"/>
        </w:rPr>
      </w:pPr>
      <w:r w:rsidRPr="00EA4516">
        <w:rPr>
          <w:rFonts w:ascii="標楷體" w:eastAsia="標楷體" w:hAnsi="標楷體"/>
          <w:szCs w:val="24"/>
        </w:rPr>
        <w:t>Teclistamab與elranatamab僅能擇一給付，除因耐受性不良，不得互換。二者使用總療程合併計算，以全部39次輸注為上限。</w:t>
      </w:r>
    </w:p>
    <w:p w:rsidR="00DA176D" w:rsidRPr="00DA176D" w:rsidRDefault="00DA176D" w:rsidP="005142EB">
      <w:pPr>
        <w:suppressAutoHyphens w:val="0"/>
        <w:autoSpaceDN/>
        <w:spacing w:line="400" w:lineRule="exact"/>
        <w:ind w:firstLineChars="100" w:firstLine="240"/>
        <w:textAlignment w:val="auto"/>
        <w:rPr>
          <w:rFonts w:ascii="標楷體" w:eastAsia="標楷體" w:hAnsi="標楷體"/>
          <w:color w:val="000000"/>
        </w:rPr>
      </w:pPr>
      <w:r w:rsidRPr="00DA176D">
        <w:rPr>
          <w:rFonts w:ascii="標楷體" w:eastAsia="標楷體" w:hAnsi="標楷體" w:hint="eastAsia"/>
          <w:color w:val="000000"/>
        </w:rPr>
        <w:t>9.120.Glofitamab（如Columvi）：（114/8/1)</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1.用於治療先前曾接受至少兩線全身治療之復發性或難治性瀰漫性大B細胞淋巴瘤 (DLBCL) 的成人病人，且須完全符合以下條件：</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(1)</w:t>
      </w:r>
      <w:r w:rsidRPr="00DA176D">
        <w:rPr>
          <w:rFonts w:ascii="標楷體" w:eastAsia="標楷體" w:hAnsi="標楷體" w:hint="eastAsia"/>
          <w:color w:val="000000"/>
        </w:rPr>
        <w:tab/>
        <w:t>具CD20抗原陽性。</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w:t>
      </w:r>
      <w:r w:rsidRPr="00DA176D">
        <w:rPr>
          <w:rFonts w:ascii="標楷體" w:eastAsia="標楷體" w:hAnsi="標楷體" w:hint="eastAsia"/>
          <w:color w:val="000000"/>
        </w:rPr>
        <w:tab/>
        <w:t>一線曾接受rituximab合併化學治療(包含CD20)，及含有anthracycline類藥物的治療，治療四個療程以上復發或是於治療中發生疾病惡化者。</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(3)</w:t>
      </w:r>
      <w:r w:rsidRPr="00DA176D">
        <w:rPr>
          <w:rFonts w:ascii="標楷體" w:eastAsia="標楷體" w:hAnsi="標楷體" w:hint="eastAsia"/>
          <w:color w:val="000000"/>
        </w:rPr>
        <w:tab/>
        <w:t>救援治療需符合以下任一條件：</w:t>
      </w:r>
    </w:p>
    <w:p w:rsidR="00DA176D" w:rsidRPr="00DA176D" w:rsidRDefault="00DA176D" w:rsidP="00A33F1B">
      <w:pPr>
        <w:spacing w:line="400" w:lineRule="exact"/>
        <w:ind w:left="1134" w:hanging="386"/>
        <w:rPr>
          <w:rFonts w:ascii="標楷體" w:eastAsia="標楷體" w:hAnsi="標楷體"/>
          <w:szCs w:val="24"/>
        </w:rPr>
      </w:pPr>
      <w:r w:rsidRPr="00A33F1B">
        <w:rPr>
          <w:rFonts w:ascii="標楷體" w:eastAsia="標楷體" w:hAnsi="標楷體"/>
          <w:color w:val="000000"/>
        </w:rPr>
        <w:t>Ⅰ.</w:t>
      </w:r>
      <w:r w:rsidRPr="00A33F1B">
        <w:rPr>
          <w:rFonts w:ascii="標楷體" w:eastAsia="標楷體" w:hAnsi="標楷體" w:hint="eastAsia"/>
          <w:color w:val="000000"/>
        </w:rPr>
        <w:t>治療二</w:t>
      </w:r>
      <w:r w:rsidRPr="00DA176D">
        <w:rPr>
          <w:rFonts w:ascii="標楷體" w:eastAsia="標楷體" w:hAnsi="標楷體" w:hint="eastAsia"/>
          <w:szCs w:val="24"/>
        </w:rPr>
        <w:t>個療程以上復發或是於治療中發生疾病惡化者。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.經造血幹細胞移植治療失敗者。</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lastRenderedPageBreak/>
        <w:t>(4)</w:t>
      </w:r>
      <w:r w:rsidRPr="00DA176D">
        <w:rPr>
          <w:rFonts w:ascii="標楷體" w:eastAsia="標楷體" w:hAnsi="標楷體" w:hint="eastAsia"/>
          <w:color w:val="000000"/>
        </w:rPr>
        <w:tab/>
        <w:t>ECOG為0或1。</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(5)</w:t>
      </w:r>
      <w:r w:rsidRPr="00DA176D">
        <w:rPr>
          <w:rFonts w:ascii="標楷體" w:eastAsia="標楷體" w:hAnsi="標楷體" w:hint="eastAsia"/>
          <w:color w:val="000000"/>
        </w:rPr>
        <w:tab/>
        <w:t>病人不得有以下任一疾病: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Ⅰ.</w:t>
      </w:r>
      <w:r w:rsidRPr="00DA176D">
        <w:rPr>
          <w:rFonts w:ascii="標楷體" w:eastAsia="標楷體" w:hAnsi="標楷體" w:hint="eastAsia"/>
          <w:szCs w:val="24"/>
        </w:rPr>
        <w:t>中樞神經系統淋巴瘤或中樞神經疾病。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嚴重的心血管疾病，如NYHA (New York Heart Association) Class Ⅲ或Ⅳ。</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Ⅲ.</w:t>
      </w:r>
      <w:r w:rsidRPr="00DA176D">
        <w:rPr>
          <w:rFonts w:ascii="標楷體" w:eastAsia="標楷體" w:hAnsi="標楷體" w:hint="eastAsia"/>
          <w:szCs w:val="24"/>
        </w:rPr>
        <w:t>自體免疫疾病正積極治療者。</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2.</w:t>
      </w:r>
      <w:r w:rsidRPr="00DA176D">
        <w:rPr>
          <w:rFonts w:ascii="標楷體" w:eastAsia="標楷體" w:hAnsi="標楷體" w:hint="eastAsia"/>
          <w:szCs w:val="24"/>
        </w:rPr>
        <w:tab/>
        <w:t>需經事前審查以核准使用，每次申請事前審查以3個療程為限；首次再申請須檢附達到CR或PR的證明方可續用；其後續申請須證明疾病無惡化方可續用。若病情惡化即須停用。</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3.</w:t>
      </w:r>
      <w:r w:rsidRPr="00DA176D">
        <w:rPr>
          <w:rFonts w:ascii="標楷體" w:eastAsia="標楷體" w:hAnsi="標楷體" w:hint="eastAsia"/>
          <w:szCs w:val="24"/>
        </w:rPr>
        <w:tab/>
        <w:t>總療程以12個療程為上限；每位病人一生限用一次連續療程(12個療程)，不得重複申請。</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4.</w:t>
      </w:r>
      <w:r w:rsidRPr="00DA176D">
        <w:rPr>
          <w:rFonts w:ascii="標楷體" w:eastAsia="標楷體" w:hAnsi="標楷體" w:hint="eastAsia"/>
          <w:szCs w:val="24"/>
        </w:rPr>
        <w:tab/>
        <w:t>限以obinutuzumab 1,000mg作為療程之前置治療，僅用以降低療程中誘導細胞激素釋放症候群(CRS)的風險。</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5.</w:t>
      </w:r>
      <w:r w:rsidRPr="00DA176D">
        <w:rPr>
          <w:rFonts w:ascii="標楷體" w:eastAsia="標楷體" w:hAnsi="標楷體" w:hint="eastAsia"/>
          <w:szCs w:val="24"/>
        </w:rPr>
        <w:tab/>
        <w:t>執行醫師須完全符合下列資格：</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color w:val="000000"/>
        </w:rPr>
        <w:t>(1)</w:t>
      </w:r>
      <w:r w:rsidRPr="00DA176D">
        <w:rPr>
          <w:rFonts w:ascii="標楷體" w:eastAsia="標楷體" w:hAnsi="標楷體" w:hint="eastAsia"/>
          <w:color w:val="000000"/>
        </w:rPr>
        <w:t>醫師必須為血液病或造血幹細胞移植專科醫師且須完成血液病或造血幹細胞移植的相關照護訓練。</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(2)每兩年接受至少6小時中華民國血液及骨髓移植學會或中華民國血液病學會舉辦之雙特異性抗體相關治療教育訓練。</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6.</w:t>
      </w:r>
      <w:r w:rsidRPr="00DA176D">
        <w:rPr>
          <w:rFonts w:ascii="標楷體" w:eastAsia="標楷體" w:hAnsi="標楷體" w:hint="eastAsia"/>
          <w:szCs w:val="24"/>
        </w:rPr>
        <w:tab/>
        <w:t>本藥品、polatuzumab vedotin及 epcoritamab僅得擇一給付，治療失敗後不得互換。</w:t>
      </w:r>
    </w:p>
    <w:p w:rsidR="004C2511" w:rsidRPr="004C2511" w:rsidRDefault="004C2511" w:rsidP="005142EB">
      <w:pPr>
        <w:spacing w:line="400" w:lineRule="exact"/>
        <w:rPr>
          <w:rFonts w:ascii="標楷體" w:eastAsia="標楷體" w:hAnsi="標楷體"/>
          <w:kern w:val="2"/>
          <w:szCs w:val="24"/>
        </w:rPr>
      </w:pPr>
      <w:r w:rsidRPr="004C2511">
        <w:rPr>
          <w:rFonts w:ascii="標楷體" w:eastAsia="標楷體" w:hAnsi="標楷體"/>
          <w:kern w:val="0"/>
          <w:szCs w:val="24"/>
        </w:rPr>
        <w:t>9.</w:t>
      </w:r>
      <w:r w:rsidRPr="004C2511">
        <w:rPr>
          <w:rFonts w:ascii="標楷體" w:eastAsia="標楷體" w:hAnsi="標楷體"/>
          <w:kern w:val="2"/>
          <w:szCs w:val="24"/>
        </w:rPr>
        <w:t>121</w:t>
      </w:r>
      <w:r w:rsidRPr="004C2511">
        <w:rPr>
          <w:rFonts w:ascii="標楷體" w:eastAsia="標楷體" w:hAnsi="標楷體"/>
          <w:kern w:val="0"/>
          <w:szCs w:val="24"/>
        </w:rPr>
        <w:t>.Epcoritamab (</w:t>
      </w:r>
      <w:r w:rsidRPr="004C2511">
        <w:rPr>
          <w:rFonts w:ascii="標楷體" w:eastAsia="標楷體" w:hAnsi="標楷體" w:hint="eastAsia"/>
          <w:kern w:val="0"/>
          <w:szCs w:val="24"/>
        </w:rPr>
        <w:t>如</w:t>
      </w:r>
      <w:r w:rsidRPr="004C2511">
        <w:rPr>
          <w:rFonts w:ascii="標楷體" w:eastAsia="標楷體" w:hAnsi="標楷體"/>
          <w:kern w:val="0"/>
          <w:szCs w:val="24"/>
        </w:rPr>
        <w:t>Epkinly)</w:t>
      </w:r>
      <w:r w:rsidRPr="004C2511">
        <w:rPr>
          <w:rFonts w:ascii="標楷體" w:eastAsia="標楷體" w:hAnsi="標楷體" w:hint="eastAsia"/>
          <w:kern w:val="0"/>
          <w:szCs w:val="24"/>
        </w:rPr>
        <w:t>：</w:t>
      </w:r>
      <w:r w:rsidRPr="004C2511">
        <w:rPr>
          <w:rFonts w:ascii="標楷體" w:eastAsia="標楷體" w:hAnsi="標楷體"/>
          <w:kern w:val="0"/>
          <w:szCs w:val="24"/>
        </w:rPr>
        <w:t>(</w:t>
      </w:r>
      <w:r w:rsidRPr="004C2511">
        <w:rPr>
          <w:rFonts w:ascii="標楷體" w:eastAsia="標楷體" w:hAnsi="標楷體"/>
          <w:kern w:val="2"/>
          <w:szCs w:val="24"/>
        </w:rPr>
        <w:t>114</w:t>
      </w:r>
      <w:r w:rsidRPr="004C2511">
        <w:rPr>
          <w:rFonts w:ascii="標楷體" w:eastAsia="標楷體" w:hAnsi="標楷體"/>
          <w:kern w:val="0"/>
          <w:szCs w:val="24"/>
        </w:rPr>
        <w:t>/</w:t>
      </w:r>
      <w:r w:rsidRPr="004C2511">
        <w:rPr>
          <w:rFonts w:ascii="標楷體" w:eastAsia="標楷體" w:hAnsi="標楷體"/>
          <w:kern w:val="2"/>
          <w:szCs w:val="24"/>
        </w:rPr>
        <w:t>8</w:t>
      </w:r>
      <w:r w:rsidRPr="004C2511">
        <w:rPr>
          <w:rFonts w:ascii="標楷體" w:eastAsia="標楷體" w:hAnsi="標楷體"/>
          <w:kern w:val="0"/>
          <w:szCs w:val="24"/>
        </w:rPr>
        <w:t>/1)</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適用於治療先前曾接受至少兩線全身治療之復發性或難治性瀰漫性大</w:t>
      </w:r>
      <w:r w:rsidRPr="004C2511">
        <w:rPr>
          <w:rFonts w:ascii="標楷體" w:eastAsia="標楷體" w:hAnsi="標楷體"/>
          <w:kern w:val="2"/>
          <w:szCs w:val="24"/>
        </w:rPr>
        <w:t>B</w:t>
      </w:r>
      <w:r w:rsidRPr="004C2511">
        <w:rPr>
          <w:rFonts w:ascii="標楷體" w:eastAsia="標楷體" w:hAnsi="標楷體" w:hint="eastAsia"/>
          <w:kern w:val="2"/>
          <w:szCs w:val="24"/>
        </w:rPr>
        <w:t>細胞淋巴瘤</w:t>
      </w:r>
      <w:r w:rsidRPr="004C2511">
        <w:rPr>
          <w:rFonts w:ascii="標楷體" w:eastAsia="標楷體" w:hAnsi="標楷體"/>
          <w:kern w:val="2"/>
          <w:szCs w:val="24"/>
        </w:rPr>
        <w:t xml:space="preserve"> (DLBCL) </w:t>
      </w:r>
      <w:r w:rsidRPr="004C2511">
        <w:rPr>
          <w:rFonts w:ascii="標楷體" w:eastAsia="標楷體" w:hAnsi="標楷體" w:hint="eastAsia"/>
          <w:kern w:val="2"/>
          <w:szCs w:val="24"/>
        </w:rPr>
        <w:t>的成人病人，且須完全符合以下條件：</w:t>
      </w:r>
    </w:p>
    <w:p w:rsidR="004C2511" w:rsidRPr="00A33F1B" w:rsidRDefault="004C2511" w:rsidP="00A33F1B">
      <w:pPr>
        <w:spacing w:line="400" w:lineRule="exact"/>
        <w:ind w:left="851" w:hanging="386"/>
        <w:rPr>
          <w:rFonts w:ascii="標楷體" w:eastAsia="標楷體" w:hAnsi="標楷體"/>
          <w:color w:val="000000"/>
        </w:rPr>
      </w:pPr>
      <w:r w:rsidRPr="004C2511">
        <w:rPr>
          <w:rFonts w:ascii="標楷體" w:eastAsia="標楷體" w:hAnsi="標楷體"/>
          <w:kern w:val="2"/>
          <w:szCs w:val="24"/>
        </w:rPr>
        <w:t>(1)</w:t>
      </w:r>
      <w:r w:rsidRPr="004C2511">
        <w:rPr>
          <w:rFonts w:ascii="標楷體" w:eastAsia="標楷體" w:hAnsi="標楷體" w:hint="eastAsia"/>
          <w:kern w:val="2"/>
          <w:szCs w:val="24"/>
        </w:rPr>
        <w:t>具</w:t>
      </w:r>
      <w:r w:rsidRPr="004C2511">
        <w:rPr>
          <w:rFonts w:ascii="標楷體" w:eastAsia="標楷體" w:hAnsi="標楷體"/>
          <w:kern w:val="2"/>
          <w:szCs w:val="24"/>
        </w:rPr>
        <w:t>CD20</w:t>
      </w:r>
      <w:r w:rsidRPr="004C2511">
        <w:rPr>
          <w:rFonts w:ascii="標楷體" w:eastAsia="標楷體" w:hAnsi="標楷體" w:hint="eastAsia"/>
          <w:kern w:val="2"/>
          <w:szCs w:val="24"/>
        </w:rPr>
        <w:t>抗</w:t>
      </w:r>
      <w:r w:rsidRPr="00A33F1B">
        <w:rPr>
          <w:rFonts w:ascii="標楷體" w:eastAsia="標楷體" w:hAnsi="標楷體" w:hint="eastAsia"/>
          <w:color w:val="000000"/>
        </w:rPr>
        <w:t>原陽性。</w:t>
      </w:r>
    </w:p>
    <w:p w:rsidR="004C2511" w:rsidRPr="00A33F1B"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color w:val="000000"/>
        </w:rPr>
        <w:t>(2)</w:t>
      </w:r>
      <w:r w:rsidRPr="00A33F1B">
        <w:rPr>
          <w:rFonts w:ascii="標楷體" w:eastAsia="標楷體" w:hAnsi="標楷體" w:hint="eastAsia"/>
          <w:color w:val="000000"/>
        </w:rPr>
        <w:t>一線</w:t>
      </w:r>
      <w:r w:rsidRPr="00A33F1B">
        <w:rPr>
          <w:rFonts w:ascii="標楷體" w:eastAsia="標楷體" w:hAnsi="標楷體" w:hint="eastAsia"/>
          <w:kern w:val="2"/>
          <w:szCs w:val="24"/>
        </w:rPr>
        <w:t>曾接受</w:t>
      </w:r>
      <w:r w:rsidRPr="00A33F1B">
        <w:rPr>
          <w:rFonts w:ascii="標楷體" w:eastAsia="標楷體" w:hAnsi="標楷體"/>
          <w:kern w:val="2"/>
          <w:szCs w:val="24"/>
        </w:rPr>
        <w:t>rituximab</w:t>
      </w:r>
      <w:r w:rsidRPr="00A33F1B">
        <w:rPr>
          <w:rFonts w:ascii="標楷體" w:eastAsia="標楷體" w:hAnsi="標楷體" w:hint="eastAsia"/>
          <w:kern w:val="2"/>
          <w:szCs w:val="24"/>
        </w:rPr>
        <w:t>合併化學治療</w:t>
      </w:r>
      <w:r w:rsidRPr="00A33F1B">
        <w:rPr>
          <w:rFonts w:ascii="標楷體" w:eastAsia="標楷體" w:hAnsi="標楷體"/>
          <w:kern w:val="2"/>
          <w:szCs w:val="24"/>
        </w:rPr>
        <w:t>(</w:t>
      </w:r>
      <w:r w:rsidRPr="00A33F1B">
        <w:rPr>
          <w:rFonts w:ascii="標楷體" w:eastAsia="標楷體" w:hAnsi="標楷體" w:hint="eastAsia"/>
          <w:kern w:val="2"/>
          <w:szCs w:val="24"/>
        </w:rPr>
        <w:t>包含</w:t>
      </w:r>
      <w:r w:rsidRPr="00A33F1B">
        <w:rPr>
          <w:rFonts w:ascii="標楷體" w:eastAsia="標楷體" w:hAnsi="標楷體"/>
          <w:kern w:val="2"/>
          <w:szCs w:val="24"/>
        </w:rPr>
        <w:t>CD20)</w:t>
      </w:r>
      <w:r w:rsidRPr="00A33F1B">
        <w:rPr>
          <w:rFonts w:ascii="標楷體" w:eastAsia="標楷體" w:hAnsi="標楷體" w:hint="eastAsia"/>
          <w:kern w:val="2"/>
          <w:szCs w:val="24"/>
        </w:rPr>
        <w:t>，及含有</w:t>
      </w:r>
      <w:r w:rsidRPr="00A33F1B">
        <w:rPr>
          <w:rFonts w:ascii="標楷體" w:eastAsia="標楷體" w:hAnsi="標楷體"/>
          <w:kern w:val="2"/>
          <w:szCs w:val="24"/>
        </w:rPr>
        <w:t>anthracycline</w:t>
      </w:r>
      <w:r w:rsidRPr="00A33F1B">
        <w:rPr>
          <w:rFonts w:ascii="標楷體" w:eastAsia="標楷體" w:hAnsi="標楷體" w:hint="eastAsia"/>
          <w:kern w:val="2"/>
          <w:szCs w:val="24"/>
        </w:rPr>
        <w:t>類藥物的治療，治療四個療程以上復發或是於治療中發生疾病惡化者。</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hint="eastAsia"/>
          <w:kern w:val="2"/>
          <w:szCs w:val="24"/>
        </w:rPr>
        <w:t>(3)救援治療需</w:t>
      </w:r>
      <w:r w:rsidRPr="004C2511">
        <w:rPr>
          <w:rFonts w:ascii="標楷體" w:eastAsia="標楷體" w:hAnsi="標楷體" w:hint="eastAsia"/>
          <w:kern w:val="2"/>
          <w:szCs w:val="24"/>
        </w:rPr>
        <w:t>符合以下任一條件：</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治療二個療程以上復發或是於治療中發生疾病惡化者。</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經造血幹細胞移植治療失敗者。</w:t>
      </w:r>
    </w:p>
    <w:p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(4)ECOG</w:t>
      </w:r>
      <w:r w:rsidRPr="004C2511">
        <w:rPr>
          <w:rFonts w:ascii="標楷體" w:eastAsia="標楷體" w:hAnsi="標楷體" w:hint="eastAsia"/>
          <w:kern w:val="2"/>
          <w:szCs w:val="24"/>
        </w:rPr>
        <w:t>為</w:t>
      </w:r>
      <w:r w:rsidRPr="00A33F1B">
        <w:rPr>
          <w:rFonts w:ascii="標楷體" w:eastAsia="標楷體" w:hAnsi="標楷體"/>
          <w:kern w:val="2"/>
          <w:szCs w:val="24"/>
        </w:rPr>
        <w:t>0</w:t>
      </w:r>
      <w:r w:rsidRPr="00A33F1B">
        <w:rPr>
          <w:rFonts w:ascii="標楷體" w:eastAsia="標楷體" w:hAnsi="標楷體" w:hint="eastAsia"/>
          <w:kern w:val="2"/>
          <w:szCs w:val="24"/>
        </w:rPr>
        <w:t>或</w:t>
      </w:r>
      <w:r w:rsidRPr="00A33F1B">
        <w:rPr>
          <w:rFonts w:ascii="標楷體" w:eastAsia="標楷體" w:hAnsi="標楷體"/>
          <w:kern w:val="2"/>
          <w:szCs w:val="24"/>
        </w:rPr>
        <w:t>1</w:t>
      </w:r>
      <w:r w:rsidRPr="00A33F1B">
        <w:rPr>
          <w:rFonts w:ascii="標楷體" w:eastAsia="標楷體" w:hAnsi="標楷體" w:hint="eastAsia"/>
          <w:kern w:val="2"/>
          <w:szCs w:val="24"/>
        </w:rPr>
        <w:t>。</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(5)</w:t>
      </w:r>
      <w:r w:rsidRPr="00A33F1B">
        <w:rPr>
          <w:rFonts w:ascii="標楷體" w:eastAsia="標楷體" w:hAnsi="標楷體" w:hint="eastAsia"/>
          <w:kern w:val="2"/>
          <w:szCs w:val="24"/>
        </w:rPr>
        <w:t>病人</w:t>
      </w:r>
      <w:r w:rsidRPr="00A33F1B">
        <w:rPr>
          <w:rFonts w:ascii="標楷體" w:eastAsia="標楷體" w:hAnsi="標楷體" w:hint="eastAsia"/>
          <w:color w:val="000000"/>
        </w:rPr>
        <w:t>不</w:t>
      </w:r>
      <w:r w:rsidRPr="004C2511">
        <w:rPr>
          <w:rFonts w:ascii="標楷體" w:eastAsia="標楷體" w:hAnsi="標楷體" w:hint="eastAsia"/>
          <w:kern w:val="2"/>
          <w:szCs w:val="24"/>
        </w:rPr>
        <w:t>得有以下任一疾病</w:t>
      </w:r>
      <w:r w:rsidRPr="004C2511">
        <w:rPr>
          <w:rFonts w:ascii="標楷體" w:eastAsia="標楷體" w:hAnsi="標楷體"/>
          <w:kern w:val="2"/>
          <w:szCs w:val="24"/>
        </w:rPr>
        <w:t>:</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中樞神經系統淋巴瘤或中樞神經疾病。</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嚴重的心血管疾病，如</w:t>
      </w:r>
      <w:r w:rsidRPr="004C2511">
        <w:rPr>
          <w:rFonts w:ascii="標楷體" w:eastAsia="標楷體" w:hAnsi="標楷體"/>
          <w:kern w:val="2"/>
          <w:szCs w:val="24"/>
        </w:rPr>
        <w:t xml:space="preserve">NYHA (New York Heart Association) Class </w:t>
      </w:r>
      <w:r w:rsidRPr="004C2511">
        <w:rPr>
          <w:rFonts w:ascii="標楷體" w:eastAsia="標楷體" w:hAnsi="標楷體" w:hint="eastAsia"/>
          <w:kern w:val="2"/>
          <w:szCs w:val="24"/>
        </w:rPr>
        <w:t>Ⅲ或Ⅳ。</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Ⅲ</w:t>
      </w:r>
      <w:r w:rsidRPr="004C2511">
        <w:rPr>
          <w:rFonts w:ascii="標楷體" w:eastAsia="標楷體" w:hAnsi="標楷體"/>
          <w:kern w:val="2"/>
          <w:szCs w:val="24"/>
        </w:rPr>
        <w:t>.</w:t>
      </w:r>
      <w:r w:rsidRPr="004C2511">
        <w:rPr>
          <w:rFonts w:ascii="標楷體" w:eastAsia="標楷體" w:hAnsi="標楷體" w:hint="eastAsia"/>
          <w:kern w:val="2"/>
          <w:szCs w:val="24"/>
        </w:rPr>
        <w:t>自體免疫疾病正積極治療者。</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2.</w:t>
      </w:r>
      <w:r w:rsidRPr="004C2511">
        <w:rPr>
          <w:rFonts w:ascii="標楷體" w:eastAsia="標楷體" w:hAnsi="標楷體" w:hint="eastAsia"/>
          <w:kern w:val="2"/>
          <w:szCs w:val="24"/>
        </w:rPr>
        <w:t>須經事前審查以核准使用，每次申請事前審查以</w:t>
      </w:r>
      <w:r w:rsidRPr="004C2511">
        <w:rPr>
          <w:rFonts w:ascii="標楷體" w:eastAsia="標楷體" w:hAnsi="標楷體"/>
          <w:kern w:val="2"/>
          <w:szCs w:val="24"/>
        </w:rPr>
        <w:t>3</w:t>
      </w:r>
      <w:r w:rsidRPr="004C2511">
        <w:rPr>
          <w:rFonts w:ascii="標楷體" w:eastAsia="標楷體" w:hAnsi="標楷體" w:hint="eastAsia"/>
          <w:kern w:val="2"/>
          <w:szCs w:val="24"/>
        </w:rPr>
        <w:t>個療程為限；首次再申請須檢附達到</w:t>
      </w:r>
      <w:r w:rsidRPr="004C2511">
        <w:rPr>
          <w:rFonts w:ascii="標楷體" w:eastAsia="標楷體" w:hAnsi="標楷體"/>
          <w:kern w:val="2"/>
          <w:szCs w:val="24"/>
        </w:rPr>
        <w:t>CR</w:t>
      </w:r>
      <w:r w:rsidRPr="004C2511">
        <w:rPr>
          <w:rFonts w:ascii="標楷體" w:eastAsia="標楷體" w:hAnsi="標楷體" w:hint="eastAsia"/>
          <w:kern w:val="2"/>
          <w:szCs w:val="24"/>
        </w:rPr>
        <w:t>或</w:t>
      </w:r>
      <w:r w:rsidRPr="004C2511">
        <w:rPr>
          <w:rFonts w:ascii="標楷體" w:eastAsia="標楷體" w:hAnsi="標楷體"/>
          <w:kern w:val="2"/>
          <w:szCs w:val="24"/>
        </w:rPr>
        <w:t>PR</w:t>
      </w:r>
      <w:r w:rsidRPr="004C2511">
        <w:rPr>
          <w:rFonts w:ascii="標楷體" w:eastAsia="標楷體" w:hAnsi="標楷體" w:hint="eastAsia"/>
          <w:kern w:val="2"/>
          <w:szCs w:val="24"/>
        </w:rPr>
        <w:t>的證明方可續用；其後續申請須證明疾病無惡化方可續用。若病情惡化即須停用。</w:t>
      </w:r>
    </w:p>
    <w:p w:rsidR="004C2511" w:rsidRPr="00A33F1B"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lastRenderedPageBreak/>
        <w:t>3.</w:t>
      </w:r>
      <w:r w:rsidRPr="004C2511">
        <w:rPr>
          <w:rFonts w:ascii="標楷體" w:eastAsia="標楷體" w:hAnsi="標楷體" w:hint="eastAsia"/>
          <w:kern w:val="2"/>
          <w:szCs w:val="24"/>
        </w:rPr>
        <w:t>總療程以</w:t>
      </w:r>
      <w:r w:rsidRPr="004C2511">
        <w:rPr>
          <w:rFonts w:ascii="標楷體" w:eastAsia="標楷體" w:hAnsi="標楷體"/>
          <w:kern w:val="2"/>
          <w:szCs w:val="24"/>
        </w:rPr>
        <w:t>12</w:t>
      </w:r>
      <w:r w:rsidRPr="004C2511">
        <w:rPr>
          <w:rFonts w:ascii="標楷體" w:eastAsia="標楷體" w:hAnsi="標楷體" w:hint="eastAsia"/>
          <w:kern w:val="2"/>
          <w:szCs w:val="24"/>
        </w:rPr>
        <w:t>個療程為上限；每位病人一生限用一次連續療程</w:t>
      </w:r>
      <w:r w:rsidRPr="004C2511">
        <w:rPr>
          <w:rFonts w:ascii="標楷體" w:eastAsia="標楷體" w:hAnsi="標楷體"/>
          <w:kern w:val="2"/>
          <w:szCs w:val="24"/>
        </w:rPr>
        <w:t>(12</w:t>
      </w:r>
      <w:r w:rsidRPr="004C2511">
        <w:rPr>
          <w:rFonts w:ascii="標楷體" w:eastAsia="標楷體" w:hAnsi="標楷體" w:hint="eastAsia"/>
          <w:kern w:val="2"/>
          <w:szCs w:val="24"/>
        </w:rPr>
        <w:t>個療程</w:t>
      </w:r>
      <w:r w:rsidRPr="004C2511">
        <w:rPr>
          <w:rFonts w:ascii="標楷體" w:eastAsia="標楷體" w:hAnsi="標楷體"/>
          <w:kern w:val="2"/>
          <w:szCs w:val="24"/>
        </w:rPr>
        <w:t>)</w:t>
      </w:r>
      <w:r w:rsidRPr="004C2511">
        <w:rPr>
          <w:rFonts w:ascii="標楷體" w:eastAsia="標楷體" w:hAnsi="標楷體" w:hint="eastAsia"/>
          <w:kern w:val="2"/>
          <w:szCs w:val="24"/>
        </w:rPr>
        <w:t>，不得重複申請。</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4.</w:t>
      </w:r>
      <w:r w:rsidRPr="004C2511">
        <w:rPr>
          <w:rFonts w:ascii="標楷體" w:eastAsia="標楷體" w:hAnsi="標楷體" w:hint="eastAsia"/>
          <w:kern w:val="2"/>
          <w:szCs w:val="24"/>
        </w:rPr>
        <w:t>執行醫師須完全符合下列資格：</w:t>
      </w:r>
    </w:p>
    <w:p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醫師必須為</w:t>
      </w:r>
      <w:r w:rsidRPr="00A33F1B">
        <w:rPr>
          <w:rFonts w:ascii="標楷體" w:eastAsia="標楷體" w:hAnsi="標楷體" w:hint="eastAsia"/>
          <w:kern w:val="2"/>
          <w:szCs w:val="24"/>
        </w:rPr>
        <w:t>血液病或造血幹細胞移植專科醫師且須完成血液病或造血幹細胞移植的相關照護訓練。</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(2)</w:t>
      </w:r>
      <w:r w:rsidRPr="00A33F1B">
        <w:rPr>
          <w:rFonts w:ascii="標楷體" w:eastAsia="標楷體" w:hAnsi="標楷體" w:hint="eastAsia"/>
          <w:kern w:val="2"/>
          <w:szCs w:val="24"/>
        </w:rPr>
        <w:t>每兩年接受至</w:t>
      </w:r>
      <w:r w:rsidRPr="004C2511">
        <w:rPr>
          <w:rFonts w:ascii="標楷體" w:eastAsia="標楷體" w:hAnsi="標楷體" w:hint="eastAsia"/>
          <w:kern w:val="2"/>
          <w:szCs w:val="24"/>
        </w:rPr>
        <w:t>少</w:t>
      </w:r>
      <w:r w:rsidRPr="004C2511">
        <w:rPr>
          <w:rFonts w:ascii="標楷體" w:eastAsia="標楷體" w:hAnsi="標楷體"/>
          <w:kern w:val="2"/>
          <w:szCs w:val="24"/>
        </w:rPr>
        <w:t>6</w:t>
      </w:r>
      <w:r w:rsidRPr="004C2511">
        <w:rPr>
          <w:rFonts w:ascii="標楷體" w:eastAsia="標楷體" w:hAnsi="標楷體" w:hint="eastAsia"/>
          <w:kern w:val="2"/>
          <w:szCs w:val="24"/>
        </w:rPr>
        <w:t>小時中華民國血液及骨髓移植學會或中華民國血液病學會舉辦之雙特異性抗體相關治療教育訓練。</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5.</w:t>
      </w:r>
      <w:r w:rsidRPr="004C2511">
        <w:rPr>
          <w:rFonts w:ascii="標楷體" w:eastAsia="標楷體" w:hAnsi="標楷體" w:hint="eastAsia"/>
          <w:kern w:val="2"/>
          <w:szCs w:val="24"/>
        </w:rPr>
        <w:t>本藥品、glofitamab、polatuzumab vedotin，三者僅得擇一給付，治療失敗後不得互換。</w:t>
      </w:r>
    </w:p>
    <w:p w:rsidR="00D4365C" w:rsidRPr="00897BF1" w:rsidRDefault="00D4365C" w:rsidP="00D4365C">
      <w:pPr>
        <w:spacing w:line="400" w:lineRule="exact"/>
        <w:ind w:left="290" w:hangingChars="121" w:hanging="290"/>
        <w:rPr>
          <w:rFonts w:ascii="標楷體" w:eastAsia="標楷體" w:hAnsi="標楷體"/>
          <w:szCs w:val="24"/>
        </w:rPr>
      </w:pPr>
      <w:r w:rsidRPr="00897BF1">
        <w:rPr>
          <w:rFonts w:ascii="標楷體" w:eastAsia="標楷體" w:hAnsi="標楷體"/>
          <w:szCs w:val="24"/>
        </w:rPr>
        <w:t>9.</w:t>
      </w:r>
      <w:r w:rsidRPr="00897BF1">
        <w:rPr>
          <w:rFonts w:ascii="標楷體" w:eastAsia="標楷體" w:hAnsi="標楷體" w:hint="eastAsia"/>
          <w:szCs w:val="24"/>
        </w:rPr>
        <w:t>122</w:t>
      </w:r>
      <w:r w:rsidRPr="00897BF1">
        <w:rPr>
          <w:rFonts w:ascii="標楷體" w:eastAsia="標楷體" w:hAnsi="標楷體"/>
          <w:szCs w:val="24"/>
        </w:rPr>
        <w:t>.</w:t>
      </w:r>
      <w:r w:rsidRPr="00897BF1">
        <w:rPr>
          <w:rFonts w:ascii="標楷體" w:eastAsia="標楷體" w:hAnsi="標楷體" w:hint="eastAsia"/>
          <w:szCs w:val="24"/>
        </w:rPr>
        <w:t>As</w:t>
      </w:r>
      <w:r w:rsidRPr="00897BF1">
        <w:rPr>
          <w:rFonts w:ascii="標楷體" w:eastAsia="標楷體" w:hAnsi="標楷體"/>
          <w:szCs w:val="24"/>
        </w:rPr>
        <w:t>ciminib (如Scemblix)：(</w:t>
      </w:r>
      <w:r w:rsidRPr="00897BF1">
        <w:rPr>
          <w:rFonts w:ascii="標楷體" w:eastAsia="標楷體" w:hAnsi="標楷體" w:hint="eastAsia"/>
          <w:szCs w:val="24"/>
        </w:rPr>
        <w:t>114</w:t>
      </w:r>
      <w:r w:rsidRPr="00897BF1">
        <w:rPr>
          <w:rFonts w:ascii="標楷體" w:eastAsia="標楷體" w:hAnsi="標楷體"/>
          <w:szCs w:val="24"/>
        </w:rPr>
        <w:t>/</w:t>
      </w:r>
      <w:r w:rsidRPr="00897BF1">
        <w:rPr>
          <w:rFonts w:ascii="標楷體" w:eastAsia="標楷體" w:hAnsi="標楷體" w:hint="eastAsia"/>
          <w:szCs w:val="24"/>
        </w:rPr>
        <w:t>9</w:t>
      </w:r>
      <w:r w:rsidRPr="00897BF1">
        <w:rPr>
          <w:rFonts w:ascii="標楷體" w:eastAsia="標楷體" w:hAnsi="標楷體"/>
          <w:szCs w:val="24"/>
        </w:rPr>
        <w:t>/1)</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1.</w:t>
      </w:r>
      <w:r w:rsidRPr="00897BF1">
        <w:rPr>
          <w:rFonts w:ascii="標楷體" w:eastAsia="標楷體" w:hAnsi="標楷體" w:hint="eastAsia"/>
          <w:szCs w:val="24"/>
        </w:rPr>
        <w:t>限用於治療先前曾接受2種以上的酪胺酸激酶抑制劑治療，且發生耐受性不良或治療無效的慢性期費城染色體陽性之慢性骨髓性白血病</w:t>
      </w:r>
      <w:r w:rsidRPr="00897BF1">
        <w:rPr>
          <w:rFonts w:ascii="標楷體" w:eastAsia="標楷體" w:hAnsi="標楷體"/>
          <w:szCs w:val="24"/>
        </w:rPr>
        <w:t>(Ph+</w:t>
      </w:r>
      <w:r w:rsidRPr="00897BF1">
        <w:rPr>
          <w:rFonts w:ascii="標楷體" w:eastAsia="標楷體" w:hAnsi="標楷體" w:hint="eastAsia"/>
          <w:szCs w:val="24"/>
        </w:rPr>
        <w:t xml:space="preserve"> </w:t>
      </w:r>
      <w:r w:rsidRPr="00897BF1">
        <w:rPr>
          <w:rFonts w:ascii="標楷體" w:eastAsia="標楷體" w:hAnsi="標楷體"/>
          <w:szCs w:val="24"/>
        </w:rPr>
        <w:t>CML-</w:t>
      </w:r>
      <w:r w:rsidRPr="00897BF1">
        <w:rPr>
          <w:rFonts w:ascii="標楷體" w:eastAsia="標楷體" w:hAnsi="標楷體" w:hint="eastAsia"/>
          <w:szCs w:val="24"/>
        </w:rPr>
        <w:t>c</w:t>
      </w:r>
      <w:r w:rsidRPr="00897BF1">
        <w:rPr>
          <w:rFonts w:ascii="標楷體" w:eastAsia="標楷體" w:hAnsi="標楷體"/>
          <w:szCs w:val="24"/>
        </w:rPr>
        <w:t>hronic phase)</w:t>
      </w:r>
      <w:r w:rsidRPr="00897BF1">
        <w:rPr>
          <w:rFonts w:ascii="標楷體" w:eastAsia="標楷體" w:hAnsi="標楷體" w:hint="eastAsia"/>
          <w:szCs w:val="24"/>
        </w:rPr>
        <w:t>成年病人</w:t>
      </w:r>
      <w:r w:rsidRPr="00897BF1">
        <w:rPr>
          <w:rFonts w:ascii="新細明體" w:hAnsi="新細明體" w:hint="eastAsia"/>
          <w:szCs w:val="24"/>
        </w:rPr>
        <w:t>。</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hint="eastAsia"/>
          <w:szCs w:val="24"/>
        </w:rPr>
        <w:t>2.不能為具有T315I或V299L突變之BCR-ABL融合基因的疾病。</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3.</w:t>
      </w:r>
      <w:r w:rsidRPr="00897BF1">
        <w:rPr>
          <w:rFonts w:ascii="標楷體" w:eastAsia="標楷體" w:hAnsi="標楷體" w:hint="eastAsia"/>
          <w:szCs w:val="24"/>
        </w:rPr>
        <w:t>使用後無法耐受藥物副作用或發生疾病進展，須停止使用。</w:t>
      </w:r>
    </w:p>
    <w:p w:rsidR="00DA176D" w:rsidRPr="00D4365C"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4.</w:t>
      </w:r>
      <w:r w:rsidRPr="00897BF1">
        <w:rPr>
          <w:rFonts w:ascii="標楷體" w:eastAsia="標楷體" w:hAnsi="標楷體" w:hint="eastAsia"/>
          <w:szCs w:val="24"/>
        </w:rPr>
        <w:t>1~</w:t>
      </w:r>
      <w:r w:rsidRPr="00897BF1">
        <w:rPr>
          <w:rFonts w:ascii="標楷體" w:eastAsia="標楷體" w:hAnsi="標楷體"/>
          <w:szCs w:val="24"/>
        </w:rPr>
        <w:t>2</w:t>
      </w:r>
      <w:r w:rsidRPr="00897BF1">
        <w:rPr>
          <w:rFonts w:ascii="標楷體" w:eastAsia="標楷體" w:hAnsi="標楷體" w:hint="eastAsia"/>
          <w:szCs w:val="24"/>
        </w:rPr>
        <w:t>項規定之疾病診斷或追蹤若為依據基因檢測報告，需符合全民健康保險藥品給付規定之通則十二。</w:t>
      </w:r>
    </w:p>
    <w:p w:rsidR="00D4365C" w:rsidRPr="00EE1F60" w:rsidRDefault="00D4365C" w:rsidP="00D4365C">
      <w:pPr>
        <w:tabs>
          <w:tab w:val="left" w:pos="1418"/>
        </w:tabs>
        <w:spacing w:line="400" w:lineRule="exact"/>
        <w:ind w:left="316" w:hanging="316"/>
        <w:rPr>
          <w:rFonts w:ascii="標楷體" w:eastAsia="標楷體" w:hAnsi="標楷體"/>
          <w:color w:val="000000"/>
          <w:szCs w:val="24"/>
        </w:rPr>
      </w:pPr>
      <w:r w:rsidRPr="00EE1F60">
        <w:rPr>
          <w:rFonts w:ascii="標楷體" w:eastAsia="標楷體" w:hAnsi="標楷體"/>
          <w:color w:val="000000"/>
          <w:szCs w:val="24"/>
        </w:rPr>
        <w:t>9.123.Ripretinib(如Qinlock）：(114/9/1)</w:t>
      </w:r>
    </w:p>
    <w:p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1.適用於治療已接受3種或以上激酶抑制劑(包括imatinib)治療的晚期胃腸道基質瘤(GIST)成人病人。</w:t>
      </w:r>
    </w:p>
    <w:p w:rsidR="00D4365C" w:rsidRPr="00EE1F60" w:rsidRDefault="00D4365C" w:rsidP="00D4365C">
      <w:pPr>
        <w:tabs>
          <w:tab w:val="left" w:pos="1418"/>
        </w:tabs>
        <w:spacing w:line="400" w:lineRule="exact"/>
        <w:ind w:left="567" w:hanging="280"/>
        <w:jc w:val="both"/>
        <w:rPr>
          <w:rFonts w:ascii="標楷體" w:eastAsia="標楷體" w:hAnsi="標楷體"/>
          <w:color w:val="000000"/>
          <w:szCs w:val="24"/>
        </w:rPr>
      </w:pPr>
      <w:r w:rsidRPr="00EE1F60">
        <w:rPr>
          <w:rFonts w:ascii="標楷體" w:eastAsia="標楷體" w:hAnsi="標楷體"/>
          <w:kern w:val="0"/>
          <w:szCs w:val="24"/>
        </w:rPr>
        <w:t>2.需經</w:t>
      </w:r>
      <w:r w:rsidRPr="00EE1F60">
        <w:rPr>
          <w:rFonts w:ascii="標楷體" w:eastAsia="標楷體" w:hAnsi="標楷體"/>
          <w:color w:val="000000"/>
          <w:szCs w:val="24"/>
        </w:rPr>
        <w:t>事前審查核准後使用，每次申請之療程以3個月為限，送審時需檢送影像資料，每3個月評估一次。治療期間出現疾病惡化，則不可繼續使用。</w:t>
      </w:r>
    </w:p>
    <w:p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3.本藥品不得</w:t>
      </w:r>
      <w:r w:rsidRPr="00EE1F60">
        <w:rPr>
          <w:rFonts w:ascii="標楷體" w:eastAsia="標楷體" w:hAnsi="標楷體"/>
          <w:kern w:val="0"/>
          <w:szCs w:val="24"/>
        </w:rPr>
        <w:t>合併其他藥品，每日至多處方3粒。</w:t>
      </w:r>
    </w:p>
    <w:p w:rsidR="006B1FAB" w:rsidRDefault="006B1FAB" w:rsidP="006B1FAB">
      <w:pPr>
        <w:spacing w:line="400" w:lineRule="exact"/>
        <w:ind w:left="386" w:hanging="386"/>
        <w:rPr>
          <w:rFonts w:ascii="標楷體" w:eastAsia="標楷體" w:hAnsi="標楷體"/>
          <w:szCs w:val="24"/>
        </w:rPr>
      </w:pPr>
      <w:bookmarkStart w:id="50" w:name="_Hlk209193042"/>
      <w:r>
        <w:rPr>
          <w:rFonts w:ascii="標楷體" w:eastAsia="標楷體" w:hAnsi="標楷體"/>
          <w:szCs w:val="24"/>
        </w:rPr>
        <w:t>9.124.Tafasitamab（如Minjuvi）：（114/10/1、115/3/1</w:t>
      </w:r>
      <w:r w:rsidRPr="00690AD9">
        <w:rPr>
          <w:rFonts w:ascii="標楷體" w:eastAsia="標楷體" w:hAnsi="標楷體"/>
          <w:szCs w:val="24"/>
        </w:rPr>
        <w:t>、115/4/1</w:t>
      </w:r>
      <w:r>
        <w:rPr>
          <w:rFonts w:ascii="標楷體" w:eastAsia="標楷體" w:hAnsi="標楷體"/>
          <w:szCs w:val="24"/>
        </w:rPr>
        <w:t>）</w:t>
      </w:r>
    </w:p>
    <w:p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1.</w:t>
      </w:r>
      <w:r w:rsidRPr="00690AD9">
        <w:rPr>
          <w:rFonts w:ascii="標楷體" w:eastAsia="標楷體" w:hAnsi="標楷體"/>
          <w:szCs w:val="24"/>
        </w:rPr>
        <w:t>限與lenalidomide(限使用Leavdo、Lelimide及Revlimid)</w:t>
      </w:r>
      <w:r>
        <w:rPr>
          <w:rFonts w:ascii="標楷體" w:eastAsia="標楷體" w:hAnsi="標楷體"/>
          <w:szCs w:val="24"/>
        </w:rPr>
        <w:t>併用，適用於經一線全身治療含rituximab治療復發型，不適合接受造血幹細胞移植瀰漫性大型B細胞淋巴瘤(DLBCL)成人病人，且須完全符合以下條件（114/10/1、115/3/1</w:t>
      </w:r>
      <w:r w:rsidRPr="00690AD9">
        <w:rPr>
          <w:rFonts w:ascii="標楷體" w:eastAsia="標楷體" w:hAnsi="標楷體"/>
          <w:szCs w:val="24"/>
        </w:rPr>
        <w:t>、115/4/1</w:t>
      </w:r>
      <w:r>
        <w:rPr>
          <w:rFonts w:ascii="標楷體" w:eastAsia="標楷體" w:hAnsi="標楷體"/>
          <w:szCs w:val="24"/>
        </w:rPr>
        <w:t>）：</w:t>
      </w:r>
    </w:p>
    <w:p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(1)具CD19抗原陽性。</w:t>
      </w:r>
    </w:p>
    <w:p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(2)一線曾接受rituximab合併化學治療(包含CD20)，及含有anthracycline類藥物的治療，治療四個療程以上並於12個月內復發者。</w:t>
      </w:r>
    </w:p>
    <w:p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(3)ECOG為0或1。</w:t>
      </w:r>
    </w:p>
    <w:p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(4)病人不得有以下任一疾病:</w:t>
      </w:r>
    </w:p>
    <w:p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Ⅰ.中樞神經系統淋巴瘤或中樞神經疾病。</w:t>
      </w:r>
    </w:p>
    <w:p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Ⅱ.嚴重的心血管疾病，如NYHA (New York Heart Association) Class Ⅲ或Ⅳ。</w:t>
      </w:r>
    </w:p>
    <w:p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Ⅲ.自體免疫疾病正積極治療者。</w:t>
      </w:r>
    </w:p>
    <w:p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2.須經事前審查核准以使用，每次申請事前審查以3個療程為限，首次再申請須檢附達到CR或PR的證明方可續用；其後續申請須證明疾病無惡化方可續用。若病情惡化即須停</w:t>
      </w:r>
      <w:r>
        <w:rPr>
          <w:rFonts w:ascii="標楷體" w:eastAsia="標楷體" w:hAnsi="標楷體"/>
          <w:szCs w:val="24"/>
        </w:rPr>
        <w:lastRenderedPageBreak/>
        <w:t>用。</w:t>
      </w:r>
    </w:p>
    <w:p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3.總療程以12個療程為上限；每位病人一生限用一次 (12個療程)，不得重複申請。</w:t>
      </w:r>
    </w:p>
    <w:p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4.執行醫師須為血液病或造血幹細胞移植專科醫師且須完成血液病或造血幹細胞移植的相關照護訓練。</w:t>
      </w:r>
    </w:p>
    <w:p w:rsidR="00D4365C" w:rsidRPr="006B1FAB" w:rsidRDefault="006B1FAB" w:rsidP="006B1FAB">
      <w:pPr>
        <w:spacing w:line="400" w:lineRule="exact"/>
        <w:ind w:left="283"/>
        <w:jc w:val="both"/>
        <w:rPr>
          <w:rFonts w:ascii="標楷體" w:eastAsia="標楷體" w:hAnsi="標楷體"/>
          <w:szCs w:val="24"/>
        </w:rPr>
      </w:pPr>
      <w:r>
        <w:rPr>
          <w:rFonts w:ascii="標楷體" w:eastAsia="標楷體" w:hAnsi="標楷體"/>
          <w:szCs w:val="24"/>
        </w:rPr>
        <w:t>5.病人接受本藥物治療後，不給付造血幹細胞移植。</w:t>
      </w:r>
    </w:p>
    <w:p w:rsidR="00B74E3A" w:rsidRPr="006A2FC8" w:rsidRDefault="00B74E3A" w:rsidP="00B74E3A">
      <w:pPr>
        <w:tabs>
          <w:tab w:val="left" w:pos="1418"/>
        </w:tabs>
        <w:spacing w:line="400" w:lineRule="exact"/>
        <w:ind w:left="567" w:hanging="527"/>
        <w:rPr>
          <w:rFonts w:ascii="標楷體" w:eastAsia="標楷體" w:hAnsi="標楷體"/>
          <w:color w:val="000000"/>
        </w:rPr>
      </w:pPr>
      <w:r w:rsidRPr="006A2FC8">
        <w:rPr>
          <w:rFonts w:ascii="標楷體" w:eastAsia="標楷體" w:hAnsi="標楷體" w:hint="eastAsia"/>
          <w:color w:val="000000"/>
        </w:rPr>
        <w:t>9.125.Quizartinib（如Vanflyta）：（114/10/1)</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1.</w:t>
      </w:r>
      <w:r w:rsidRPr="006A2FC8">
        <w:rPr>
          <w:rFonts w:ascii="標楷體" w:eastAsia="標楷體" w:hAnsi="標楷體" w:hint="eastAsia"/>
          <w:color w:val="000000"/>
        </w:rPr>
        <w:tab/>
        <w:t>限用於新確診為FLT3-ITD 突變陽性的急性骨髓性白血病(AML)成人病人，於標準前導(cytarabine 和anthracycline)與鞏固性化療(cytarabine)時合併使用，及於維持治療時單獨使用。</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2.</w:t>
      </w:r>
      <w:r w:rsidRPr="006A2FC8">
        <w:rPr>
          <w:rFonts w:ascii="標楷體" w:eastAsia="標楷體" w:hAnsi="標楷體" w:hint="eastAsia"/>
          <w:color w:val="000000"/>
        </w:rPr>
        <w:tab/>
        <w:t>需排除急性前骨髓性細胞白血病（acute promyelocytic leukemia，APL）的病人。</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3.</w:t>
      </w:r>
      <w:r w:rsidRPr="006A2FC8">
        <w:rPr>
          <w:rFonts w:ascii="標楷體" w:eastAsia="標楷體" w:hAnsi="標楷體" w:hint="eastAsia"/>
          <w:color w:val="000000"/>
        </w:rPr>
        <w:tab/>
        <w:t>首次用於標準前導期，可免事前審查，且以2個療程為限。若在2個療程後仍未達完全緩解，則不得再使用。</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4.</w:t>
      </w:r>
      <w:r w:rsidRPr="006A2FC8">
        <w:rPr>
          <w:rFonts w:ascii="標楷體" w:eastAsia="標楷體" w:hAnsi="標楷體" w:hint="eastAsia"/>
          <w:color w:val="000000"/>
        </w:rPr>
        <w:tab/>
        <w:t>續用於鞏固治療時需經事前審查核准後使用，申請時須檢附FLT3 突變陽性檢測結果及日期、化學治療處方紀錄及療效評估，每次續用申請以2個療程為限，並需檢附前次治療結果評估資料證實無疾病進展，才可繼續使用。前導治療與鞏固治療每人以總共給付6個療程為上限。</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5.</w:t>
      </w:r>
      <w:r w:rsidRPr="006A2FC8">
        <w:rPr>
          <w:rFonts w:ascii="標楷體" w:eastAsia="標楷體" w:hAnsi="標楷體" w:hint="eastAsia"/>
          <w:color w:val="000000"/>
        </w:rPr>
        <w:tab/>
        <w:t>維持治療僅限於無疾病進展且尚未接受造血幹細胞移植的病人，病人接受造血幹細胞移植後即需停用。續用維持治療須經審查核准後使用，初次申請為3個療程，並須檢附前次治療結果評估資料證實無疾病進展才可繼續使用，每3個療程需再次申請，可治療至疾病復發或無法耐受藥物毒性為止。維持治療每人以24個療程為上限。</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6.</w:t>
      </w:r>
      <w:r w:rsidRPr="006A2FC8">
        <w:rPr>
          <w:rFonts w:ascii="標楷體" w:eastAsia="標楷體" w:hAnsi="標楷體" w:hint="eastAsia"/>
          <w:color w:val="000000"/>
        </w:rPr>
        <w:tab/>
        <w:t>前導治療與鞏固治療限與midostaurin僅得擇一使用，除因耐受性不良，不得互換。</w:t>
      </w:r>
    </w:p>
    <w:p w:rsidR="00B74E3A" w:rsidRPr="00B74E3A"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7.</w:t>
      </w:r>
      <w:r w:rsidRPr="006A2FC8">
        <w:rPr>
          <w:rFonts w:ascii="標楷體" w:eastAsia="標楷體" w:hAnsi="標楷體" w:hint="eastAsia"/>
          <w:color w:val="000000"/>
        </w:rPr>
        <w:tab/>
        <w:t>維持治療限與azacitidine擇一使用，除因耐受性不良，不得互換。</w:t>
      </w:r>
    </w:p>
    <w:p w:rsidR="001314F6" w:rsidRPr="00367DBE" w:rsidRDefault="001314F6" w:rsidP="001314F6">
      <w:pPr>
        <w:spacing w:line="400" w:lineRule="exact"/>
        <w:rPr>
          <w:rFonts w:ascii="標楷體" w:eastAsia="標楷體" w:hAnsi="標楷體"/>
          <w:szCs w:val="24"/>
        </w:rPr>
      </w:pPr>
      <w:r w:rsidRPr="00367DBE">
        <w:rPr>
          <w:rFonts w:ascii="標楷體" w:eastAsia="標楷體" w:hAnsi="標楷體"/>
          <w:szCs w:val="24"/>
        </w:rPr>
        <w:t>9.</w:t>
      </w:r>
      <w:r w:rsidRPr="00367DBE">
        <w:rPr>
          <w:rFonts w:ascii="標楷體" w:eastAsia="標楷體" w:hAnsi="標楷體" w:hint="eastAsia"/>
          <w:szCs w:val="24"/>
        </w:rPr>
        <w:t>126</w:t>
      </w:r>
      <w:r w:rsidRPr="00367DBE">
        <w:rPr>
          <w:rFonts w:ascii="標楷體" w:eastAsia="標楷體" w:hAnsi="標楷體"/>
          <w:szCs w:val="24"/>
        </w:rPr>
        <w:t>.Amivantamab</w:t>
      </w:r>
      <w:r w:rsidRPr="00367DBE">
        <w:rPr>
          <w:rFonts w:ascii="標楷體" w:eastAsia="標楷體" w:hAnsi="標楷體" w:hint="eastAsia"/>
          <w:szCs w:val="24"/>
        </w:rPr>
        <w:t>(</w:t>
      </w:r>
      <w:r w:rsidRPr="00367DBE">
        <w:rPr>
          <w:rFonts w:ascii="標楷體" w:eastAsia="標楷體" w:hAnsi="標楷體"/>
          <w:szCs w:val="24"/>
        </w:rPr>
        <w:t>如Rybrevant)</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1314F6" w:rsidRPr="00367DBE" w:rsidRDefault="001314F6" w:rsidP="001314F6">
      <w:pPr>
        <w:pStyle w:val="a9"/>
        <w:tabs>
          <w:tab w:val="left" w:pos="1418"/>
        </w:tabs>
        <w:spacing w:line="400" w:lineRule="exact"/>
        <w:ind w:leftChars="136" w:left="566" w:hangingChars="100" w:hanging="240"/>
        <w:rPr>
          <w:rFonts w:ascii="標楷體" w:eastAsia="標楷體" w:hAnsi="標楷體"/>
        </w:rPr>
      </w:pPr>
      <w:r w:rsidRPr="00367DBE">
        <w:rPr>
          <w:rFonts w:ascii="標楷體" w:eastAsia="標楷體" w:hAnsi="標楷體" w:hint="eastAsia"/>
        </w:rPr>
        <w:t>1</w:t>
      </w:r>
      <w:r w:rsidRPr="00367DBE">
        <w:rPr>
          <w:rFonts w:ascii="標楷體" w:eastAsia="標楷體" w:hAnsi="標楷體"/>
        </w:rPr>
        <w:t>.與carboplatin 及pemetrexed 併用，適用於罹患帶有表皮生長因子受體(EGFR) exon 20 插入突變之局部晚期或轉移性非小細胞肺癌(NSCLC)的成人病人，作為第一線治療。</w:t>
      </w:r>
    </w:p>
    <w:p w:rsidR="001314F6" w:rsidRPr="00367DBE" w:rsidRDefault="001314F6" w:rsidP="001314F6">
      <w:pPr>
        <w:pStyle w:val="a9"/>
        <w:tabs>
          <w:tab w:val="left" w:pos="1418"/>
        </w:tabs>
        <w:spacing w:line="400" w:lineRule="exact"/>
        <w:ind w:leftChars="118" w:left="283"/>
        <w:rPr>
          <w:rFonts w:ascii="標楷體" w:eastAsia="標楷體" w:hAnsi="標楷體"/>
        </w:rPr>
      </w:pPr>
      <w:r w:rsidRPr="00367DBE">
        <w:rPr>
          <w:rFonts w:ascii="標楷體" w:eastAsia="標楷體" w:hAnsi="標楷體" w:hint="eastAsia"/>
        </w:rPr>
        <w:t>2</w:t>
      </w:r>
      <w:r w:rsidRPr="00367DBE">
        <w:rPr>
          <w:rFonts w:ascii="標楷體" w:eastAsia="標楷體" w:hAnsi="標楷體"/>
        </w:rPr>
        <w:t>.需經事前審查核准後使用</w:t>
      </w:r>
      <w:r w:rsidRPr="00367DBE">
        <w:rPr>
          <w:rFonts w:ascii="標楷體" w:eastAsia="標楷體" w:hAnsi="標楷體" w:hint="eastAsia"/>
        </w:rPr>
        <w:t>：</w:t>
      </w:r>
    </w:p>
    <w:p w:rsidR="001314F6" w:rsidRPr="00367DBE" w:rsidRDefault="001314F6" w:rsidP="001314F6">
      <w:pPr>
        <w:pStyle w:val="a9"/>
        <w:spacing w:line="400" w:lineRule="exact"/>
        <w:ind w:leftChars="204" w:left="850" w:hangingChars="150" w:hanging="360"/>
        <w:rPr>
          <w:rFonts w:ascii="標楷體" w:eastAsia="標楷體" w:hAnsi="標楷體"/>
        </w:rPr>
      </w:pPr>
      <w:r w:rsidRPr="00367DBE">
        <w:rPr>
          <w:rFonts w:ascii="標楷體" w:eastAsia="標楷體" w:hAnsi="標楷體" w:hint="eastAsia"/>
        </w:rPr>
        <w:t>(</w:t>
      </w:r>
      <w:r w:rsidRPr="00367DBE">
        <w:rPr>
          <w:rFonts w:ascii="標楷體" w:eastAsia="標楷體" w:hAnsi="標楷體"/>
        </w:rPr>
        <w:t>1)</w:t>
      </w:r>
      <w:r w:rsidRPr="00367DBE">
        <w:rPr>
          <w:rFonts w:ascii="標楷體" w:eastAsia="標楷體" w:hAnsi="標楷體" w:hint="eastAsia"/>
        </w:rPr>
        <w:t>初次申請時需檢具確實患有非小細胞肺癌之病理或細胞檢查報告，及檢具表皮生長因子受體</w:t>
      </w:r>
      <w:r w:rsidRPr="00367DBE">
        <w:rPr>
          <w:rFonts w:ascii="標楷體" w:eastAsia="標楷體" w:hAnsi="標楷體"/>
        </w:rPr>
        <w:t xml:space="preserve"> (EGFR) exon 20</w:t>
      </w:r>
      <w:r w:rsidRPr="00367DBE">
        <w:rPr>
          <w:rFonts w:ascii="標楷體" w:eastAsia="標楷體" w:hAnsi="標楷體" w:hint="eastAsia"/>
        </w:rPr>
        <w:t>插入突變分析檢測結果報告，且需符合全民健康保險藥品給付規定之通則十二。</w:t>
      </w:r>
    </w:p>
    <w:p w:rsidR="001314F6" w:rsidRDefault="001314F6" w:rsidP="001314F6">
      <w:pPr>
        <w:spacing w:line="400" w:lineRule="exact"/>
        <w:ind w:leftChars="118" w:left="283"/>
        <w:jc w:val="both"/>
        <w:rPr>
          <w:rFonts w:ascii="標楷體" w:eastAsia="標楷體" w:hAnsi="標楷體"/>
          <w:szCs w:val="24"/>
        </w:rPr>
      </w:pPr>
      <w:r w:rsidRPr="00367DBE">
        <w:rPr>
          <w:rFonts w:ascii="標楷體" w:eastAsia="標楷體" w:hAnsi="標楷體" w:hint="eastAsia"/>
          <w:szCs w:val="24"/>
        </w:rPr>
        <w:t>(2)每次申請事前審查之療程以</w:t>
      </w:r>
      <w:r w:rsidRPr="00367DBE">
        <w:rPr>
          <w:rFonts w:ascii="標楷體" w:eastAsia="標楷體" w:hAnsi="標楷體"/>
          <w:szCs w:val="24"/>
        </w:rPr>
        <w:t>3</w:t>
      </w:r>
      <w:r w:rsidRPr="00367DBE">
        <w:rPr>
          <w:rFonts w:ascii="標楷體" w:eastAsia="標楷體" w:hAnsi="標楷體" w:hint="eastAsia"/>
          <w:szCs w:val="24"/>
        </w:rPr>
        <w:t>個月為限，每</w:t>
      </w:r>
      <w:r w:rsidRPr="00367DBE">
        <w:rPr>
          <w:rFonts w:ascii="標楷體" w:eastAsia="標楷體" w:hAnsi="標楷體"/>
          <w:szCs w:val="24"/>
        </w:rPr>
        <w:t>3</w:t>
      </w:r>
      <w:r w:rsidRPr="00367DBE">
        <w:rPr>
          <w:rFonts w:ascii="標楷體" w:eastAsia="標楷體" w:hAnsi="標楷體" w:hint="eastAsia"/>
          <w:szCs w:val="24"/>
        </w:rPr>
        <w:t>個月需再次申請，再次申請時需檢附療效評估資料，若病情惡化即不得再次申請。</w:t>
      </w:r>
    </w:p>
    <w:p w:rsidR="00D250AB" w:rsidRPr="00AB5B6D" w:rsidRDefault="00D250AB" w:rsidP="00D250AB">
      <w:pPr>
        <w:snapToGrid w:val="0"/>
        <w:spacing w:line="400" w:lineRule="exact"/>
        <w:ind w:left="567" w:hanging="283"/>
        <w:jc w:val="both"/>
        <w:rPr>
          <w:rFonts w:ascii="標楷體" w:eastAsia="標楷體" w:hAnsi="標楷體"/>
          <w:szCs w:val="24"/>
        </w:rPr>
      </w:pPr>
      <w:r w:rsidRPr="00AB5B6D">
        <w:rPr>
          <w:rFonts w:ascii="標楷體" w:eastAsia="標楷體" w:hAnsi="標楷體" w:hint="eastAsia"/>
          <w:szCs w:val="24"/>
        </w:rPr>
        <w:t>9.127.Momelotinib (如Omjjara)：(114/10/1)</w:t>
      </w:r>
    </w:p>
    <w:p w:rsidR="00D250AB" w:rsidRPr="00AB5B6D"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szCs w:val="24"/>
        </w:rPr>
        <w:t>1.</w:t>
      </w:r>
      <w:r w:rsidRPr="00AB5B6D">
        <w:rPr>
          <w:rFonts w:ascii="標楷體" w:eastAsia="標楷體" w:hAnsi="標楷體" w:hint="eastAsia"/>
          <w:szCs w:val="24"/>
        </w:rPr>
        <w:t>用於未曾接受</w:t>
      </w:r>
      <w:r w:rsidRPr="00AB5B6D">
        <w:rPr>
          <w:rFonts w:ascii="標楷體" w:eastAsia="標楷體" w:hAnsi="標楷體"/>
          <w:szCs w:val="24"/>
        </w:rPr>
        <w:t>Janus</w:t>
      </w:r>
      <w:r w:rsidRPr="00AB5B6D">
        <w:rPr>
          <w:rFonts w:ascii="標楷體" w:eastAsia="標楷體" w:hAnsi="標楷體" w:hint="eastAsia"/>
          <w:szCs w:val="24"/>
        </w:rPr>
        <w:t>激酶抑制劑（</w:t>
      </w:r>
      <w:r w:rsidRPr="00AB5B6D">
        <w:rPr>
          <w:rFonts w:ascii="標楷體" w:eastAsia="標楷體" w:hAnsi="標楷體"/>
          <w:szCs w:val="24"/>
        </w:rPr>
        <w:t>JAK inhibitor</w:t>
      </w:r>
      <w:r w:rsidRPr="00AB5B6D">
        <w:rPr>
          <w:rFonts w:ascii="標楷體" w:eastAsia="標楷體" w:hAnsi="標楷體" w:hint="eastAsia"/>
          <w:szCs w:val="24"/>
        </w:rPr>
        <w:t>）治療或曾接受</w:t>
      </w:r>
      <w:r w:rsidRPr="00AB5B6D">
        <w:rPr>
          <w:rFonts w:ascii="標楷體" w:eastAsia="標楷體" w:hAnsi="標楷體"/>
          <w:szCs w:val="24"/>
        </w:rPr>
        <w:t>ruxolitinib</w:t>
      </w:r>
      <w:r w:rsidRPr="00AB5B6D">
        <w:rPr>
          <w:rFonts w:ascii="標楷體" w:eastAsia="標楷體" w:hAnsi="標楷體" w:hint="eastAsia"/>
          <w:szCs w:val="24"/>
        </w:rPr>
        <w:t>、</w:t>
      </w:r>
      <w:r w:rsidRPr="00AB5B6D">
        <w:rPr>
          <w:rFonts w:ascii="標楷體" w:eastAsia="標楷體" w:hAnsi="標楷體"/>
          <w:szCs w:val="24"/>
        </w:rPr>
        <w:t>fedratinib</w:t>
      </w:r>
      <w:r w:rsidRPr="00AB5B6D">
        <w:rPr>
          <w:rFonts w:ascii="標楷體" w:eastAsia="標楷體" w:hAnsi="標楷體" w:hint="eastAsia"/>
          <w:szCs w:val="24"/>
        </w:rPr>
        <w:t>治療後不耐受或有禁忌症，且為</w:t>
      </w:r>
      <w:r w:rsidRPr="00AB5B6D">
        <w:rPr>
          <w:rFonts w:ascii="標楷體" w:eastAsia="標楷體" w:hAnsi="標楷體"/>
          <w:szCs w:val="24"/>
        </w:rPr>
        <w:t>International Working Group</w:t>
      </w:r>
      <w:r w:rsidRPr="00AB5B6D">
        <w:rPr>
          <w:rFonts w:ascii="標楷體" w:eastAsia="標楷體" w:hAnsi="標楷體" w:hint="eastAsia"/>
          <w:szCs w:val="24"/>
        </w:rPr>
        <w:t>（</w:t>
      </w:r>
      <w:r w:rsidRPr="00AB5B6D">
        <w:rPr>
          <w:rFonts w:ascii="標楷體" w:eastAsia="標楷體" w:hAnsi="標楷體"/>
          <w:szCs w:val="24"/>
        </w:rPr>
        <w:t>IWG</w:t>
      </w:r>
      <w:r w:rsidRPr="00AB5B6D">
        <w:rPr>
          <w:rFonts w:ascii="標楷體" w:eastAsia="標楷體" w:hAnsi="標楷體" w:hint="eastAsia"/>
          <w:szCs w:val="24"/>
        </w:rPr>
        <w:t>）</w:t>
      </w:r>
      <w:r w:rsidRPr="00AB5B6D">
        <w:rPr>
          <w:rFonts w:ascii="標楷體" w:eastAsia="標楷體" w:hAnsi="標楷體"/>
          <w:szCs w:val="24"/>
        </w:rPr>
        <w:t>Consensus Criteria</w:t>
      </w:r>
      <w:r w:rsidRPr="00AB5B6D">
        <w:rPr>
          <w:rFonts w:ascii="標楷體" w:eastAsia="標楷體" w:hAnsi="標楷體" w:hint="eastAsia"/>
          <w:szCs w:val="24"/>
        </w:rPr>
        <w:t>中度風險或高風險之骨髓纖維化，包括原發性骨髓纖維化、真</w:t>
      </w:r>
      <w:r w:rsidRPr="00AB5B6D">
        <w:rPr>
          <w:rFonts w:ascii="標楷體" w:eastAsia="標楷體" w:hAnsi="標楷體" w:hint="eastAsia"/>
          <w:szCs w:val="24"/>
        </w:rPr>
        <w:lastRenderedPageBreak/>
        <w:t>性紅血球增多症後骨髓纖維化、或血小板增多症後骨髓纖維化等疾病所造成脾臟腫大（</w:t>
      </w:r>
      <w:r w:rsidRPr="00AB5B6D">
        <w:rPr>
          <w:rFonts w:ascii="標楷體" w:eastAsia="標楷體" w:hAnsi="標楷體"/>
          <w:szCs w:val="24"/>
        </w:rPr>
        <w:t>symptomatic splenomegaly</w:t>
      </w:r>
      <w:r w:rsidRPr="00AB5B6D">
        <w:rPr>
          <w:rFonts w:ascii="標楷體" w:eastAsia="標楷體" w:hAnsi="標楷體" w:hint="eastAsia"/>
          <w:szCs w:val="24"/>
        </w:rPr>
        <w:t>）及</w:t>
      </w:r>
      <w:r w:rsidRPr="00AB5B6D">
        <w:rPr>
          <w:rFonts w:ascii="標楷體" w:eastAsia="標楷體" w:hAnsi="標楷體"/>
          <w:szCs w:val="24"/>
        </w:rPr>
        <w:t>/</w:t>
      </w:r>
      <w:r w:rsidRPr="00AB5B6D">
        <w:rPr>
          <w:rFonts w:ascii="標楷體" w:eastAsia="標楷體" w:hAnsi="標楷體" w:hint="eastAsia"/>
          <w:szCs w:val="24"/>
        </w:rPr>
        <w:t>或其他相關全身症狀且不適於接受幹細胞移植（</w:t>
      </w:r>
      <w:r w:rsidRPr="00AB5B6D">
        <w:rPr>
          <w:rFonts w:ascii="標楷體" w:eastAsia="標楷體" w:hAnsi="標楷體"/>
          <w:szCs w:val="24"/>
        </w:rPr>
        <w:t>stem cell transpla</w:t>
      </w:r>
      <w:r w:rsidRPr="00AB5B6D">
        <w:rPr>
          <w:rFonts w:ascii="標楷體" w:eastAsia="標楷體" w:hAnsi="標楷體" w:hint="eastAsia"/>
          <w:szCs w:val="24"/>
        </w:rPr>
        <w:t>ntation）且併有中至重度貧血之成人病人。</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(1)需經事前審查核准後使用，每次申請之療程以6個月為限，送審時需檢送影像資料及症狀改善之病歷紀錄，每6個月評估一次。</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(2)用藥後第一次評估時，需達到症狀反應(symptom response)或脾臟體積無惡化兩者之一，且同時無AML tranformation，方得以繼續使用。分別定義如下：</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Ⅰ.症狀反應：MPN-SAF-TSS分數或MPN-10與治療前基準值相比，需下降超過50%。</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Ⅱ.脾臟體積無惡化：使用電腦斷層評估，脾臟長度未增加超過治療前基準值之40%以上(或體積增加未達25%以上)。</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eastAsia="標楷體"/>
          <w:szCs w:val="24"/>
        </w:rPr>
        <w:t>≥</w:t>
      </w:r>
      <w:r w:rsidRPr="00AB5B6D">
        <w:rPr>
          <w:rFonts w:ascii="標楷體" w:eastAsia="標楷體" w:hAnsi="標楷體"/>
          <w:szCs w:val="24"/>
        </w:rPr>
        <w:t>1</w:t>
      </w:r>
      <w:r w:rsidRPr="00AB5B6D">
        <w:rPr>
          <w:rFonts w:ascii="標楷體" w:eastAsia="標楷體" w:hAnsi="標楷體" w:cs="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(3)用藥後第二次及其後的評估，必須顯示無疾病惡化（無症狀惡化且脾臟體積無惡化，並同時無AML transformation），方得以繼續使用。分別定義如下：</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Ⅰ.無症狀惡化：未出現新症狀，且MPN-SAF-TSS分數或MPN-10未超過治療前的基準值。</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Ⅱ.脾臟體積無惡化：使用電腦斷層評估，脾臟長度未增加超過最佳反應(best response)時之脾臟長度40%以上(或體積增加未達25%以上)。</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ascii="Times New Roman" w:eastAsia="標楷體" w:hAnsi="Times New Roman"/>
          <w:szCs w:val="24"/>
        </w:rPr>
        <w:t>≥</w:t>
      </w:r>
      <w:r w:rsidRPr="00AB5B6D">
        <w:rPr>
          <w:rFonts w:ascii="標楷體" w:eastAsia="標楷體" w:hAnsi="標楷體"/>
          <w:szCs w:val="24"/>
        </w:rPr>
        <w:t>1</w:t>
      </w:r>
      <w:r w:rsidRPr="00AB5B6D">
        <w:rPr>
          <w:rFonts w:ascii="標楷體" w:eastAsia="標楷體" w:hAnsi="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IV.每日限給付1粒。</w:t>
      </w:r>
    </w:p>
    <w:p w:rsidR="00D250AB"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hint="eastAsia"/>
          <w:szCs w:val="24"/>
        </w:rPr>
        <w:t>2.本藥品與ruxolitinib、fedratinib用於中度風險或高風險之骨髓纖維化治療時，僅得擇一給付。Ruxolitinib、fedratinib治療後如疾病惡化不得換用本藥品。</w:t>
      </w:r>
      <w:bookmarkEnd w:id="50"/>
    </w:p>
    <w:p w:rsidR="001A740D" w:rsidRPr="00D32053" w:rsidRDefault="001A740D" w:rsidP="001A740D">
      <w:pPr>
        <w:spacing w:line="400" w:lineRule="exact"/>
        <w:ind w:left="709" w:hanging="451"/>
        <w:rPr>
          <w:rFonts w:ascii="標楷體" w:eastAsia="標楷體" w:hAnsi="標楷體"/>
        </w:rPr>
      </w:pPr>
      <w:r w:rsidRPr="00D32053">
        <w:rPr>
          <w:rFonts w:ascii="標楷體" w:eastAsia="標楷體" w:hAnsi="標楷體"/>
        </w:rPr>
        <w:t>9</w:t>
      </w:r>
      <w:r w:rsidRPr="00D32053">
        <w:rPr>
          <w:rFonts w:ascii="標楷體" w:eastAsia="標楷體" w:hAnsi="標楷體" w:hint="eastAsia"/>
        </w:rPr>
        <w:t>.128.</w:t>
      </w:r>
      <w:r w:rsidRPr="00D32053">
        <w:rPr>
          <w:rFonts w:ascii="標楷體" w:eastAsia="標楷體" w:hAnsi="標楷體"/>
        </w:rPr>
        <w:t>Tucidinostat</w:t>
      </w:r>
      <w:r w:rsidRPr="00D32053">
        <w:rPr>
          <w:rFonts w:ascii="標楷體" w:eastAsia="標楷體" w:hAnsi="標楷體" w:hint="eastAsia"/>
        </w:rPr>
        <w:t xml:space="preserve"> (如K</w:t>
      </w:r>
      <w:r w:rsidRPr="00D32053">
        <w:rPr>
          <w:rFonts w:ascii="標楷體" w:eastAsia="標楷體" w:hAnsi="標楷體"/>
        </w:rPr>
        <w:t>epida</w:t>
      </w:r>
      <w:r w:rsidRPr="00D32053">
        <w:rPr>
          <w:rFonts w:ascii="標楷體" w:eastAsia="標楷體" w:hAnsi="標楷體" w:hint="eastAsia"/>
        </w:rPr>
        <w:t>)：(114/12/1)</w:t>
      </w:r>
    </w:p>
    <w:p w:rsidR="001A740D" w:rsidRDefault="001A740D" w:rsidP="001A740D">
      <w:pPr>
        <w:spacing w:line="400" w:lineRule="exact"/>
        <w:ind w:leftChars="236" w:left="849" w:hangingChars="118" w:hanging="283"/>
        <w:rPr>
          <w:rFonts w:ascii="標楷體" w:eastAsia="標楷體" w:hAnsi="標楷體"/>
        </w:rPr>
      </w:pPr>
      <w:r w:rsidRPr="00D32053">
        <w:rPr>
          <w:rFonts w:ascii="標楷體" w:eastAsia="標楷體" w:hAnsi="標楷體" w:hint="eastAsia"/>
        </w:rPr>
        <w:t>1</w:t>
      </w:r>
      <w:r w:rsidRPr="00D32053">
        <w:rPr>
          <w:rFonts w:ascii="標楷體" w:eastAsia="標楷體" w:hAnsi="標楷體"/>
        </w:rPr>
        <w:t>.與exemestan</w:t>
      </w:r>
      <w:r w:rsidRPr="00D32053">
        <w:rPr>
          <w:rFonts w:ascii="標楷體" w:eastAsia="標楷體" w:hAnsi="標楷體" w:hint="eastAsia"/>
        </w:rPr>
        <w:t>e</w:t>
      </w:r>
      <w:r w:rsidRPr="00D32053">
        <w:rPr>
          <w:rFonts w:ascii="標楷體" w:eastAsia="標楷體" w:hAnsi="標楷體"/>
        </w:rPr>
        <w:t>併用，</w:t>
      </w:r>
      <w:r w:rsidRPr="00D32053">
        <w:rPr>
          <w:rFonts w:ascii="標楷體" w:eastAsia="標楷體" w:hAnsi="標楷體" w:hint="eastAsia"/>
        </w:rPr>
        <w:t>適用於曾接受過至少一種治療轉移性的內分泌併用CDK4/6抑制劑治療後復發或惡化</w:t>
      </w:r>
      <w:r w:rsidRPr="00D32053">
        <w:rPr>
          <w:rFonts w:ascii="標楷體" w:eastAsia="標楷體" w:hAnsi="標楷體"/>
        </w:rPr>
        <w:t>，</w:t>
      </w:r>
      <w:r w:rsidRPr="00D32053">
        <w:rPr>
          <w:rFonts w:ascii="標楷體" w:eastAsia="標楷體" w:hAnsi="標楷體" w:hint="eastAsia"/>
        </w:rPr>
        <w:t>且未曾使用exemestane之荷爾蒙接受體陽性、HER2受體陰性</w:t>
      </w:r>
      <w:r w:rsidRPr="00D32053">
        <w:rPr>
          <w:rFonts w:ascii="標楷體" w:eastAsia="標楷體" w:hAnsi="標楷體"/>
        </w:rPr>
        <w:t>，</w:t>
      </w:r>
      <w:r w:rsidRPr="00D32053">
        <w:rPr>
          <w:rFonts w:ascii="標楷體" w:eastAsia="標楷體" w:hAnsi="標楷體" w:hint="eastAsia"/>
        </w:rPr>
        <w:t>且尚未出現器官轉移危急症狀 (visceral crisis)之</w:t>
      </w:r>
      <w:r w:rsidRPr="00D32053">
        <w:rPr>
          <w:rFonts w:ascii="標楷體" w:eastAsia="標楷體" w:hAnsi="標楷體"/>
        </w:rPr>
        <w:t>停經後轉移性乳癌</w:t>
      </w:r>
      <w:r w:rsidR="0001045E">
        <w:rPr>
          <w:rFonts w:ascii="標楷體" w:eastAsia="標楷體" w:hAnsi="標楷體" w:hint="eastAsia"/>
        </w:rPr>
        <w:t>病人</w:t>
      </w:r>
      <w:r w:rsidRPr="00D32053">
        <w:rPr>
          <w:rFonts w:ascii="標楷體" w:eastAsia="標楷體" w:hAnsi="標楷體"/>
        </w:rPr>
        <w:t>。</w:t>
      </w:r>
    </w:p>
    <w:p w:rsidR="001A740D" w:rsidRDefault="001A740D" w:rsidP="001A740D">
      <w:pPr>
        <w:spacing w:line="400" w:lineRule="exact"/>
        <w:ind w:leftChars="236" w:left="849" w:hangingChars="118" w:hanging="283"/>
        <w:rPr>
          <w:rFonts w:ascii="標楷體" w:eastAsia="標楷體" w:hAnsi="標楷體"/>
        </w:rPr>
      </w:pPr>
      <w:r>
        <w:rPr>
          <w:rFonts w:ascii="標楷體" w:eastAsia="標楷體" w:hAnsi="標楷體" w:hint="eastAsia"/>
        </w:rPr>
        <w:t>2</w:t>
      </w:r>
      <w:r>
        <w:rPr>
          <w:rFonts w:ascii="標楷體" w:eastAsia="標楷體" w:hAnsi="標楷體"/>
        </w:rPr>
        <w:t>.</w:t>
      </w:r>
      <w:r w:rsidRPr="00D32053">
        <w:rPr>
          <w:rFonts w:ascii="標楷體" w:eastAsia="標楷體" w:hAnsi="標楷體" w:hint="eastAsia"/>
        </w:rPr>
        <w:t>需經事前審查核准後使用，每次申請之療程以3個月為限。初次申請時需檢送病理報告及影像報告，之後每3個月申請一次，再次申請時需檢附影像資料及前次治療結果評估資料證實無惡化，才可繼續使用。</w:t>
      </w:r>
    </w:p>
    <w:p w:rsidR="001A740D" w:rsidRPr="00D32053" w:rsidRDefault="001A740D" w:rsidP="001A740D">
      <w:pPr>
        <w:spacing w:line="400" w:lineRule="exact"/>
        <w:ind w:leftChars="236" w:left="849" w:hangingChars="118" w:hanging="283"/>
        <w:rPr>
          <w:rFonts w:ascii="標楷體" w:eastAsia="標楷體" w:hAnsi="標楷體"/>
        </w:rPr>
      </w:pPr>
      <w:r>
        <w:rPr>
          <w:rFonts w:ascii="標楷體" w:eastAsia="標楷體" w:hAnsi="標楷體"/>
        </w:rPr>
        <w:t>3.</w:t>
      </w:r>
      <w:r w:rsidRPr="00D32053">
        <w:rPr>
          <w:rFonts w:ascii="標楷體" w:eastAsia="標楷體" w:hAnsi="標楷體" w:hint="eastAsia"/>
        </w:rPr>
        <w:t>本藥品與</w:t>
      </w:r>
      <w:r w:rsidRPr="00D32053">
        <w:rPr>
          <w:rFonts w:ascii="標楷體" w:eastAsia="標楷體" w:hAnsi="標楷體"/>
        </w:rPr>
        <w:t>everolimus</w:t>
      </w:r>
      <w:r w:rsidRPr="00D32053">
        <w:rPr>
          <w:rFonts w:ascii="標楷體" w:eastAsia="標楷體" w:hAnsi="標楷體" w:hint="eastAsia"/>
        </w:rPr>
        <w:t>僅得擇一使用，除因耐受性不良，不得互換。</w:t>
      </w:r>
    </w:p>
    <w:p w:rsidR="00EC69A8" w:rsidRPr="001B3700" w:rsidRDefault="00EC69A8" w:rsidP="00EC69A8">
      <w:pPr>
        <w:spacing w:line="400" w:lineRule="exact"/>
        <w:ind w:left="709" w:hanging="451"/>
        <w:rPr>
          <w:rFonts w:ascii="標楷體" w:eastAsia="標楷體" w:hAnsi="標楷體" w:cs="標楷體"/>
          <w:color w:val="000000"/>
          <w:kern w:val="0"/>
          <w:szCs w:val="24"/>
        </w:rPr>
      </w:pPr>
      <w:r w:rsidRPr="001B3700">
        <w:rPr>
          <w:rFonts w:ascii="標楷體" w:eastAsia="標楷體" w:hAnsi="標楷體" w:cs="標楷體" w:hint="eastAsia"/>
          <w:color w:val="000000"/>
          <w:kern w:val="0"/>
          <w:szCs w:val="24"/>
        </w:rPr>
        <w:t>9.</w:t>
      </w:r>
      <w:r w:rsidRPr="00EC69A8">
        <w:rPr>
          <w:rFonts w:ascii="標楷體" w:eastAsia="標楷體" w:hAnsi="標楷體" w:hint="eastAsia"/>
        </w:rPr>
        <w:t>129</w:t>
      </w:r>
      <w:r w:rsidRPr="001B3700">
        <w:rPr>
          <w:rFonts w:ascii="標楷體" w:eastAsia="標楷體" w:hAnsi="標楷體" w:cs="標楷體" w:hint="eastAsia"/>
          <w:color w:val="000000"/>
          <w:kern w:val="0"/>
          <w:szCs w:val="24"/>
        </w:rPr>
        <w:t>.A</w:t>
      </w:r>
      <w:r w:rsidRPr="001B3700">
        <w:rPr>
          <w:rFonts w:ascii="標楷體" w:eastAsia="標楷體" w:hAnsi="標楷體" w:cs="標楷體"/>
          <w:color w:val="000000"/>
          <w:kern w:val="0"/>
          <w:szCs w:val="24"/>
        </w:rPr>
        <w:t xml:space="preserve">lpelisib </w:t>
      </w:r>
      <w:r w:rsidRPr="001B3700">
        <w:rPr>
          <w:rFonts w:ascii="標楷體" w:eastAsia="標楷體" w:hAnsi="標楷體" w:cs="標楷體" w:hint="eastAsia"/>
          <w:color w:val="000000"/>
          <w:kern w:val="0"/>
          <w:szCs w:val="24"/>
        </w:rPr>
        <w:t>(如Pi</w:t>
      </w:r>
      <w:r w:rsidRPr="001B3700">
        <w:rPr>
          <w:rFonts w:ascii="標楷體" w:eastAsia="標楷體" w:hAnsi="標楷體" w:cs="標楷體"/>
          <w:color w:val="000000"/>
          <w:kern w:val="0"/>
          <w:szCs w:val="24"/>
        </w:rPr>
        <w:t>qray</w:t>
      </w:r>
      <w:r w:rsidRPr="001B3700">
        <w:rPr>
          <w:rFonts w:ascii="標楷體" w:eastAsia="標楷體" w:hAnsi="標楷體" w:cs="標楷體" w:hint="eastAsia"/>
          <w:color w:val="000000"/>
          <w:kern w:val="0"/>
          <w:szCs w:val="24"/>
        </w:rPr>
        <w:t>）：(115/1/1)</w:t>
      </w:r>
    </w:p>
    <w:p w:rsidR="00EC69A8" w:rsidRPr="001B3700" w:rsidRDefault="00EC69A8" w:rsidP="00EC69A8">
      <w:pPr>
        <w:spacing w:line="400" w:lineRule="exact"/>
        <w:ind w:leftChars="236" w:left="849" w:hangingChars="118" w:hanging="283"/>
        <w:rPr>
          <w:rFonts w:ascii="標楷體" w:eastAsia="標楷體" w:hAnsi="標楷體" w:cs="標楷體"/>
          <w:color w:val="000000"/>
          <w:kern w:val="0"/>
          <w:szCs w:val="24"/>
        </w:rPr>
      </w:pPr>
      <w:r w:rsidRPr="001B3700">
        <w:rPr>
          <w:rFonts w:ascii="標楷體" w:eastAsia="標楷體" w:hAnsi="標楷體" w:cs="標楷體" w:hint="eastAsia"/>
          <w:color w:val="000000"/>
          <w:kern w:val="0"/>
          <w:szCs w:val="24"/>
        </w:rPr>
        <w:t>1.與</w:t>
      </w:r>
      <w:r w:rsidRPr="00EC69A8">
        <w:rPr>
          <w:rFonts w:ascii="標楷體" w:eastAsia="標楷體" w:hAnsi="標楷體" w:hint="eastAsia"/>
        </w:rPr>
        <w:t>fulvestrant</w:t>
      </w:r>
      <w:r w:rsidRPr="001B3700">
        <w:rPr>
          <w:rFonts w:ascii="標楷體" w:eastAsia="標楷體" w:hAnsi="標楷體" w:cs="標楷體" w:hint="eastAsia"/>
          <w:color w:val="000000"/>
          <w:kern w:val="0"/>
          <w:szCs w:val="24"/>
        </w:rPr>
        <w:t>併用於曾接受CDK4/6抑制劑治療但疾病惡化的停經後轉移性乳癌病人，且須完全符合下列條件：</w:t>
      </w:r>
    </w:p>
    <w:p w:rsidR="00EC69A8" w:rsidRPr="00EC69A8" w:rsidRDefault="00EC69A8" w:rsidP="00EC69A8">
      <w:pPr>
        <w:snapToGrid w:val="0"/>
        <w:spacing w:line="400" w:lineRule="exact"/>
        <w:ind w:leftChars="320" w:left="1133" w:hangingChars="152" w:hanging="365"/>
        <w:jc w:val="both"/>
        <w:rPr>
          <w:rFonts w:ascii="標楷體" w:eastAsia="標楷體" w:hAnsi="標楷體"/>
          <w:szCs w:val="24"/>
        </w:rPr>
      </w:pPr>
      <w:r w:rsidRPr="001B3700">
        <w:rPr>
          <w:rFonts w:ascii="標楷體" w:eastAsia="標楷體" w:hAnsi="標楷體" w:cs="標楷體" w:hint="eastAsia"/>
          <w:color w:val="000000"/>
          <w:kern w:val="0"/>
          <w:szCs w:val="24"/>
        </w:rPr>
        <w:t>(1)荷爾</w:t>
      </w:r>
      <w:r w:rsidRPr="00EC69A8">
        <w:rPr>
          <w:rFonts w:ascii="標楷體" w:eastAsia="標楷體" w:hAnsi="標楷體" w:hint="eastAsia"/>
          <w:szCs w:val="24"/>
        </w:rPr>
        <w:t>蒙受體為：ER或PR＞30%。</w:t>
      </w:r>
    </w:p>
    <w:p w:rsidR="00EC69A8" w:rsidRPr="00EC69A8" w:rsidRDefault="00EC69A8" w:rsidP="00EC69A8">
      <w:pPr>
        <w:snapToGrid w:val="0"/>
        <w:spacing w:line="400" w:lineRule="exact"/>
        <w:ind w:leftChars="320" w:left="1133" w:hangingChars="152" w:hanging="365"/>
        <w:jc w:val="both"/>
        <w:rPr>
          <w:rFonts w:ascii="標楷體" w:eastAsia="標楷體" w:hAnsi="標楷體"/>
          <w:szCs w:val="24"/>
        </w:rPr>
      </w:pPr>
      <w:r w:rsidRPr="00EC69A8">
        <w:rPr>
          <w:rFonts w:ascii="標楷體" w:eastAsia="標楷體" w:hAnsi="標楷體" w:hint="eastAsia"/>
          <w:szCs w:val="24"/>
        </w:rPr>
        <w:t>(2)HER-2 檢測為陰性。</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EC69A8">
        <w:rPr>
          <w:rFonts w:ascii="標楷體" w:eastAsia="標楷體" w:hAnsi="標楷體" w:hint="eastAsia"/>
          <w:szCs w:val="24"/>
        </w:rPr>
        <w:lastRenderedPageBreak/>
        <w:t>(</w:t>
      </w:r>
      <w:r w:rsidRPr="00EC69A8">
        <w:rPr>
          <w:rFonts w:ascii="標楷體" w:eastAsia="標楷體" w:hAnsi="標楷體"/>
          <w:szCs w:val="24"/>
        </w:rPr>
        <w:t>3)</w:t>
      </w:r>
      <w:r w:rsidRPr="00EC69A8">
        <w:rPr>
          <w:rFonts w:ascii="標楷體" w:eastAsia="標楷體" w:hAnsi="標楷體" w:hint="eastAsia"/>
          <w:szCs w:val="24"/>
        </w:rPr>
        <w:t>具有</w:t>
      </w:r>
      <w:r w:rsidRPr="001B3700">
        <w:rPr>
          <w:rFonts w:ascii="標楷體" w:eastAsia="標楷體" w:hAnsi="標楷體" w:cs="標楷體" w:hint="eastAsia"/>
          <w:color w:val="000000"/>
          <w:kern w:val="0"/>
          <w:szCs w:val="24"/>
        </w:rPr>
        <w:t>PIK3CA基因突變。</w:t>
      </w:r>
    </w:p>
    <w:p w:rsidR="00EC69A8" w:rsidRPr="001B3700" w:rsidRDefault="00EC69A8" w:rsidP="00EC69A8">
      <w:pPr>
        <w:spacing w:line="400" w:lineRule="exact"/>
        <w:ind w:leftChars="236" w:left="849" w:hangingChars="118" w:hanging="283"/>
        <w:rPr>
          <w:rFonts w:ascii="標楷體" w:eastAsia="標楷體" w:hAnsi="標楷體"/>
          <w:szCs w:val="24"/>
        </w:rPr>
      </w:pPr>
      <w:r w:rsidRPr="001B3700">
        <w:rPr>
          <w:rFonts w:ascii="標楷體" w:eastAsia="標楷體" w:hAnsi="標楷體" w:hint="eastAsia"/>
          <w:szCs w:val="24"/>
        </w:rPr>
        <w:t>2.需經事前審查核准後使用：</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1B3700">
        <w:rPr>
          <w:rFonts w:ascii="標楷體" w:eastAsia="標楷體" w:hAnsi="標楷體" w:hint="eastAsia"/>
          <w:szCs w:val="24"/>
        </w:rPr>
        <w:t>(1)初次申請需檢附</w:t>
      </w:r>
      <w:r w:rsidRPr="001B3700">
        <w:rPr>
          <w:rFonts w:ascii="標楷體" w:eastAsia="標楷體" w:hAnsi="標楷體" w:cs="標楷體" w:hint="eastAsia"/>
          <w:color w:val="000000"/>
          <w:kern w:val="0"/>
          <w:szCs w:val="24"/>
        </w:rPr>
        <w:t>PIK3CA基因突變檢測報告，且需符合全民健康保險藥品給付規定之通則十二。</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1B3700">
        <w:rPr>
          <w:rFonts w:ascii="標楷體" w:eastAsia="標楷體" w:hAnsi="標楷體" w:hint="eastAsia"/>
          <w:szCs w:val="24"/>
        </w:rPr>
        <w:t>(2)</w:t>
      </w:r>
      <w:r w:rsidRPr="001B3700">
        <w:rPr>
          <w:rFonts w:ascii="標楷體" w:eastAsia="標楷體" w:hAnsi="標楷體" w:cs="標楷體" w:hint="eastAsia"/>
          <w:color w:val="000000"/>
          <w:kern w:val="0"/>
          <w:szCs w:val="24"/>
        </w:rPr>
        <w:t>核准後每12週需檢附療效</w:t>
      </w:r>
      <w:r w:rsidRPr="00EC69A8">
        <w:rPr>
          <w:rFonts w:ascii="標楷體" w:eastAsia="標楷體" w:hAnsi="標楷體" w:hint="eastAsia"/>
          <w:szCs w:val="24"/>
        </w:rPr>
        <w:t>評估</w:t>
      </w:r>
      <w:r w:rsidRPr="001B3700">
        <w:rPr>
          <w:rFonts w:ascii="標楷體" w:eastAsia="標楷體" w:hAnsi="標楷體" w:cs="標楷體" w:hint="eastAsia"/>
          <w:color w:val="000000"/>
          <w:kern w:val="0"/>
          <w:szCs w:val="24"/>
        </w:rPr>
        <w:t>資料再次申請，若疾病惡化及必須停止使用。</w:t>
      </w:r>
    </w:p>
    <w:p w:rsidR="00EC69A8" w:rsidRPr="001B3700" w:rsidRDefault="00EC69A8" w:rsidP="00EC69A8">
      <w:pPr>
        <w:spacing w:line="400" w:lineRule="exact"/>
        <w:ind w:leftChars="236" w:left="849" w:hangingChars="118" w:hanging="283"/>
        <w:rPr>
          <w:rFonts w:ascii="標楷體" w:eastAsia="標楷體" w:hAnsi="標楷體" w:cs="標楷體"/>
          <w:color w:val="000000"/>
          <w:kern w:val="0"/>
          <w:szCs w:val="24"/>
        </w:rPr>
      </w:pPr>
      <w:r w:rsidRPr="001B3700">
        <w:rPr>
          <w:rFonts w:ascii="標楷體" w:eastAsia="標楷體" w:hAnsi="標楷體" w:hint="eastAsia"/>
          <w:szCs w:val="24"/>
        </w:rPr>
        <w:t>3.每日最多處方2粒。</w:t>
      </w:r>
    </w:p>
    <w:p w:rsidR="003B14A6" w:rsidRPr="00567D1F" w:rsidRDefault="003B14A6" w:rsidP="003B14A6">
      <w:pPr>
        <w:spacing w:line="400" w:lineRule="exact"/>
        <w:ind w:left="709" w:hanging="451"/>
        <w:rPr>
          <w:rFonts w:ascii="標楷體" w:eastAsia="標楷體" w:hAnsi="標楷體"/>
          <w:color w:val="000000"/>
        </w:rPr>
      </w:pPr>
      <w:r w:rsidRPr="00567D1F">
        <w:rPr>
          <w:rFonts w:ascii="標楷體" w:eastAsia="標楷體" w:hAnsi="標楷體"/>
          <w:color w:val="000000"/>
        </w:rPr>
        <w:t>9.130.</w:t>
      </w:r>
      <w:r w:rsidRPr="003B14A6">
        <w:rPr>
          <w:rFonts w:ascii="標楷體" w:eastAsia="標楷體" w:hAnsi="標楷體"/>
        </w:rPr>
        <w:t>Fulvestrant</w:t>
      </w:r>
      <w:r w:rsidRPr="00567D1F">
        <w:rPr>
          <w:rFonts w:ascii="標楷體" w:eastAsia="標楷體" w:hAnsi="標楷體"/>
          <w:color w:val="000000"/>
        </w:rPr>
        <w:t>(如 Fustron)：(115/1/1)</w:t>
      </w:r>
    </w:p>
    <w:p w:rsidR="003B14A6" w:rsidRPr="003B14A6" w:rsidRDefault="003B14A6" w:rsidP="003B14A6">
      <w:pPr>
        <w:spacing w:line="400" w:lineRule="exact"/>
        <w:ind w:leftChars="236" w:left="849" w:hangingChars="118" w:hanging="283"/>
        <w:rPr>
          <w:rFonts w:ascii="標楷體" w:eastAsia="標楷體" w:hAnsi="標楷體" w:cs="標楷體"/>
          <w:color w:val="000000"/>
          <w:kern w:val="0"/>
          <w:szCs w:val="24"/>
        </w:rPr>
      </w:pPr>
      <w:r w:rsidRPr="00567D1F">
        <w:rPr>
          <w:rFonts w:ascii="標楷體" w:eastAsia="標楷體" w:hAnsi="標楷體"/>
          <w:color w:val="000000"/>
        </w:rPr>
        <w:t>1.單獨使用</w:t>
      </w:r>
      <w:r w:rsidRPr="003B14A6">
        <w:rPr>
          <w:rFonts w:ascii="標楷體" w:eastAsia="標楷體" w:hAnsi="標楷體" w:cs="標楷體"/>
          <w:color w:val="000000"/>
          <w:kern w:val="0"/>
          <w:szCs w:val="24"/>
        </w:rPr>
        <w:t xml:space="preserve">於患有雌激素受體陽性的局部晚期或轉移性乳癌之停經病人，其已接受輔助抗雌激素療法但疾病仍復發，或使用抗雌激素療法但疾病仍惡化。 </w:t>
      </w:r>
    </w:p>
    <w:p w:rsidR="003B14A6" w:rsidRPr="003B14A6" w:rsidRDefault="003B14A6" w:rsidP="003B14A6">
      <w:pPr>
        <w:spacing w:line="400" w:lineRule="exact"/>
        <w:ind w:leftChars="236" w:left="849" w:hangingChars="118" w:hanging="283"/>
        <w:rPr>
          <w:rFonts w:ascii="標楷體" w:eastAsia="標楷體" w:hAnsi="標楷體" w:cs="標楷體"/>
          <w:color w:val="000000"/>
          <w:kern w:val="0"/>
          <w:szCs w:val="24"/>
        </w:rPr>
      </w:pPr>
      <w:r w:rsidRPr="003B14A6">
        <w:rPr>
          <w:rFonts w:ascii="標楷體" w:eastAsia="標楷體" w:hAnsi="標楷體" w:cs="標楷體"/>
          <w:color w:val="000000"/>
          <w:kern w:val="0"/>
          <w:szCs w:val="24"/>
        </w:rPr>
        <w:t>2.與alpelisib併用於曾接受CDK4/6抑制劑治療但疾病惡化的停經後轉移性乳癌病人，且須符合alpelisib之藥品給付規定。</w:t>
      </w:r>
    </w:p>
    <w:p w:rsidR="003B14A6" w:rsidRPr="00567D1F" w:rsidRDefault="003B14A6" w:rsidP="003B14A6">
      <w:pPr>
        <w:spacing w:line="400" w:lineRule="exact"/>
        <w:ind w:leftChars="236" w:left="849" w:hangingChars="118" w:hanging="283"/>
        <w:rPr>
          <w:rFonts w:ascii="標楷體" w:eastAsia="標楷體" w:hAnsi="標楷體"/>
          <w:color w:val="000000"/>
        </w:rPr>
      </w:pPr>
      <w:r w:rsidRPr="003B14A6">
        <w:rPr>
          <w:rFonts w:ascii="標楷體" w:eastAsia="標楷體" w:hAnsi="標楷體" w:cs="標楷體"/>
          <w:color w:val="000000"/>
          <w:kern w:val="0"/>
          <w:szCs w:val="24"/>
        </w:rPr>
        <w:t>3.與CDK4/6抑制劑(限使用palbociclib)併用於曾接受過內分泌療法之局部晚期或轉移性乳癌病人</w:t>
      </w:r>
      <w:r w:rsidRPr="00567D1F">
        <w:rPr>
          <w:rFonts w:ascii="標楷體" w:eastAsia="標楷體" w:hAnsi="標楷體"/>
          <w:color w:val="000000"/>
        </w:rPr>
        <w:t>，且須符合CDK4/6抑制劑之藥品給付規定。</w:t>
      </w:r>
    </w:p>
    <w:p w:rsidR="006E2BB4" w:rsidRPr="006E2BB4" w:rsidRDefault="006E2BB4" w:rsidP="006E2BB4">
      <w:pPr>
        <w:snapToGrid w:val="0"/>
        <w:spacing w:line="400" w:lineRule="exact"/>
        <w:ind w:left="851" w:hanging="567"/>
        <w:jc w:val="both"/>
        <w:rPr>
          <w:rFonts w:ascii="標楷體" w:eastAsia="標楷體" w:hAnsi="標楷體"/>
        </w:rPr>
      </w:pPr>
      <w:r w:rsidRPr="006E2BB4">
        <w:rPr>
          <w:rFonts w:ascii="標楷體" w:eastAsia="標楷體" w:hAnsi="標楷體"/>
        </w:rPr>
        <w:t>9.131.Repotrectinib(如Augtyro)：(115/2/1)</w:t>
      </w:r>
    </w:p>
    <w:p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1.單獨給付於在crizotinib或entrectinib治療中惡化之ROS1陽性之局部晚期或轉移性非小細胞肺癌的成人病人。</w:t>
      </w:r>
    </w:p>
    <w:p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2.須經事前審查核准後使用：</w:t>
      </w:r>
    </w:p>
    <w:p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(1)需檢具確實患有非小細胞肺癌之病理或細胞檢查報告，以及符合診斷之ROS-1突變檢測報告，且需符合全民健康保險藥品給付規定之通則十二。</w:t>
      </w:r>
    </w:p>
    <w:p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(2)每次申請事前審查以3個月為限，再次申請時需附上治療後相關臨床資料，如給藥4週後，需追蹤胸部X光或電腦斷層等影像檢查評估療效，往後每4週做胸部X光檢查，每隔8週需追蹤其作為評估藥效的影像(如胸部X光或電腦斷層)，若病情惡化即不得再次申請。</w:t>
      </w:r>
    </w:p>
    <w:p w:rsidR="001A740D"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3.每日最大劑量限320mg。</w:t>
      </w:r>
    </w:p>
    <w:p w:rsidR="00C61D18" w:rsidRDefault="00C61D18" w:rsidP="00C61D18">
      <w:pPr>
        <w:tabs>
          <w:tab w:val="left" w:pos="1418"/>
        </w:tabs>
        <w:spacing w:line="400" w:lineRule="exact"/>
        <w:ind w:leftChars="118" w:left="283"/>
        <w:rPr>
          <w:rFonts w:ascii="標楷體" w:eastAsia="標楷體" w:hAnsi="標楷體"/>
          <w:color w:val="000000"/>
        </w:rPr>
      </w:pPr>
      <w:r>
        <w:rPr>
          <w:rFonts w:ascii="標楷體" w:eastAsia="標楷體" w:hAnsi="標楷體" w:hint="eastAsia"/>
          <w:color w:val="000000"/>
        </w:rPr>
        <w:t>9.132.B</w:t>
      </w:r>
      <w:r>
        <w:rPr>
          <w:rFonts w:ascii="標楷體" w:eastAsia="標楷體" w:hAnsi="標楷體"/>
          <w:color w:val="000000"/>
        </w:rPr>
        <w:t>osutinib(如Bostini)：(</w:t>
      </w:r>
      <w:r>
        <w:rPr>
          <w:rFonts w:ascii="標楷體" w:eastAsia="標楷體" w:hAnsi="標楷體" w:hint="eastAsia"/>
          <w:color w:val="000000"/>
        </w:rPr>
        <w:t>115/2/1</w:t>
      </w:r>
      <w:r>
        <w:rPr>
          <w:rFonts w:ascii="標楷體" w:eastAsia="標楷體" w:hAnsi="標楷體"/>
          <w:color w:val="000000"/>
        </w:rPr>
        <w:t>)</w:t>
      </w:r>
    </w:p>
    <w:p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hint="eastAsia"/>
          <w:color w:val="000000"/>
        </w:rPr>
        <w:t>第一線使用</w:t>
      </w:r>
      <w:r>
        <w:rPr>
          <w:rFonts w:ascii="標楷體" w:eastAsia="標楷體" w:hAnsi="標楷體"/>
          <w:color w:val="000000"/>
        </w:rPr>
        <w:t>：</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治療新診斷的費城染色體陽性之慢性期慢性骨髓性白血病的成人病人</w:t>
      </w:r>
      <w:r>
        <w:rPr>
          <w:rFonts w:ascii="標楷體" w:eastAsia="標楷體" w:hAnsi="標楷體" w:hint="eastAsia"/>
          <w:color w:val="000000"/>
        </w:rPr>
        <w:t>。</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限每日最大劑量400mg。</w:t>
      </w:r>
    </w:p>
    <w:p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hint="eastAsia"/>
          <w:color w:val="000000"/>
        </w:rPr>
        <w:t>2.</w:t>
      </w:r>
      <w:r w:rsidRPr="005958A1">
        <w:rPr>
          <w:rFonts w:ascii="標楷體" w:eastAsia="標楷體" w:hAnsi="標楷體" w:hint="eastAsia"/>
          <w:color w:val="000000"/>
        </w:rPr>
        <w:t>第二線使用：</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治療患有慢性、加速或急性期慢性骨髓性白血病，對先前經 imatinib 400mg(含)以上治療後有抗藥性或無耐受性的成人病人。</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需檢送病歷及對imatinib耐受性不良或無效的證明。</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3</w:t>
      </w:r>
      <w:r>
        <w:rPr>
          <w:rFonts w:ascii="標楷體" w:eastAsia="標楷體" w:hAnsi="標楷體"/>
          <w:color w:val="000000"/>
        </w:rPr>
        <w:t>).</w:t>
      </w:r>
      <w:r w:rsidRPr="005958A1">
        <w:rPr>
          <w:rFonts w:ascii="標楷體" w:eastAsia="標楷體" w:hAnsi="標楷體" w:hint="eastAsia"/>
          <w:color w:val="000000"/>
        </w:rPr>
        <w:t>每日最大劑量500mg，惟接受起始劑量而未達到維持血液學、細胞遺傳學或分子反應，且未出現第3級或以上不良反應的病人，可進行遞增劑量，每日以最大劑量600mg為限。</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hint="eastAsia"/>
          <w:color w:val="000000"/>
        </w:rPr>
        <w:t>3.</w:t>
      </w:r>
      <w:r w:rsidRPr="005958A1">
        <w:rPr>
          <w:rFonts w:ascii="標楷體" w:eastAsia="標楷體" w:hAnsi="標楷體" w:hint="eastAsia"/>
          <w:color w:val="000000"/>
        </w:rPr>
        <w:t>1~2項規定內之疾病診斷或追蹤若需依據基因檢測報告，則需符合全民健康保險藥</w:t>
      </w:r>
      <w:r w:rsidRPr="005958A1">
        <w:rPr>
          <w:rFonts w:ascii="標楷體" w:eastAsia="標楷體" w:hAnsi="標楷體" w:hint="eastAsia"/>
          <w:color w:val="000000"/>
        </w:rPr>
        <w:lastRenderedPageBreak/>
        <w:t>品給付規定之通則十二。</w:t>
      </w:r>
    </w:p>
    <w:p w:rsidR="00C61D18" w:rsidRDefault="00C61D18" w:rsidP="00C61D18">
      <w:pPr>
        <w:snapToGrid w:val="0"/>
        <w:spacing w:line="400" w:lineRule="exact"/>
        <w:ind w:left="1134" w:hanging="283"/>
        <w:jc w:val="both"/>
        <w:rPr>
          <w:rFonts w:ascii="標楷體" w:eastAsia="標楷體" w:hAnsi="標楷體"/>
          <w:color w:val="000000"/>
        </w:rPr>
      </w:pPr>
      <w:r w:rsidRPr="005958A1">
        <w:rPr>
          <w:rFonts w:ascii="標楷體" w:eastAsia="標楷體" w:hAnsi="標楷體" w:hint="eastAsia"/>
          <w:color w:val="000000"/>
        </w:rPr>
        <w:t>4.Bosutinib、nilotinib與dasatinib不得合併使用。</w:t>
      </w:r>
    </w:p>
    <w:p w:rsidR="00C70264" w:rsidRPr="008A1E71" w:rsidRDefault="00C70264" w:rsidP="00C70264">
      <w:pPr>
        <w:spacing w:line="400" w:lineRule="exact"/>
        <w:ind w:leftChars="118" w:left="283"/>
      </w:pPr>
      <w:r w:rsidRPr="008A1E71">
        <w:rPr>
          <w:rFonts w:ascii="標楷體" w:eastAsia="標楷體" w:hAnsi="標楷體"/>
        </w:rPr>
        <w:t>9.133.Zolbetuximab (如Vyloy)：(115/4/1)</w:t>
      </w:r>
    </w:p>
    <w:p w:rsidR="00C70264" w:rsidRPr="008A1E71" w:rsidRDefault="00C70264" w:rsidP="00C70264">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限與含氟嘧啶（fluoropyrimidine）和含鉑的化療併用，適用於Claudin （CLDN） 18.2陽性、第二型人類表皮生長因子受體（HER2）陰性的局部晚期不可切除或轉移性胃腺癌病人的第一線治療，且符合下列條件：</w:t>
      </w:r>
    </w:p>
    <w:p w:rsidR="00C70264" w:rsidRPr="008A1E71" w:rsidRDefault="00C70264" w:rsidP="00C70264">
      <w:pPr>
        <w:pStyle w:val="a9"/>
        <w:numPr>
          <w:ilvl w:val="0"/>
          <w:numId w:val="36"/>
        </w:numPr>
        <w:spacing w:line="400" w:lineRule="exact"/>
        <w:ind w:left="1276" w:hanging="482"/>
        <w:rPr>
          <w:rFonts w:ascii="標楷體" w:eastAsia="標楷體" w:hAnsi="標楷體"/>
        </w:rPr>
      </w:pPr>
      <w:r w:rsidRPr="008A1E71">
        <w:rPr>
          <w:rFonts w:ascii="標楷體" w:eastAsia="標楷體" w:hAnsi="標楷體"/>
        </w:rPr>
        <w:t>病人身體狀況良好（ECOG≦1）。</w:t>
      </w:r>
    </w:p>
    <w:p w:rsidR="00C70264" w:rsidRPr="008A1E71" w:rsidRDefault="00C70264" w:rsidP="00C70264">
      <w:pPr>
        <w:pStyle w:val="a9"/>
        <w:numPr>
          <w:ilvl w:val="0"/>
          <w:numId w:val="36"/>
        </w:numPr>
        <w:spacing w:line="400" w:lineRule="exact"/>
        <w:ind w:left="1276" w:hanging="482"/>
      </w:pPr>
      <w:r w:rsidRPr="008A1E71">
        <w:rPr>
          <w:rFonts w:ascii="標楷體" w:eastAsia="標楷體" w:hAnsi="標楷體"/>
        </w:rPr>
        <w:t>初次申請時需檢附確實患有局部晚期不可切除或轉移性胃腺癌之病理或細胞檢查報告，及以免疫組織化學染色</w:t>
      </w:r>
      <w:r w:rsidRPr="008A1E71">
        <w:rPr>
          <w:rFonts w:ascii="標楷體" w:eastAsia="標楷體" w:hAnsi="標楷體" w:cs="標楷體"/>
        </w:rPr>
        <w:t>法確定腫瘤為</w:t>
      </w:r>
      <w:r w:rsidRPr="008A1E71">
        <w:rPr>
          <w:rFonts w:ascii="標楷體" w:eastAsia="標楷體" w:hAnsi="標楷體"/>
        </w:rPr>
        <w:t>CLDN18.2陽性（定義為</w:t>
      </w:r>
      <w:r w:rsidRPr="008A1E71">
        <w:rPr>
          <w:rFonts w:eastAsia="標楷體"/>
        </w:rPr>
        <w:t>≥</w:t>
      </w:r>
      <w:r w:rsidRPr="008A1E71">
        <w:rPr>
          <w:rFonts w:ascii="標楷體" w:eastAsia="標楷體" w:hAnsi="標楷體"/>
        </w:rPr>
        <w:t>75%的腫瘤細胞顯示中至強染色強度的CLDN18.2）且第二型人類表皮生長因子受體（HER2）陰性之檢測報告。</w:t>
      </w:r>
    </w:p>
    <w:p w:rsidR="00C70264" w:rsidRPr="008A1E71" w:rsidRDefault="00C70264" w:rsidP="00C70264">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須經事前審查核准後使用，每次申請事前審查之療程以12週為限，再次申請必須提出客觀影像學證據（如：RECIST criteria）證實無惡化，才可繼續使用。</w:t>
      </w:r>
    </w:p>
    <w:p w:rsidR="00C70264" w:rsidRPr="006670DE" w:rsidRDefault="00C70264" w:rsidP="006670DE">
      <w:pPr>
        <w:pStyle w:val="a9"/>
        <w:numPr>
          <w:ilvl w:val="0"/>
          <w:numId w:val="35"/>
        </w:numPr>
        <w:spacing w:line="400" w:lineRule="exact"/>
        <w:ind w:left="851" w:hanging="284"/>
        <w:rPr>
          <w:rFonts w:ascii="標楷體" w:eastAsia="標楷體" w:hAnsi="標楷體"/>
        </w:rPr>
      </w:pPr>
      <w:bookmarkStart w:id="51" w:name="_GoBack"/>
      <w:bookmarkEnd w:id="51"/>
      <w:r w:rsidRPr="008A1E71">
        <w:rPr>
          <w:rFonts w:ascii="標楷體" w:eastAsia="標楷體" w:hAnsi="標楷體"/>
        </w:rPr>
        <w:t>本案藥品與免疫檢查點抑制劑僅能擇一給付，且治療失敗時不可互換。</w:t>
      </w:r>
    </w:p>
    <w:sectPr w:rsidR="00C70264" w:rsidRPr="006670DE">
      <w:footerReference w:type="default" r:id="rId7"/>
      <w:pgSz w:w="11906" w:h="16838"/>
      <w:pgMar w:top="1134" w:right="1134" w:bottom="1134" w:left="1134" w:header="851" w:footer="992" w:gutter="0"/>
      <w:cols w:space="720"/>
      <w:docGrid w:type="lines" w:linePitch="4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B7362" w:rsidRDefault="000B7362">
      <w:r>
        <w:separator/>
      </w:r>
    </w:p>
  </w:endnote>
  <w:endnote w:type="continuationSeparator" w:id="0">
    <w:p w:rsidR="000B7362" w:rsidRDefault="000B7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font>
  <w:font w:name="Cambria">
    <w:panose1 w:val="02040503050406030204"/>
    <w:charset w:val="00"/>
    <w:family w:val="roman"/>
    <w:pitch w:val="variable"/>
    <w:sig w:usb0="E00006FF" w:usb1="420024FF" w:usb2="02000000" w:usb3="00000000" w:csb0="0000019F" w:csb1="00000000"/>
  </w:font>
  <w:font w:name="標楷體.鬁...">
    <w:charset w:val="00"/>
    <w:family w:val="roman"/>
    <w:pitch w:val="default"/>
  </w:font>
  <w:font w:name="Liberation Serif">
    <w:panose1 w:val="02020603050405020304"/>
    <w:charset w:val="00"/>
    <w:family w:val="roman"/>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BiauKai">
    <w:charset w:val="00"/>
    <w:family w:val="script"/>
    <w:pitch w:val="fixed"/>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65C5D" w:rsidRDefault="00D65C5D">
    <w:pPr>
      <w:pStyle w:val="a5"/>
      <w:jc w:val="center"/>
    </w:pPr>
    <w:r>
      <w:rPr>
        <w:rFonts w:ascii="Times New Roman" w:eastAsia="標楷體" w:hAnsi="Times New Roman"/>
      </w:rPr>
      <w:t>第</w:t>
    </w:r>
    <w:r>
      <w:rPr>
        <w:rFonts w:ascii="Times New Roman" w:eastAsia="標楷體" w:hAnsi="Times New Roman"/>
      </w:rPr>
      <w:t>9</w:t>
    </w:r>
    <w:r>
      <w:rPr>
        <w:rFonts w:ascii="Times New Roman" w:eastAsia="標楷體" w:hAnsi="Times New Roman"/>
      </w:rPr>
      <w:t>節</w:t>
    </w:r>
    <w:r>
      <w:rPr>
        <w:rFonts w:ascii="Times New Roman" w:eastAsia="標楷體" w:hAnsi="Times New Roman"/>
      </w:rPr>
      <w:t>-</w:t>
    </w:r>
    <w:r>
      <w:rPr>
        <w:rFonts w:ascii="Times New Roman" w:eastAsia="標楷體" w:hAnsi="Times New Roman"/>
        <w:lang w:val="zh-TW"/>
      </w:rPr>
      <w:fldChar w:fldCharType="begin"/>
    </w:r>
    <w:r>
      <w:rPr>
        <w:rFonts w:ascii="Times New Roman" w:eastAsia="標楷體" w:hAnsi="Times New Roman"/>
        <w:lang w:val="zh-TW"/>
      </w:rPr>
      <w:instrText xml:space="preserve"> PAGE </w:instrText>
    </w:r>
    <w:r>
      <w:rPr>
        <w:rFonts w:ascii="Times New Roman" w:eastAsia="標楷體" w:hAnsi="Times New Roman"/>
        <w:lang w:val="zh-TW"/>
      </w:rPr>
      <w:fldChar w:fldCharType="separate"/>
    </w:r>
    <w:r>
      <w:rPr>
        <w:rFonts w:ascii="Times New Roman" w:eastAsia="標楷體" w:hAnsi="Times New Roman"/>
        <w:lang w:val="zh-TW"/>
      </w:rPr>
      <w:t>7</w:t>
    </w:r>
    <w:r>
      <w:rPr>
        <w:rFonts w:ascii="Times New Roman" w:eastAsia="標楷體" w:hAnsi="Times New Roman"/>
        <w:lang w:val="zh-T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B7362" w:rsidRDefault="000B7362">
      <w:r>
        <w:rPr>
          <w:color w:val="000000"/>
        </w:rPr>
        <w:separator/>
      </w:r>
    </w:p>
  </w:footnote>
  <w:footnote w:type="continuationSeparator" w:id="0">
    <w:p w:rsidR="000B7362" w:rsidRDefault="000B73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15E74"/>
    <w:multiLevelType w:val="multilevel"/>
    <w:tmpl w:val="C3425778"/>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08541EF4"/>
    <w:multiLevelType w:val="hybridMultilevel"/>
    <w:tmpl w:val="612AF044"/>
    <w:lvl w:ilvl="0" w:tplc="123E59A4">
      <w:start w:val="3"/>
      <w:numFmt w:val="decimal"/>
      <w:lvlText w:val="%1."/>
      <w:lvlJc w:val="left"/>
      <w:pPr>
        <w:ind w:left="360" w:hanging="360"/>
      </w:pPr>
      <w:rPr>
        <w:rFonts w:ascii="標楷體" w:eastAsia="標楷體" w:hAnsi="標楷體" w:hint="default"/>
        <w:color w:val="000000"/>
        <w:u w:val="none"/>
      </w:rPr>
    </w:lvl>
    <w:lvl w:ilvl="1" w:tplc="EEA48AC4">
      <w:start w:val="1"/>
      <w:numFmt w:val="decimal"/>
      <w:lvlText w:val="(%2)"/>
      <w:lvlJc w:val="left"/>
      <w:pPr>
        <w:ind w:left="960" w:hanging="480"/>
      </w:pPr>
      <w:rPr>
        <w:rFonts w:hint="eastAsia"/>
        <w:color w:val="auto"/>
        <w:u w:val="none"/>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F80F9D"/>
    <w:multiLevelType w:val="multilevel"/>
    <w:tmpl w:val="7F1A661E"/>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3" w15:restartNumberingAfterBreak="0">
    <w:nsid w:val="0B2F2AD7"/>
    <w:multiLevelType w:val="hybridMultilevel"/>
    <w:tmpl w:val="D45456A4"/>
    <w:lvl w:ilvl="0" w:tplc="463E1086">
      <w:start w:val="1"/>
      <w:numFmt w:val="decimal"/>
      <w:lvlText w:val="%1."/>
      <w:lvlJc w:val="left"/>
      <w:pPr>
        <w:ind w:left="480" w:hanging="480"/>
      </w:pPr>
      <w:rPr>
        <w:sz w:val="28"/>
        <w:szCs w:val="28"/>
        <w:u w:val="single"/>
      </w:rPr>
    </w:lvl>
    <w:lvl w:ilvl="1" w:tplc="BF420056">
      <w:start w:val="1"/>
      <w:numFmt w:val="decimal"/>
      <w:lvlText w:val="(%2)."/>
      <w:lvlJc w:val="left"/>
      <w:pPr>
        <w:ind w:left="960" w:hanging="480"/>
      </w:pPr>
      <w:rPr>
        <w:rFonts w:hint="eastAsia"/>
        <w:u w:val="none"/>
      </w:rPr>
    </w:lvl>
    <w:lvl w:ilvl="2" w:tplc="3DBE20C6">
      <w:start w:val="1"/>
      <w:numFmt w:val="upperRoman"/>
      <w:lvlText w:val="%3."/>
      <w:lvlJc w:val="left"/>
      <w:pPr>
        <w:ind w:left="1048" w:hanging="480"/>
      </w:pPr>
      <w:rPr>
        <w:u w:val="none"/>
      </w:rPr>
    </w:lvl>
    <w:lvl w:ilvl="3" w:tplc="0409001B">
      <w:start w:val="1"/>
      <w:numFmt w:val="lowerRoman"/>
      <w:lvlText w:val="%4."/>
      <w:lvlJc w:val="right"/>
      <w:pPr>
        <w:ind w:left="1757"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CE90025"/>
    <w:multiLevelType w:val="multilevel"/>
    <w:tmpl w:val="369E99FE"/>
    <w:lvl w:ilvl="0">
      <w:start w:val="1"/>
      <w:numFmt w:val="upperRoman"/>
      <w:lvlText w:val="%1."/>
      <w:lvlJc w:val="left"/>
      <w:pPr>
        <w:ind w:left="1615" w:hanging="480"/>
      </w:pPr>
      <w:rPr>
        <w:rFonts w:ascii="標楷體" w:eastAsia="標楷體" w:hAnsi="標楷體"/>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11860722"/>
    <w:multiLevelType w:val="hybridMultilevel"/>
    <w:tmpl w:val="868AEF6A"/>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6" w15:restartNumberingAfterBreak="0">
    <w:nsid w:val="16462417"/>
    <w:multiLevelType w:val="hybridMultilevel"/>
    <w:tmpl w:val="904E834C"/>
    <w:lvl w:ilvl="0" w:tplc="3DBE20C6">
      <w:start w:val="1"/>
      <w:numFmt w:val="upperRoman"/>
      <w:lvlText w:val="%1."/>
      <w:lvlJc w:val="left"/>
      <w:pPr>
        <w:ind w:left="1756" w:hanging="480"/>
      </w:pPr>
      <w:rPr>
        <w:u w:val="none"/>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7" w15:restartNumberingAfterBreak="0">
    <w:nsid w:val="21E50421"/>
    <w:multiLevelType w:val="multilevel"/>
    <w:tmpl w:val="087CDEB6"/>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27CB5B56"/>
    <w:multiLevelType w:val="multilevel"/>
    <w:tmpl w:val="8166ADEA"/>
    <w:lvl w:ilvl="0">
      <w:start w:val="1"/>
      <w:numFmt w:val="decimal"/>
      <w:suff w:val="nothing"/>
      <w:lvlText w:val="(%1)"/>
      <w:lvlJc w:val="left"/>
      <w:pPr>
        <w:ind w:left="2124" w:hanging="360"/>
      </w:pPr>
    </w:lvl>
    <w:lvl w:ilvl="1">
      <w:start w:val="1"/>
      <w:numFmt w:val="ideographTraditional"/>
      <w:lvlText w:val="%2、"/>
      <w:lvlJc w:val="left"/>
      <w:pPr>
        <w:ind w:left="2244" w:hanging="480"/>
      </w:pPr>
    </w:lvl>
    <w:lvl w:ilvl="2">
      <w:start w:val="1"/>
      <w:numFmt w:val="lowerRoman"/>
      <w:lvlText w:val="%3."/>
      <w:lvlJc w:val="right"/>
      <w:pPr>
        <w:ind w:left="2724" w:hanging="480"/>
      </w:pPr>
    </w:lvl>
    <w:lvl w:ilvl="3">
      <w:start w:val="1"/>
      <w:numFmt w:val="decimal"/>
      <w:lvlText w:val="%4."/>
      <w:lvlJc w:val="left"/>
      <w:pPr>
        <w:ind w:left="3204" w:hanging="480"/>
      </w:pPr>
    </w:lvl>
    <w:lvl w:ilvl="4">
      <w:start w:val="1"/>
      <w:numFmt w:val="ideographTraditional"/>
      <w:lvlText w:val="%5、"/>
      <w:lvlJc w:val="left"/>
      <w:pPr>
        <w:ind w:left="3684" w:hanging="480"/>
      </w:pPr>
    </w:lvl>
    <w:lvl w:ilvl="5">
      <w:start w:val="1"/>
      <w:numFmt w:val="lowerRoman"/>
      <w:lvlText w:val="%6."/>
      <w:lvlJc w:val="right"/>
      <w:pPr>
        <w:ind w:left="4164" w:hanging="480"/>
      </w:pPr>
    </w:lvl>
    <w:lvl w:ilvl="6">
      <w:start w:val="1"/>
      <w:numFmt w:val="decimal"/>
      <w:lvlText w:val="%7."/>
      <w:lvlJc w:val="left"/>
      <w:pPr>
        <w:ind w:left="4644" w:hanging="480"/>
      </w:pPr>
    </w:lvl>
    <w:lvl w:ilvl="7">
      <w:start w:val="1"/>
      <w:numFmt w:val="ideographTraditional"/>
      <w:lvlText w:val="%8、"/>
      <w:lvlJc w:val="left"/>
      <w:pPr>
        <w:ind w:left="5124" w:hanging="480"/>
      </w:pPr>
    </w:lvl>
    <w:lvl w:ilvl="8">
      <w:start w:val="1"/>
      <w:numFmt w:val="lowerRoman"/>
      <w:lvlText w:val="%9."/>
      <w:lvlJc w:val="right"/>
      <w:pPr>
        <w:ind w:left="5604" w:hanging="480"/>
      </w:pPr>
    </w:lvl>
  </w:abstractNum>
  <w:abstractNum w:abstractNumId="9" w15:restartNumberingAfterBreak="0">
    <w:nsid w:val="28561A86"/>
    <w:multiLevelType w:val="multilevel"/>
    <w:tmpl w:val="E93E9864"/>
    <w:lvl w:ilvl="0">
      <w:start w:val="1"/>
      <w:numFmt w:val="decimal"/>
      <w:lvlText w:val="(%1)"/>
      <w:lvlJc w:val="left"/>
      <w:pPr>
        <w:ind w:left="480" w:hanging="480"/>
      </w:pPr>
      <w:rPr>
        <w:rFonts w:ascii="標楷體" w:eastAsia="標楷體" w:hAnsi="標楷體"/>
        <w:sz w:val="24"/>
        <w:szCs w:val="24"/>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0" w15:restartNumberingAfterBreak="0">
    <w:nsid w:val="34E02AE5"/>
    <w:multiLevelType w:val="hybridMultilevel"/>
    <w:tmpl w:val="7B02A198"/>
    <w:lvl w:ilvl="0" w:tplc="E0CEFB2C">
      <w:start w:val="1"/>
      <w:numFmt w:val="upperRoman"/>
      <w:lvlText w:val="%1."/>
      <w:lvlJc w:val="left"/>
      <w:pPr>
        <w:ind w:left="144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57D3D98"/>
    <w:multiLevelType w:val="hybridMultilevel"/>
    <w:tmpl w:val="7DEE8DB6"/>
    <w:lvl w:ilvl="0" w:tplc="EEA48AC4">
      <w:start w:val="1"/>
      <w:numFmt w:val="decimal"/>
      <w:lvlText w:val="(%1)"/>
      <w:lvlJc w:val="left"/>
      <w:pPr>
        <w:ind w:left="960" w:hanging="480"/>
      </w:pPr>
      <w:rPr>
        <w:rFonts w:hint="eastAsia"/>
        <w:color w:val="auto"/>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373E0A35"/>
    <w:multiLevelType w:val="hybridMultilevel"/>
    <w:tmpl w:val="A610310E"/>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13" w15:restartNumberingAfterBreak="0">
    <w:nsid w:val="37602EA0"/>
    <w:multiLevelType w:val="multilevel"/>
    <w:tmpl w:val="C26E6962"/>
    <w:lvl w:ilvl="0">
      <w:start w:val="2"/>
      <w:numFmt w:val="decimal"/>
      <w:lvlText w:val="%1."/>
      <w:lvlJc w:val="left"/>
      <w:pPr>
        <w:ind w:left="516" w:hanging="360"/>
      </w:pPr>
      <w:rPr>
        <w:rFonts w:hint="eastAsia"/>
      </w:rPr>
    </w:lvl>
    <w:lvl w:ilvl="1">
      <w:start w:val="1"/>
      <w:numFmt w:val="decimal"/>
      <w:lvlText w:val="(%2)"/>
      <w:lvlJc w:val="left"/>
      <w:pPr>
        <w:ind w:left="1116" w:hanging="480"/>
      </w:pPr>
      <w:rPr>
        <w:rFonts w:hint="eastAsia"/>
      </w:rPr>
    </w:lvl>
    <w:lvl w:ilvl="2">
      <w:start w:val="1"/>
      <w:numFmt w:val="upperRoman"/>
      <w:lvlText w:val="%3."/>
      <w:lvlJc w:val="left"/>
      <w:pPr>
        <w:ind w:left="1596" w:hanging="480"/>
      </w:pPr>
      <w:rPr>
        <w:rFonts w:hint="eastAsia"/>
      </w:rPr>
    </w:lvl>
    <w:lvl w:ilvl="3">
      <w:start w:val="1"/>
      <w:numFmt w:val="lowerRoman"/>
      <w:lvlText w:val="%4."/>
      <w:lvlJc w:val="left"/>
      <w:pPr>
        <w:ind w:left="2316" w:hanging="720"/>
      </w:pPr>
      <w:rPr>
        <w:rFonts w:hint="eastAsia"/>
      </w:rPr>
    </w:lvl>
    <w:lvl w:ilvl="4">
      <w:start w:val="1"/>
      <w:numFmt w:val="ideographTraditional"/>
      <w:lvlText w:val="%5、"/>
      <w:lvlJc w:val="left"/>
      <w:pPr>
        <w:ind w:left="2556" w:hanging="480"/>
      </w:pPr>
      <w:rPr>
        <w:rFonts w:hint="eastAsia"/>
      </w:rPr>
    </w:lvl>
    <w:lvl w:ilvl="5">
      <w:start w:val="1"/>
      <w:numFmt w:val="lowerRoman"/>
      <w:lvlText w:val="%6."/>
      <w:lvlJc w:val="right"/>
      <w:pPr>
        <w:ind w:left="3036" w:hanging="480"/>
      </w:pPr>
      <w:rPr>
        <w:rFonts w:hint="eastAsia"/>
      </w:rPr>
    </w:lvl>
    <w:lvl w:ilvl="6">
      <w:start w:val="1"/>
      <w:numFmt w:val="decimal"/>
      <w:lvlText w:val="%7."/>
      <w:lvlJc w:val="left"/>
      <w:pPr>
        <w:ind w:left="3516" w:hanging="480"/>
      </w:pPr>
      <w:rPr>
        <w:rFonts w:hint="eastAsia"/>
      </w:rPr>
    </w:lvl>
    <w:lvl w:ilvl="7">
      <w:start w:val="1"/>
      <w:numFmt w:val="ideographTraditional"/>
      <w:lvlText w:val="%8、"/>
      <w:lvlJc w:val="left"/>
      <w:pPr>
        <w:ind w:left="3996" w:hanging="480"/>
      </w:pPr>
      <w:rPr>
        <w:rFonts w:hint="eastAsia"/>
      </w:rPr>
    </w:lvl>
    <w:lvl w:ilvl="8">
      <w:start w:val="1"/>
      <w:numFmt w:val="lowerRoman"/>
      <w:lvlText w:val="%9."/>
      <w:lvlJc w:val="right"/>
      <w:pPr>
        <w:ind w:left="4476" w:hanging="480"/>
      </w:pPr>
      <w:rPr>
        <w:rFonts w:hint="eastAsia"/>
      </w:rPr>
    </w:lvl>
  </w:abstractNum>
  <w:abstractNum w:abstractNumId="14" w15:restartNumberingAfterBreak="0">
    <w:nsid w:val="39C03518"/>
    <w:multiLevelType w:val="hybridMultilevel"/>
    <w:tmpl w:val="8CFE6E8A"/>
    <w:lvl w:ilvl="0" w:tplc="082CF75E">
      <w:start w:val="1"/>
      <w:numFmt w:val="upperRoman"/>
      <w:lvlText w:val="%1."/>
      <w:lvlJc w:val="left"/>
      <w:pPr>
        <w:ind w:left="1228" w:hanging="480"/>
      </w:pPr>
      <w:rPr>
        <w:rFonts w:ascii="標楷體" w:eastAsia="標楷體" w:hAnsi="標楷體"/>
        <w:b w:val="0"/>
        <w:sz w:val="24"/>
        <w:szCs w:val="24"/>
      </w:rPr>
    </w:lvl>
    <w:lvl w:ilvl="1" w:tplc="04090019" w:tentative="1">
      <w:start w:val="1"/>
      <w:numFmt w:val="ideographTraditional"/>
      <w:lvlText w:val="%2、"/>
      <w:lvlJc w:val="left"/>
      <w:pPr>
        <w:ind w:left="1708" w:hanging="480"/>
      </w:pPr>
    </w:lvl>
    <w:lvl w:ilvl="2" w:tplc="0409001B" w:tentative="1">
      <w:start w:val="1"/>
      <w:numFmt w:val="lowerRoman"/>
      <w:lvlText w:val="%3."/>
      <w:lvlJc w:val="right"/>
      <w:pPr>
        <w:ind w:left="2188" w:hanging="480"/>
      </w:pPr>
    </w:lvl>
    <w:lvl w:ilvl="3" w:tplc="0409000F" w:tentative="1">
      <w:start w:val="1"/>
      <w:numFmt w:val="decimal"/>
      <w:lvlText w:val="%4."/>
      <w:lvlJc w:val="left"/>
      <w:pPr>
        <w:ind w:left="2668" w:hanging="480"/>
      </w:pPr>
    </w:lvl>
    <w:lvl w:ilvl="4" w:tplc="04090019" w:tentative="1">
      <w:start w:val="1"/>
      <w:numFmt w:val="ideographTraditional"/>
      <w:lvlText w:val="%5、"/>
      <w:lvlJc w:val="left"/>
      <w:pPr>
        <w:ind w:left="3148" w:hanging="480"/>
      </w:pPr>
    </w:lvl>
    <w:lvl w:ilvl="5" w:tplc="0409001B" w:tentative="1">
      <w:start w:val="1"/>
      <w:numFmt w:val="lowerRoman"/>
      <w:lvlText w:val="%6."/>
      <w:lvlJc w:val="right"/>
      <w:pPr>
        <w:ind w:left="3628" w:hanging="480"/>
      </w:pPr>
    </w:lvl>
    <w:lvl w:ilvl="6" w:tplc="0409000F" w:tentative="1">
      <w:start w:val="1"/>
      <w:numFmt w:val="decimal"/>
      <w:lvlText w:val="%7."/>
      <w:lvlJc w:val="left"/>
      <w:pPr>
        <w:ind w:left="4108" w:hanging="480"/>
      </w:pPr>
    </w:lvl>
    <w:lvl w:ilvl="7" w:tplc="04090019" w:tentative="1">
      <w:start w:val="1"/>
      <w:numFmt w:val="ideographTraditional"/>
      <w:lvlText w:val="%8、"/>
      <w:lvlJc w:val="left"/>
      <w:pPr>
        <w:ind w:left="4588" w:hanging="480"/>
      </w:pPr>
    </w:lvl>
    <w:lvl w:ilvl="8" w:tplc="0409001B" w:tentative="1">
      <w:start w:val="1"/>
      <w:numFmt w:val="lowerRoman"/>
      <w:lvlText w:val="%9."/>
      <w:lvlJc w:val="right"/>
      <w:pPr>
        <w:ind w:left="5068" w:hanging="480"/>
      </w:pPr>
    </w:lvl>
  </w:abstractNum>
  <w:abstractNum w:abstractNumId="15" w15:restartNumberingAfterBreak="0">
    <w:nsid w:val="3B6967C4"/>
    <w:multiLevelType w:val="multilevel"/>
    <w:tmpl w:val="3D1CAAAA"/>
    <w:lvl w:ilvl="0">
      <w:start w:val="1"/>
      <w:numFmt w:val="decimal"/>
      <w:lvlText w:val="%1."/>
      <w:lvlJc w:val="left"/>
      <w:pPr>
        <w:ind w:left="516" w:hanging="360"/>
      </w:pPr>
    </w:lvl>
    <w:lvl w:ilvl="1">
      <w:start w:val="1"/>
      <w:numFmt w:val="decimal"/>
      <w:lvlText w:val="(%2)"/>
      <w:lvlJc w:val="left"/>
      <w:pPr>
        <w:ind w:left="1116" w:hanging="480"/>
      </w:pPr>
    </w:lvl>
    <w:lvl w:ilvl="2">
      <w:start w:val="1"/>
      <w:numFmt w:val="upperRoman"/>
      <w:lvlText w:val="%3."/>
      <w:lvlJc w:val="left"/>
      <w:pPr>
        <w:ind w:left="1596" w:hanging="480"/>
      </w:pPr>
    </w:lvl>
    <w:lvl w:ilvl="3">
      <w:start w:val="1"/>
      <w:numFmt w:val="lowerRoman"/>
      <w:lvlText w:val="%4."/>
      <w:lvlJc w:val="left"/>
      <w:pPr>
        <w:ind w:left="2316" w:hanging="720"/>
      </w:pPr>
    </w:lvl>
    <w:lvl w:ilvl="4">
      <w:start w:val="1"/>
      <w:numFmt w:val="ideographTraditional"/>
      <w:lvlText w:val="%5、"/>
      <w:lvlJc w:val="left"/>
      <w:pPr>
        <w:ind w:left="2556" w:hanging="480"/>
      </w:pPr>
    </w:lvl>
    <w:lvl w:ilvl="5">
      <w:start w:val="1"/>
      <w:numFmt w:val="lowerRoman"/>
      <w:lvlText w:val="%6."/>
      <w:lvlJc w:val="right"/>
      <w:pPr>
        <w:ind w:left="3036" w:hanging="480"/>
      </w:pPr>
    </w:lvl>
    <w:lvl w:ilvl="6">
      <w:start w:val="1"/>
      <w:numFmt w:val="decimal"/>
      <w:lvlText w:val="%7."/>
      <w:lvlJc w:val="left"/>
      <w:pPr>
        <w:ind w:left="3516" w:hanging="480"/>
      </w:pPr>
    </w:lvl>
    <w:lvl w:ilvl="7">
      <w:start w:val="1"/>
      <w:numFmt w:val="ideographTraditional"/>
      <w:lvlText w:val="%8、"/>
      <w:lvlJc w:val="left"/>
      <w:pPr>
        <w:ind w:left="3996" w:hanging="480"/>
      </w:pPr>
    </w:lvl>
    <w:lvl w:ilvl="8">
      <w:start w:val="1"/>
      <w:numFmt w:val="lowerRoman"/>
      <w:lvlText w:val="%9."/>
      <w:lvlJc w:val="right"/>
      <w:pPr>
        <w:ind w:left="4476" w:hanging="480"/>
      </w:pPr>
    </w:lvl>
  </w:abstractNum>
  <w:abstractNum w:abstractNumId="16" w15:restartNumberingAfterBreak="0">
    <w:nsid w:val="3BE7592B"/>
    <w:multiLevelType w:val="multilevel"/>
    <w:tmpl w:val="3FD2E9BC"/>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7" w15:restartNumberingAfterBreak="0">
    <w:nsid w:val="3C1B263B"/>
    <w:multiLevelType w:val="multilevel"/>
    <w:tmpl w:val="B5E6E9FC"/>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18" w15:restartNumberingAfterBreak="0">
    <w:nsid w:val="3CEB4BDD"/>
    <w:multiLevelType w:val="multilevel"/>
    <w:tmpl w:val="4CAAAECE"/>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4370516D"/>
    <w:multiLevelType w:val="hybridMultilevel"/>
    <w:tmpl w:val="5A421248"/>
    <w:lvl w:ilvl="0" w:tplc="A7D2CEAC">
      <w:start w:val="1"/>
      <w:numFmt w:val="upp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7B23EF4"/>
    <w:multiLevelType w:val="hybridMultilevel"/>
    <w:tmpl w:val="4B1CC796"/>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21" w15:restartNumberingAfterBreak="0">
    <w:nsid w:val="494D431F"/>
    <w:multiLevelType w:val="multilevel"/>
    <w:tmpl w:val="9F1CA324"/>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2" w15:restartNumberingAfterBreak="0">
    <w:nsid w:val="49CF3CA3"/>
    <w:multiLevelType w:val="multilevel"/>
    <w:tmpl w:val="D7C897B2"/>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3" w15:restartNumberingAfterBreak="0">
    <w:nsid w:val="51155710"/>
    <w:multiLevelType w:val="multilevel"/>
    <w:tmpl w:val="8DB27A78"/>
    <w:lvl w:ilvl="0">
      <w:start w:val="1"/>
      <w:numFmt w:val="decimal"/>
      <w:suff w:val="nothing"/>
      <w:lvlText w:val="%1."/>
      <w:lvlJc w:val="left"/>
      <w:pPr>
        <w:ind w:left="480" w:hanging="480"/>
      </w:pPr>
      <w:rPr>
        <w:u w:val="none"/>
      </w:rPr>
    </w:lvl>
    <w:lvl w:ilvl="1">
      <w:start w:val="1"/>
      <w:numFmt w:val="decimal"/>
      <w:suff w:val="nothing"/>
      <w:lvlText w:val="(%2)"/>
      <w:lvlJc w:val="left"/>
      <w:pPr>
        <w:ind w:left="960" w:hanging="480"/>
      </w:pPr>
      <w:rPr>
        <w:rFonts w:ascii="標楷體" w:eastAsia="標楷體" w:hAnsi="標楷體"/>
        <w:strike w:val="0"/>
        <w:dstrike w:val="0"/>
        <w:sz w:val="24"/>
        <w:szCs w:val="28"/>
        <w:u w:val="none"/>
      </w:r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4" w15:restartNumberingAfterBreak="0">
    <w:nsid w:val="55DA608F"/>
    <w:multiLevelType w:val="multilevel"/>
    <w:tmpl w:val="345298A4"/>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5" w15:restartNumberingAfterBreak="0">
    <w:nsid w:val="5B5503EE"/>
    <w:multiLevelType w:val="hybridMultilevel"/>
    <w:tmpl w:val="FE72DF24"/>
    <w:lvl w:ilvl="0" w:tplc="E0CEFB2C">
      <w:start w:val="1"/>
      <w:numFmt w:val="upperRoman"/>
      <w:lvlText w:val="%1."/>
      <w:lvlJc w:val="left"/>
      <w:pPr>
        <w:ind w:left="1756" w:hanging="480"/>
      </w:pPr>
      <w:rPr>
        <w:rFonts w:hint="eastAsia"/>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26" w15:restartNumberingAfterBreak="0">
    <w:nsid w:val="61AF46E6"/>
    <w:multiLevelType w:val="hybridMultilevel"/>
    <w:tmpl w:val="36F25856"/>
    <w:lvl w:ilvl="0" w:tplc="738A042E">
      <w:start w:val="1"/>
      <w:numFmt w:val="low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7FA2DB0"/>
    <w:multiLevelType w:val="multilevel"/>
    <w:tmpl w:val="C3701780"/>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8" w15:restartNumberingAfterBreak="0">
    <w:nsid w:val="689D1EA6"/>
    <w:multiLevelType w:val="hybridMultilevel"/>
    <w:tmpl w:val="0EF04F30"/>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29" w15:restartNumberingAfterBreak="0">
    <w:nsid w:val="68FE3151"/>
    <w:multiLevelType w:val="hybridMultilevel"/>
    <w:tmpl w:val="C3AAF8D0"/>
    <w:lvl w:ilvl="0" w:tplc="EAAEB12C">
      <w:start w:val="1"/>
      <w:numFmt w:val="decimal"/>
      <w:lvlText w:val="(%1)"/>
      <w:lvlJc w:val="left"/>
      <w:pPr>
        <w:ind w:left="1200" w:hanging="720"/>
      </w:pPr>
      <w:rPr>
        <w:rFonts w:hint="default"/>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0" w15:restartNumberingAfterBreak="0">
    <w:nsid w:val="69CB4D93"/>
    <w:multiLevelType w:val="hybridMultilevel"/>
    <w:tmpl w:val="B0B207D2"/>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31" w15:restartNumberingAfterBreak="0">
    <w:nsid w:val="6A254C63"/>
    <w:multiLevelType w:val="hybridMultilevel"/>
    <w:tmpl w:val="1910D428"/>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32" w15:restartNumberingAfterBreak="0">
    <w:nsid w:val="6B8C3966"/>
    <w:multiLevelType w:val="multilevel"/>
    <w:tmpl w:val="5DDC143A"/>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6C69368D"/>
    <w:multiLevelType w:val="multilevel"/>
    <w:tmpl w:val="E7BCC864"/>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4" w15:restartNumberingAfterBreak="0">
    <w:nsid w:val="6F3D4EC8"/>
    <w:multiLevelType w:val="multilevel"/>
    <w:tmpl w:val="44A4B4EA"/>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upperRoman"/>
      <w:lvlText w:val="%3."/>
      <w:lvlJc w:val="left"/>
      <w:pPr>
        <w:ind w:left="1584" w:hanging="792"/>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70A370AA"/>
    <w:multiLevelType w:val="hybridMultilevel"/>
    <w:tmpl w:val="1DE2A628"/>
    <w:lvl w:ilvl="0" w:tplc="DE7CE882">
      <w:start w:val="8"/>
      <w:numFmt w:val="decimal"/>
      <w:lvlText w:val="(%1)"/>
      <w:lvlJc w:val="left"/>
      <w:pPr>
        <w:ind w:left="622" w:hanging="480"/>
      </w:pPr>
      <w:rPr>
        <w:rFonts w:hint="default"/>
        <w:b w:val="0"/>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748D0AA7"/>
    <w:multiLevelType w:val="hybridMultilevel"/>
    <w:tmpl w:val="2E42F2D0"/>
    <w:lvl w:ilvl="0" w:tplc="D284A760">
      <w:start w:val="1"/>
      <w:numFmt w:val="decimal"/>
      <w:lvlText w:val="%1."/>
      <w:lvlJc w:val="left"/>
      <w:pPr>
        <w:ind w:left="360" w:hanging="360"/>
      </w:pPr>
      <w:rPr>
        <w:rFonts w:ascii="標楷體" w:eastAsia="標楷體" w:hAnsi="標楷體" w:hint="default"/>
        <w:color w:val="000000"/>
        <w:u w:val="none"/>
      </w:rPr>
    </w:lvl>
    <w:lvl w:ilvl="1" w:tplc="B8CE6094">
      <w:start w:val="1"/>
      <w:numFmt w:val="decimal"/>
      <w:lvlText w:val="(%2)"/>
      <w:lvlJc w:val="left"/>
      <w:pPr>
        <w:ind w:left="960" w:hanging="480"/>
      </w:pPr>
      <w:rPr>
        <w:rFonts w:hint="eastAsia"/>
        <w:u w:val="single"/>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6EB729A"/>
    <w:multiLevelType w:val="hybridMultilevel"/>
    <w:tmpl w:val="12220108"/>
    <w:lvl w:ilvl="0" w:tplc="DB5E232E">
      <w:start w:val="1"/>
      <w:numFmt w:val="upperRoman"/>
      <w:lvlText w:val="%1."/>
      <w:lvlJc w:val="left"/>
      <w:pPr>
        <w:ind w:left="1440" w:hanging="480"/>
      </w:pPr>
      <w:rPr>
        <w:rFonts w:hint="eastAsia"/>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7F024DC6"/>
    <w:multiLevelType w:val="multilevel"/>
    <w:tmpl w:val="E9E21DB2"/>
    <w:lvl w:ilvl="0">
      <w:start w:val="8"/>
      <w:numFmt w:val="decimal"/>
      <w:lvlText w:val="(%1)"/>
      <w:lvlJc w:val="left"/>
      <w:pPr>
        <w:ind w:left="622" w:hanging="480"/>
      </w:pPr>
      <w:rPr>
        <w:b w:val="0"/>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abstractNumId w:val="22"/>
  </w:num>
  <w:num w:numId="2">
    <w:abstractNumId w:val="24"/>
  </w:num>
  <w:num w:numId="3">
    <w:abstractNumId w:val="18"/>
  </w:num>
  <w:num w:numId="4">
    <w:abstractNumId w:val="34"/>
  </w:num>
  <w:num w:numId="5">
    <w:abstractNumId w:val="8"/>
  </w:num>
  <w:num w:numId="6">
    <w:abstractNumId w:val="23"/>
  </w:num>
  <w:num w:numId="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0"/>
  </w:num>
  <w:num w:numId="13">
    <w:abstractNumId w:val="2"/>
  </w:num>
  <w:num w:numId="14">
    <w:abstractNumId w:val="27"/>
  </w:num>
  <w:num w:numId="15">
    <w:abstractNumId w:val="33"/>
  </w:num>
  <w:num w:numId="16">
    <w:abstractNumId w:val="4"/>
  </w:num>
  <w:num w:numId="17">
    <w:abstractNumId w:val="15"/>
  </w:num>
  <w:num w:numId="18">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19">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0">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1">
    <w:abstractNumId w:val="13"/>
  </w:num>
  <w:num w:numId="22">
    <w:abstractNumId w:val="3"/>
  </w:num>
  <w:num w:numId="23">
    <w:abstractNumId w:val="29"/>
  </w:num>
  <w:num w:numId="24">
    <w:abstractNumId w:val="19"/>
  </w:num>
  <w:num w:numId="25">
    <w:abstractNumId w:val="26"/>
  </w:num>
  <w:num w:numId="26">
    <w:abstractNumId w:val="30"/>
  </w:num>
  <w:num w:numId="27">
    <w:abstractNumId w:val="28"/>
  </w:num>
  <w:num w:numId="28">
    <w:abstractNumId w:val="5"/>
  </w:num>
  <w:num w:numId="29">
    <w:abstractNumId w:val="12"/>
  </w:num>
  <w:num w:numId="30">
    <w:abstractNumId w:val="36"/>
  </w:num>
  <w:num w:numId="31">
    <w:abstractNumId w:val="11"/>
  </w:num>
  <w:num w:numId="32">
    <w:abstractNumId w:val="6"/>
  </w:num>
  <w:num w:numId="33">
    <w:abstractNumId w:val="25"/>
  </w:num>
  <w:num w:numId="34">
    <w:abstractNumId w:val="35"/>
  </w:num>
  <w:num w:numId="35">
    <w:abstractNumId w:val="21"/>
  </w:num>
  <w:num w:numId="36">
    <w:abstractNumId w:val="9"/>
  </w:num>
  <w:num w:numId="37">
    <w:abstractNumId w:val="32"/>
  </w:num>
  <w:num w:numId="38">
    <w:abstractNumId w:val="17"/>
  </w:num>
  <w:num w:numId="39">
    <w:abstractNumId w:val="7"/>
  </w:num>
  <w:num w:numId="40">
    <w:abstractNumId w:val="38"/>
  </w:num>
  <w:num w:numId="41">
    <w:abstractNumId w:val="16"/>
  </w:num>
  <w:num w:numId="42">
    <w:abstractNumId w:val="1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EA0"/>
    <w:rsid w:val="0001045E"/>
    <w:rsid w:val="00020935"/>
    <w:rsid w:val="00042C96"/>
    <w:rsid w:val="0007073E"/>
    <w:rsid w:val="000838F4"/>
    <w:rsid w:val="00086754"/>
    <w:rsid w:val="000A3CBC"/>
    <w:rsid w:val="000B6373"/>
    <w:rsid w:val="000B7362"/>
    <w:rsid w:val="000C7C60"/>
    <w:rsid w:val="00105765"/>
    <w:rsid w:val="0011658A"/>
    <w:rsid w:val="00126115"/>
    <w:rsid w:val="001314F6"/>
    <w:rsid w:val="00140897"/>
    <w:rsid w:val="0014655B"/>
    <w:rsid w:val="00167FEB"/>
    <w:rsid w:val="001A740D"/>
    <w:rsid w:val="001D5020"/>
    <w:rsid w:val="0020695F"/>
    <w:rsid w:val="002203D3"/>
    <w:rsid w:val="00222ABC"/>
    <w:rsid w:val="002402D8"/>
    <w:rsid w:val="002465F4"/>
    <w:rsid w:val="00270EF3"/>
    <w:rsid w:val="00275C39"/>
    <w:rsid w:val="00282D48"/>
    <w:rsid w:val="00290448"/>
    <w:rsid w:val="002A2E0D"/>
    <w:rsid w:val="002D6760"/>
    <w:rsid w:val="002D7958"/>
    <w:rsid w:val="002F2B55"/>
    <w:rsid w:val="002F7398"/>
    <w:rsid w:val="00301C39"/>
    <w:rsid w:val="00321E4B"/>
    <w:rsid w:val="003225F7"/>
    <w:rsid w:val="00336F3D"/>
    <w:rsid w:val="00347CE0"/>
    <w:rsid w:val="003B14A6"/>
    <w:rsid w:val="003D22FC"/>
    <w:rsid w:val="003F1643"/>
    <w:rsid w:val="003F2C2F"/>
    <w:rsid w:val="004025A9"/>
    <w:rsid w:val="00417740"/>
    <w:rsid w:val="00420032"/>
    <w:rsid w:val="00427424"/>
    <w:rsid w:val="00471506"/>
    <w:rsid w:val="004C2511"/>
    <w:rsid w:val="004C3CC5"/>
    <w:rsid w:val="004F2A2C"/>
    <w:rsid w:val="0050401E"/>
    <w:rsid w:val="0051373F"/>
    <w:rsid w:val="005142EB"/>
    <w:rsid w:val="00517C45"/>
    <w:rsid w:val="005363DB"/>
    <w:rsid w:val="00557419"/>
    <w:rsid w:val="00616C7C"/>
    <w:rsid w:val="00617D60"/>
    <w:rsid w:val="00642BBE"/>
    <w:rsid w:val="0065421D"/>
    <w:rsid w:val="00660DD4"/>
    <w:rsid w:val="006670DE"/>
    <w:rsid w:val="006B1FAB"/>
    <w:rsid w:val="006B3E51"/>
    <w:rsid w:val="006D79D1"/>
    <w:rsid w:val="006D7F5B"/>
    <w:rsid w:val="006E2BB4"/>
    <w:rsid w:val="006E56D0"/>
    <w:rsid w:val="006F7671"/>
    <w:rsid w:val="00702020"/>
    <w:rsid w:val="007155BC"/>
    <w:rsid w:val="0074474A"/>
    <w:rsid w:val="007455F6"/>
    <w:rsid w:val="007D29C5"/>
    <w:rsid w:val="007D66B8"/>
    <w:rsid w:val="007F71E0"/>
    <w:rsid w:val="00800DDB"/>
    <w:rsid w:val="008859E6"/>
    <w:rsid w:val="00892228"/>
    <w:rsid w:val="008A162B"/>
    <w:rsid w:val="008B0582"/>
    <w:rsid w:val="008B4C4B"/>
    <w:rsid w:val="008B5474"/>
    <w:rsid w:val="008B6712"/>
    <w:rsid w:val="008E774D"/>
    <w:rsid w:val="008F6DA3"/>
    <w:rsid w:val="00926D01"/>
    <w:rsid w:val="00941523"/>
    <w:rsid w:val="00957AD9"/>
    <w:rsid w:val="00997F73"/>
    <w:rsid w:val="009C41ED"/>
    <w:rsid w:val="009D436C"/>
    <w:rsid w:val="00A15393"/>
    <w:rsid w:val="00A3054C"/>
    <w:rsid w:val="00A33F1B"/>
    <w:rsid w:val="00A61FF2"/>
    <w:rsid w:val="00B07C9A"/>
    <w:rsid w:val="00B252D1"/>
    <w:rsid w:val="00B355DB"/>
    <w:rsid w:val="00B57732"/>
    <w:rsid w:val="00B60500"/>
    <w:rsid w:val="00B74E3A"/>
    <w:rsid w:val="00B815D8"/>
    <w:rsid w:val="00B96EA0"/>
    <w:rsid w:val="00BA1F65"/>
    <w:rsid w:val="00C26383"/>
    <w:rsid w:val="00C46EAE"/>
    <w:rsid w:val="00C51017"/>
    <w:rsid w:val="00C61D18"/>
    <w:rsid w:val="00C70264"/>
    <w:rsid w:val="00CD4BD4"/>
    <w:rsid w:val="00CD573D"/>
    <w:rsid w:val="00CF183E"/>
    <w:rsid w:val="00D103A2"/>
    <w:rsid w:val="00D250AB"/>
    <w:rsid w:val="00D3675A"/>
    <w:rsid w:val="00D4365C"/>
    <w:rsid w:val="00D5326D"/>
    <w:rsid w:val="00D65C5D"/>
    <w:rsid w:val="00D91496"/>
    <w:rsid w:val="00D927FE"/>
    <w:rsid w:val="00DA176D"/>
    <w:rsid w:val="00DC6D1C"/>
    <w:rsid w:val="00DD0CAE"/>
    <w:rsid w:val="00DD360F"/>
    <w:rsid w:val="00DF1029"/>
    <w:rsid w:val="00E821CC"/>
    <w:rsid w:val="00E9187D"/>
    <w:rsid w:val="00EA15AB"/>
    <w:rsid w:val="00EA4516"/>
    <w:rsid w:val="00EA6AFB"/>
    <w:rsid w:val="00EB5347"/>
    <w:rsid w:val="00EC62C6"/>
    <w:rsid w:val="00EC69A8"/>
    <w:rsid w:val="00EC744E"/>
    <w:rsid w:val="00F95F32"/>
    <w:rsid w:val="00FB35E5"/>
    <w:rsid w:val="00FE649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15904"/>
  <w15:docId w15:val="{4260E391-8B73-4CF2-AC38-13B6CAF01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新細明體" w:hAnsi="Calibri" w:cs="Times New Roman"/>
        <w:lang w:val="en-US" w:eastAsia="zh-TW" w:bidi="ar-SA"/>
      </w:rPr>
    </w:rPrDefault>
    <w:pPrDefault>
      <w:pPr>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suppressAutoHyphens/>
    </w:pPr>
    <w:rPr>
      <w:kern w:val="3"/>
      <w:sz w:val="24"/>
      <w:szCs w:val="22"/>
    </w:rPr>
  </w:style>
  <w:style w:type="paragraph" w:styleId="1">
    <w:name w:val="heading 1"/>
    <w:basedOn w:val="a"/>
    <w:next w:val="a"/>
    <w:uiPriority w:val="9"/>
    <w:qFormat/>
    <w:pPr>
      <w:keepNext/>
      <w:spacing w:line="360" w:lineRule="exact"/>
      <w:jc w:val="center"/>
      <w:outlineLvl w:val="0"/>
    </w:pPr>
    <w:rPr>
      <w:rFonts w:ascii="Times New Roman" w:eastAsia="標楷體" w:hAnsi="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snapToGrid w:val="0"/>
    </w:pPr>
    <w:rPr>
      <w:sz w:val="20"/>
      <w:szCs w:val="20"/>
    </w:rPr>
  </w:style>
  <w:style w:type="character" w:customStyle="1" w:styleId="a4">
    <w:name w:val="頁首 字元"/>
    <w:rPr>
      <w:kern w:val="3"/>
    </w:rPr>
  </w:style>
  <w:style w:type="paragraph" w:styleId="a5">
    <w:name w:val="footer"/>
    <w:basedOn w:val="a"/>
    <w:pPr>
      <w:tabs>
        <w:tab w:val="center" w:pos="4153"/>
        <w:tab w:val="right" w:pos="8306"/>
      </w:tabs>
      <w:snapToGrid w:val="0"/>
    </w:pPr>
    <w:rPr>
      <w:sz w:val="20"/>
      <w:szCs w:val="20"/>
    </w:rPr>
  </w:style>
  <w:style w:type="character" w:customStyle="1" w:styleId="a6">
    <w:name w:val="頁尾 字元"/>
    <w:rPr>
      <w:kern w:val="3"/>
    </w:rPr>
  </w:style>
  <w:style w:type="character" w:customStyle="1" w:styleId="10">
    <w:name w:val="標題 1 字元"/>
    <w:rPr>
      <w:rFonts w:ascii="Times New Roman" w:eastAsia="標楷體" w:hAnsi="Times New Roman"/>
      <w:b/>
      <w:bCs/>
      <w:kern w:val="3"/>
      <w:sz w:val="32"/>
      <w:szCs w:val="32"/>
    </w:rPr>
  </w:style>
  <w:style w:type="paragraph" w:styleId="Web">
    <w:name w:val="Normal (Web)"/>
    <w:basedOn w:val="a"/>
    <w:pPr>
      <w:widowControl/>
      <w:spacing w:before="100" w:after="100"/>
    </w:pPr>
    <w:rPr>
      <w:rFonts w:ascii="Arial Unicode MS" w:eastAsia="Arial Unicode MS" w:hAnsi="Arial Unicode MS" w:cs="Arial Unicode MS"/>
      <w:kern w:val="0"/>
      <w:szCs w:val="24"/>
    </w:rPr>
  </w:style>
  <w:style w:type="paragraph" w:customStyle="1" w:styleId="11">
    <w:name w:val="1."/>
    <w:basedOn w:val="a"/>
    <w:pPr>
      <w:spacing w:line="240" w:lineRule="exact"/>
      <w:ind w:left="242" w:hanging="142"/>
    </w:pPr>
    <w:rPr>
      <w:rFonts w:ascii="Times New Roman" w:eastAsia="標楷體" w:hAnsi="Times New Roman"/>
      <w:color w:val="000000"/>
      <w:kern w:val="0"/>
      <w:sz w:val="20"/>
      <w:szCs w:val="20"/>
    </w:rPr>
  </w:style>
  <w:style w:type="paragraph" w:styleId="a7">
    <w:name w:val="Balloon Text"/>
    <w:basedOn w:val="a"/>
    <w:rPr>
      <w:rFonts w:ascii="Cambria" w:hAnsi="Cambria"/>
      <w:sz w:val="18"/>
      <w:szCs w:val="18"/>
    </w:rPr>
  </w:style>
  <w:style w:type="character" w:customStyle="1" w:styleId="a8">
    <w:name w:val="註解方塊文字 字元"/>
    <w:rPr>
      <w:rFonts w:ascii="Cambria" w:eastAsia="新細明體" w:hAnsi="Cambria" w:cs="Times New Roman"/>
      <w:kern w:val="3"/>
      <w:sz w:val="18"/>
      <w:szCs w:val="18"/>
    </w:rPr>
  </w:style>
  <w:style w:type="paragraph" w:customStyle="1" w:styleId="Textbody">
    <w:name w:val="Text body"/>
    <w:pPr>
      <w:widowControl w:val="0"/>
      <w:suppressAutoHyphens/>
    </w:pPr>
    <w:rPr>
      <w:rFonts w:ascii="Times New Roman" w:hAnsi="Times New Roman"/>
      <w:kern w:val="3"/>
      <w:sz w:val="24"/>
      <w:szCs w:val="24"/>
    </w:rPr>
  </w:style>
  <w:style w:type="paragraph" w:customStyle="1" w:styleId="Default">
    <w:name w:val="Default"/>
    <w:pPr>
      <w:widowControl w:val="0"/>
      <w:suppressAutoHyphens/>
      <w:autoSpaceDE w:val="0"/>
    </w:pPr>
    <w:rPr>
      <w:rFonts w:ascii="標楷體.鬁..." w:eastAsia="標楷體.鬁..." w:hAnsi="標楷體.鬁..." w:cs="標楷體.鬁..."/>
      <w:color w:val="000000"/>
      <w:sz w:val="24"/>
      <w:szCs w:val="24"/>
    </w:rPr>
  </w:style>
  <w:style w:type="paragraph" w:styleId="a9">
    <w:name w:val="List Paragraph"/>
    <w:aliases w:val="Table bullet,樣式 清單段落+標題2,Numbered para,BulletPoints,List Paragraph1,Bullets Points,Styl moj,Akapit z listą1,Akapit z listą11,Footnote,Bullet point,List Paragraph11,Recommendation,ES Paragraph,PBAC ES Paragraph,PBAC normal points"/>
    <w:basedOn w:val="a"/>
    <w:qFormat/>
    <w:pPr>
      <w:ind w:left="480"/>
    </w:pPr>
    <w:rPr>
      <w:rFonts w:ascii="Times New Roman" w:hAnsi="Times New Roman"/>
      <w:szCs w:val="24"/>
    </w:rPr>
  </w:style>
  <w:style w:type="character" w:customStyle="1" w:styleId="aa">
    <w:name w:val="清單段落 字元"/>
    <w:rPr>
      <w:rFonts w:ascii="Times New Roman" w:hAnsi="Times New Roman"/>
      <w:kern w:val="3"/>
      <w:sz w:val="24"/>
      <w:szCs w:val="24"/>
    </w:rPr>
  </w:style>
  <w:style w:type="paragraph" w:styleId="ab">
    <w:name w:val="No Spacing"/>
    <w:pPr>
      <w:widowControl w:val="0"/>
    </w:pPr>
    <w:rPr>
      <w:kern w:val="3"/>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2780605">
      <w:bodyDiv w:val="1"/>
      <w:marLeft w:val="0"/>
      <w:marRight w:val="0"/>
      <w:marTop w:val="0"/>
      <w:marBottom w:val="0"/>
      <w:divBdr>
        <w:top w:val="none" w:sz="0" w:space="0" w:color="auto"/>
        <w:left w:val="none" w:sz="0" w:space="0" w:color="auto"/>
        <w:bottom w:val="none" w:sz="0" w:space="0" w:color="auto"/>
        <w:right w:val="none" w:sz="0" w:space="0" w:color="auto"/>
      </w:divBdr>
    </w:div>
    <w:div w:id="19042961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96</Pages>
  <Words>17296</Words>
  <Characters>98593</Characters>
  <Application>Microsoft Office Word</Application>
  <DocSecurity>0</DocSecurity>
  <Lines>821</Lines>
  <Paragraphs>231</Paragraphs>
  <ScaleCrop>false</ScaleCrop>
  <Company/>
  <LinksUpToDate>false</LinksUpToDate>
  <CharactersWithSpaces>115658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dc:creator>
  <cp:lastModifiedBy>鄧梅潔</cp:lastModifiedBy>
  <cp:revision>40</cp:revision>
  <cp:lastPrinted>2025-02-24T03:34:00Z</cp:lastPrinted>
  <dcterms:created xsi:type="dcterms:W3CDTF">2025-11-20T07:27:00Z</dcterms:created>
  <dcterms:modified xsi:type="dcterms:W3CDTF">2026-03-24T01:09:00Z</dcterms:modified>
</cp:coreProperties>
</file>