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B96EA0" w:rsidRDefault="007D66B8" w:rsidP="005142EB">
      <w:pPr>
        <w:spacing w:line="400" w:lineRule="exact"/>
        <w:jc w:val="center"/>
        <w:rPr>
          <w:rFonts w:ascii="標楷體" w:eastAsia="標楷體" w:hAnsi="標楷體"/>
          <w:b/>
          <w:bCs/>
          <w:color w:val="000000"/>
          <w:sz w:val="32"/>
          <w:szCs w:val="32"/>
        </w:rPr>
      </w:pPr>
      <w:r>
        <w:rPr>
          <w:rFonts w:ascii="標楷體" w:eastAsia="標楷體" w:hAnsi="標楷體"/>
          <w:b/>
          <w:bCs/>
          <w:color w:val="000000"/>
          <w:sz w:val="32"/>
          <w:szCs w:val="32"/>
        </w:rPr>
        <w:t>第9節抗癌瘤藥物Antineoplastics drugs</w:t>
      </w:r>
    </w:p>
    <w:p w:rsidR="00B96EA0" w:rsidRDefault="00B96EA0" w:rsidP="005142EB">
      <w:pPr>
        <w:spacing w:line="400" w:lineRule="exact"/>
        <w:jc w:val="center"/>
        <w:rPr>
          <w:rFonts w:ascii="標楷體" w:eastAsia="標楷體" w:hAnsi="標楷體"/>
          <w:b/>
          <w:bCs/>
          <w:color w:val="000000"/>
          <w:sz w:val="32"/>
          <w:szCs w:val="32"/>
        </w:rPr>
      </w:pP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9.1.Aromatase Inhibitors</w:t>
      </w:r>
    </w:p>
    <w:p w:rsidR="00B96EA0" w:rsidRDefault="007D66B8" w:rsidP="005142EB">
      <w:pPr>
        <w:spacing w:line="400" w:lineRule="exact"/>
        <w:ind w:left="992" w:hanging="706"/>
        <w:rPr>
          <w:rFonts w:ascii="標楷體" w:eastAsia="標楷體" w:hAnsi="標楷體"/>
          <w:color w:val="000000"/>
        </w:rPr>
      </w:pPr>
      <w:r>
        <w:rPr>
          <w:rFonts w:ascii="標楷體" w:eastAsia="標楷體" w:hAnsi="標楷體"/>
          <w:color w:val="000000"/>
        </w:rPr>
        <w:t>9.1.1.Exemestane(如Aromasin Sugar Coated Tablets)：（88/11/1、90/10/1、99/6/1、105/8/1)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1.限停經後或卵巢切除後，且女性荷爾蒙受體(estrogen receptor)陽性之晚期乳癌病患，經使用tamoxifen無效後，方可使用。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2.具有雌激素受體陽性之停經婦女，使用tamoxifen至少兩年之高危險早期侵犯性乳癌的輔助治療，且不得與tamoxifen或其他aromatase inhibitor併用。使用時需同時符合下列規定：(105/8/1)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(1)病歷上應詳細記載手術資料、病理報告(應包含ER、PR之檢測結果且無復發現象)。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(2)本案藥品使用不得超過三年。</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9.1.2.Anastrozole(如Arimidex)：（88/6/1、92/3/1、93/6/1）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1.停經後雌激素接受器為陽性或不清楚之局部晚期或轉移性乳癌第一線治療。(92/3/1)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2.停經後婦女晚期乳癌，雌激素接受器為陰性，但曾對tamoxifen有陽性反應者。(92/3/1)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3.停經後婦女罹患早期侵犯性乳癌，經外科手術切除後且雌激素接受器為陽性，且有血栓栓塞症或子宮內膜異常增生的高危險群，而無法使用tamoxifen治療者。(93/6/1)</w:t>
      </w:r>
    </w:p>
    <w:p w:rsidR="00B96EA0" w:rsidRDefault="007D66B8" w:rsidP="005142EB">
      <w:pPr>
        <w:spacing w:line="400" w:lineRule="exact"/>
        <w:ind w:left="1231" w:hanging="698"/>
        <w:rPr>
          <w:rFonts w:ascii="標楷體" w:eastAsia="標楷體" w:hAnsi="標楷體"/>
          <w:color w:val="000000"/>
        </w:rPr>
      </w:pPr>
      <w:r>
        <w:rPr>
          <w:rFonts w:ascii="標楷體" w:eastAsia="標楷體" w:hAnsi="標楷體"/>
          <w:color w:val="000000"/>
        </w:rPr>
        <w:t>備註：療程期間以不超過五年為原則。血栓栓塞症或子宮內膜異常增生的高危險群需符合下列情形之一：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(1)有腦血管梗塞病史者。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(2)有靜脈血栓栓塞症病史者。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(3)有子宮異常出血病史，且「經陰道超音波檢查」判定為子宮內膜異常增生的高危險群。</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9.1.3.Letrozole：（88/11/1、90/10/1、92/3/1、97/11/1、98/11/1、99/9/1、102/8/1)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1.接受抗動情激素治療失敗的自然或人工停經後之末期乳癌病人之治療、停經後之局部晚期或轉移性乳癌婦女患者之第一線治療用藥。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2.停經後且荷爾蒙接受體呈陽性，有淋巴結轉移之乳癌病人，作為tamoxifen治療五年後的延伸治療，且不得與其他aromatase inhibitor併用。使用時需同時符合下列規定：（97/11/1）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(1)手術後大於等於11年且無復發者不得使用。</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(2)每日最大劑量2.5mg，使用不得超過四年。</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3.停經後且荷爾蒙接受體呈陽性之早期乳癌病人，經外科手術切除後之輔助治療，且不得與tamoxifen或其他aromatase inhibitor併用。使用時需同時符合下列規定：(98/11/1、99/9/1、102/8/1)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(1)每日最大劑量2.5mg，使用不得超過五年；</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(2)若由tamoxifen轉換使用本品，則使用期限合計不得超過5年。</w:t>
      </w:r>
    </w:p>
    <w:p w:rsidR="00B96EA0" w:rsidRDefault="007D66B8" w:rsidP="005142EB">
      <w:pPr>
        <w:spacing w:line="400" w:lineRule="exact"/>
        <w:ind w:left="847" w:hanging="281"/>
        <w:rPr>
          <w:rFonts w:ascii="標楷體" w:eastAsia="標楷體" w:hAnsi="標楷體"/>
          <w:color w:val="000000"/>
        </w:rPr>
      </w:pPr>
      <w:r>
        <w:rPr>
          <w:rFonts w:ascii="標楷體" w:eastAsia="標楷體" w:hAnsi="標楷體"/>
          <w:color w:val="000000"/>
        </w:rPr>
        <w:t>4.病歷上應詳細記載手術資料、病理報告(應包含ER、PR之檢測結果且無復發現象)及用藥紀錄(如tamoxifen使用五年證明)。</w:t>
      </w:r>
    </w:p>
    <w:p w:rsidR="009C41ED" w:rsidRPr="00367DBE" w:rsidRDefault="009C41ED" w:rsidP="009C41ED">
      <w:pPr>
        <w:spacing w:line="400" w:lineRule="exact"/>
        <w:ind w:left="142"/>
        <w:jc w:val="both"/>
        <w:rPr>
          <w:rFonts w:ascii="標楷體" w:eastAsia="標楷體" w:hAnsi="標楷體"/>
          <w:szCs w:val="24"/>
        </w:rPr>
      </w:pPr>
      <w:r w:rsidRPr="00367DBE">
        <w:rPr>
          <w:rFonts w:ascii="標楷體" w:eastAsia="標楷體" w:hAnsi="標楷體"/>
          <w:szCs w:val="24"/>
        </w:rPr>
        <w:t>9.2.Carboplatin(如Paraplatin；Carboplatin inj)：(112/12/1</w:t>
      </w:r>
      <w:r w:rsidRPr="00367DBE">
        <w:rPr>
          <w:rFonts w:ascii="標楷體" w:eastAsia="標楷體" w:hAnsi="標楷體" w:hint="eastAsia"/>
          <w:szCs w:val="24"/>
        </w:rPr>
        <w:t>、114/2/1、1</w:t>
      </w:r>
      <w:r w:rsidRPr="00367DBE">
        <w:rPr>
          <w:rFonts w:ascii="標楷體" w:eastAsia="標楷體" w:hAnsi="標楷體"/>
          <w:szCs w:val="24"/>
        </w:rPr>
        <w:t>14/6/1</w:t>
      </w:r>
      <w:r w:rsidRPr="00367DBE">
        <w:rPr>
          <w:rFonts w:ascii="標楷體" w:eastAsia="標楷體" w:hAnsi="標楷體" w:hint="eastAsia"/>
          <w:szCs w:val="24"/>
        </w:rPr>
        <w:t>、1</w:t>
      </w:r>
      <w:r w:rsidRPr="00367DBE">
        <w:rPr>
          <w:rFonts w:ascii="標楷體" w:eastAsia="標楷體" w:hAnsi="標楷體"/>
          <w:szCs w:val="24"/>
        </w:rPr>
        <w:t>14/8/1</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9C41ED" w:rsidRPr="00367DBE" w:rsidRDefault="009C41ED" w:rsidP="009C41ED">
      <w:pPr>
        <w:spacing w:line="400" w:lineRule="exact"/>
        <w:ind w:left="33" w:hanging="1"/>
        <w:jc w:val="both"/>
        <w:rPr>
          <w:rFonts w:ascii="標楷體" w:eastAsia="標楷體" w:hAnsi="標楷體"/>
          <w:szCs w:val="24"/>
        </w:rPr>
      </w:pPr>
      <w:r>
        <w:rPr>
          <w:rFonts w:ascii="標楷體" w:eastAsia="標楷體" w:hAnsi="標楷體" w:hint="eastAsia"/>
        </w:rPr>
        <w:t xml:space="preserve">   </w:t>
      </w:r>
      <w:r w:rsidRPr="00367DBE">
        <w:rPr>
          <w:rFonts w:ascii="標楷體" w:eastAsia="標楷體" w:hAnsi="標楷體"/>
          <w:szCs w:val="24"/>
        </w:rPr>
        <w:t>限</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.卵巢癌患者。</w:t>
      </w:r>
    </w:p>
    <w:p w:rsidR="009C41ED" w:rsidRPr="00367DBE" w:rsidRDefault="009C41ED" w:rsidP="009C41ED">
      <w:pPr>
        <w:pStyle w:val="a9"/>
        <w:spacing w:line="400" w:lineRule="exact"/>
        <w:ind w:leftChars="118" w:left="283" w:firstLineChars="59" w:firstLine="142"/>
        <w:jc w:val="both"/>
        <w:rPr>
          <w:rFonts w:ascii="標楷體" w:eastAsia="標楷體" w:hAnsi="標楷體"/>
        </w:rPr>
      </w:pPr>
      <w:r w:rsidRPr="00367DBE">
        <w:rPr>
          <w:rFonts w:ascii="標楷體" w:eastAsia="標楷體" w:hAnsi="標楷體" w:hint="eastAsia"/>
        </w:rPr>
        <w:t>2</w:t>
      </w:r>
      <w:r w:rsidRPr="00367DBE">
        <w:rPr>
          <w:rFonts w:ascii="標楷體" w:eastAsia="標楷體" w:hAnsi="標楷體"/>
        </w:rPr>
        <w:t>.腎功能不佳(CCr&lt;60)或曾作單側或以上腎切除之惡性腫瘤患者使用。</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3</w:t>
      </w:r>
      <w:r w:rsidRPr="00367DBE">
        <w:rPr>
          <w:rFonts w:ascii="標楷體" w:eastAsia="標楷體" w:hAnsi="標楷體"/>
        </w:rPr>
        <w:t>.與pembrolizumab及paclitaxel併用於轉移性鱗狀非小細胞肺癌的第一線治療，患者需符合免疫檢查點抑制劑之藥品給付規定。(112/12/1)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hint="eastAsia"/>
        </w:rPr>
        <w:t>4</w:t>
      </w:r>
      <w:r w:rsidRPr="00367DBE">
        <w:rPr>
          <w:rFonts w:ascii="標楷體" w:eastAsia="標楷體" w:hAnsi="標楷體"/>
        </w:rPr>
        <w:t>.與atezolizumab及etoposide併用</w:t>
      </w:r>
      <w:r w:rsidRPr="00367DBE">
        <w:rPr>
          <w:rFonts w:ascii="標楷體" w:eastAsia="標楷體" w:hAnsi="標楷體" w:hint="eastAsia"/>
        </w:rPr>
        <w:t>，或與d</w:t>
      </w:r>
      <w:r w:rsidRPr="00367DBE">
        <w:rPr>
          <w:rFonts w:ascii="標楷體" w:eastAsia="標楷體" w:hAnsi="標楷體"/>
        </w:rPr>
        <w:t>urvalumab</w:t>
      </w:r>
      <w:r w:rsidRPr="00367DBE">
        <w:rPr>
          <w:rFonts w:ascii="標楷體" w:eastAsia="標楷體" w:hAnsi="標楷體" w:hint="eastAsia"/>
        </w:rPr>
        <w:t>及</w:t>
      </w:r>
      <w:r w:rsidRPr="00367DBE">
        <w:rPr>
          <w:rFonts w:ascii="標楷體" w:eastAsia="標楷體" w:hAnsi="標楷體"/>
        </w:rPr>
        <w:t>etoposide</w:t>
      </w:r>
      <w:r w:rsidRPr="00367DBE">
        <w:rPr>
          <w:rFonts w:ascii="標楷體" w:eastAsia="標楷體" w:hAnsi="標楷體" w:hint="eastAsia"/>
        </w:rPr>
        <w:t>併用</w:t>
      </w:r>
      <w:r w:rsidRPr="00367DBE">
        <w:rPr>
          <w:rFonts w:ascii="標楷體" w:eastAsia="標楷體" w:hAnsi="標楷體"/>
        </w:rPr>
        <w:t>於擴散期(extensive stage)小細胞肺癌成人患者時，患者需符合免疫檢查點抑制劑之藥品給付規定。(112/12/1</w:t>
      </w:r>
      <w:r w:rsidRPr="00367DBE">
        <w:rPr>
          <w:rFonts w:ascii="標楷體" w:eastAsia="標楷體" w:hAnsi="標楷體" w:hint="eastAsia"/>
        </w:rPr>
        <w:t>、114/2/1</w:t>
      </w:r>
      <w:r w:rsidRPr="00367DBE">
        <w:rPr>
          <w:rFonts w:ascii="標楷體" w:eastAsia="標楷體" w:hAnsi="標楷體"/>
        </w:rPr>
        <w:t>)</w:t>
      </w:r>
    </w:p>
    <w:p w:rsidR="009C41ED" w:rsidRPr="00367DBE" w:rsidRDefault="009C41ED" w:rsidP="009C41ED">
      <w:pPr>
        <w:pStyle w:val="a9"/>
        <w:spacing w:line="400" w:lineRule="exact"/>
        <w:ind w:leftChars="178" w:left="566" w:hangingChars="58" w:hanging="139"/>
        <w:jc w:val="both"/>
        <w:rPr>
          <w:rFonts w:ascii="標楷體" w:eastAsia="標楷體" w:hAnsi="標楷體"/>
        </w:rPr>
      </w:pPr>
      <w:r w:rsidRPr="00367DBE">
        <w:rPr>
          <w:rFonts w:ascii="標楷體" w:eastAsia="標楷體" w:hAnsi="標楷體" w:hint="eastAsia"/>
        </w:rPr>
        <w:t>5.與pembrolizumab及pemetrexed(限使用Pexeda、Apeta或Pemetrexed Sandoz)併用，或與atezolizumab及bevacizumab(限使用Alymsys、Avastin、Abevmy、Vegzelma或Mvasi)、paclitaxel併用，做為轉移性且不具有EGFR/ALK/ROS-1腫瘤基因異常的非鱗狀非小細胞肺癌的第一線治療，患者需符合免疫檢查點抑制劑之藥品給付規定。(114/6/1、114/8/1)</w:t>
      </w:r>
    </w:p>
    <w:p w:rsidR="009C41ED" w:rsidRPr="00367DBE" w:rsidRDefault="009C41ED" w:rsidP="009C41ED">
      <w:pPr>
        <w:pStyle w:val="a9"/>
        <w:spacing w:line="400" w:lineRule="exact"/>
        <w:ind w:leftChars="178" w:left="708" w:hangingChars="117" w:hanging="281"/>
        <w:jc w:val="both"/>
        <w:rPr>
          <w:rFonts w:ascii="標楷體" w:eastAsia="標楷體" w:hAnsi="標楷體"/>
        </w:rPr>
      </w:pPr>
      <w:r w:rsidRPr="00367DBE">
        <w:rPr>
          <w:rFonts w:ascii="標楷體" w:eastAsia="標楷體" w:hAnsi="標楷體"/>
        </w:rPr>
        <w:t>6.</w:t>
      </w:r>
      <w:r w:rsidRPr="00367DBE">
        <w:rPr>
          <w:rFonts w:ascii="標楷體" w:eastAsia="標楷體" w:hAnsi="標楷體" w:hint="eastAsia"/>
        </w:rPr>
        <w:t>與pembrolizumab及paclitaxel併用於早期三陰性乳癌(第II期至第IIIb期，cT1c N1-2或T2-4 N0-2)病人的術前前導性治療用藥，病人需符合免疫檢查點抑制劑之藥品給付規定。(114/6/1)</w:t>
      </w:r>
    </w:p>
    <w:p w:rsidR="00B96EA0" w:rsidRDefault="009C41ED" w:rsidP="009C41ED">
      <w:pPr>
        <w:tabs>
          <w:tab w:val="left" w:pos="567"/>
        </w:tabs>
        <w:spacing w:line="400" w:lineRule="exact"/>
        <w:ind w:leftChars="178" w:left="708" w:hangingChars="117" w:hanging="281"/>
      </w:pPr>
      <w:r w:rsidRPr="00367DBE">
        <w:rPr>
          <w:rFonts w:ascii="標楷體" w:eastAsia="標楷體" w:hAnsi="標楷體"/>
          <w:szCs w:val="24"/>
        </w:rPr>
        <w:t>7.</w:t>
      </w:r>
      <w:r w:rsidRPr="00367DBE">
        <w:rPr>
          <w:rFonts w:ascii="標楷體" w:eastAsia="標楷體" w:hAnsi="標楷體" w:hint="eastAsia"/>
          <w:szCs w:val="24"/>
        </w:rPr>
        <w:t>與amivantamab 及pemetrexed 併用於罹患帶有表皮生長因子受體(EGFR) exon 20 插入突變之局部晚期或轉移性非小細胞肺癌</w:t>
      </w:r>
      <w:r w:rsidRPr="00367DBE">
        <w:rPr>
          <w:rFonts w:ascii="標楷體" w:eastAsia="標楷體" w:hAnsi="標楷體"/>
          <w:szCs w:val="24"/>
        </w:rPr>
        <w:t>(NSCLC)</w:t>
      </w:r>
      <w:r w:rsidRPr="00367DBE">
        <w:rPr>
          <w:rFonts w:ascii="標楷體" w:eastAsia="標楷體" w:hAnsi="標楷體" w:hint="eastAsia"/>
          <w:szCs w:val="24"/>
        </w:rPr>
        <w:t>的成人病人，作為第一線治療。</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9.3.Docetaxel：（87/7/1、92/11/1、93/8/1、95/8/1、96/1/1、99/6/1、100/1/1、101/9/1、108/1/1、113/5/1）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(1)局部晚期或轉移性乳癌。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(2)與anthracycline合併使用於腋下淋巴結轉移之早期乳癌之術後輔助性化學治療。(99/6/1)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(3)早期乳癌手術後，經診斷為三陰性反應且無淋巴轉移的病人，得作為與cyclophosphamide併用doxorubicin的化學輔助療法。(101/9/1）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2.非小細胞肺癌：局部晚期或轉移性非小細胞肺癌。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(1)於荷爾蒙治療失敗之轉移性前列腺癌。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(2)與darolutamide併用於治療高風險轉移性的去勢敏感性前列腺癌(mCSPC)，患者需符合darolutamide之藥品給付規定。(113/5/1)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4.頭頸癌：限局部晚期且無遠端轉移之頭頸部鱗狀細胞癌且無法手術切除者，與cisplatin及5-fluorouracil併用，作為放射治療前的引導治療，限使用4個療程。(100/1/1)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5.胃腺癌：晚期胃腺癌患者，包括胃食道接合處之腺癌。(108/1/1)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9.4.Gemcitabine（如Gemzar）：（92/12/1、93/8/1、94/10/1、96/5/1、99/10/1、105/2/1、114/2/1）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1.晚期或無法手術切除之非小細胞肺癌及胰臟癌病患。</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2.晚期膀胱癌病患。（92/12/1）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3.Gemcitabine與paclitaxel併用，可使用於曾經使用過anthracycline之局部復發且無法手術切除或轉移性之乳癌病患。（94/10/1）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4.用於曾經使用含鉑類藥物(platinum-based)治療後復發且間隔至少6個月之卵巢癌，作為第二線治療。（96/5/1、99/10/1）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5.無法手術切除或晚期或復發之膽道癌(含肝內膽管)病患。（105/2/1）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6.與durvalumab及cisplatin併用於治療局部晚期或轉移性未接受治療或不可手術之膽道癌(biliary tract cancer)成人病人(壺腹癌除外)，患者需符合免疫檢查點抑制劑之藥品給付規定。（114/2/1)</w:t>
      </w:r>
    </w:p>
    <w:p w:rsidR="00B96EA0" w:rsidRDefault="00CF183E" w:rsidP="005142EB">
      <w:pPr>
        <w:spacing w:line="400" w:lineRule="exact"/>
        <w:ind w:left="672" w:hanging="386"/>
        <w:rPr>
          <w:rFonts w:ascii="標楷體" w:eastAsia="標楷體" w:hAnsi="標楷體"/>
          <w:color w:val="000000"/>
        </w:rPr>
      </w:pPr>
      <w:bookmarkStart w:id="0" w:name="_Hlk204090564"/>
      <w:bookmarkStart w:id="1" w:name="_Hlk198656705"/>
      <w:r w:rsidRPr="005A2133">
        <w:rPr>
          <w:rFonts w:ascii="標楷體" w:eastAsia="標楷體" w:hAnsi="標楷體"/>
          <w:color w:val="000000"/>
        </w:rPr>
        <w:t>9.5.Paclitaxel成分劑：（88/8/1、88/11/1、89/6/1、89/10/1、91/4/1、91/8/1、93/8/1、94/1/1、98/8/1、108/11/1、112/12/1、114/6/1</w:t>
      </w:r>
      <w:r w:rsidRPr="005A2133">
        <w:rPr>
          <w:rFonts w:ascii="標楷體" w:eastAsia="標楷體" w:hAnsi="標楷體" w:hint="eastAsia"/>
          <w:szCs w:val="24"/>
        </w:rPr>
        <w:t>、114/8/1</w:t>
      </w:r>
      <w:r w:rsidRPr="005A2133">
        <w:rPr>
          <w:rFonts w:ascii="標楷體" w:eastAsia="標楷體" w:hAnsi="標楷體"/>
          <w:color w:val="000000"/>
        </w:rPr>
        <w:t>）</w:t>
      </w:r>
      <w:bookmarkEnd w:id="0"/>
    </w:p>
    <w:p w:rsidR="00CF183E" w:rsidRPr="00CF183E" w:rsidRDefault="00CF183E" w:rsidP="00CF183E">
      <w:pPr>
        <w:spacing w:line="300" w:lineRule="exact"/>
        <w:ind w:left="805" w:hanging="521"/>
        <w:rPr>
          <w:rFonts w:ascii="標楷體" w:eastAsia="標楷體" w:hAnsi="標楷體"/>
          <w:color w:val="000000"/>
        </w:rPr>
      </w:pPr>
      <w:bookmarkStart w:id="2" w:name="_Hlk204090575"/>
      <w:bookmarkEnd w:id="1"/>
      <w:r w:rsidRPr="00CF183E">
        <w:rPr>
          <w:rFonts w:ascii="標楷體" w:eastAsia="標楷體" w:hAnsi="標楷體"/>
          <w:color w:val="000000"/>
        </w:rPr>
        <w:t>9.5.1.Paclitaxel成分注射劑：(108/11/1、112/12/1</w:t>
      </w:r>
      <w:r w:rsidRPr="00CF183E">
        <w:rPr>
          <w:rFonts w:ascii="標楷體" w:eastAsia="標楷體" w:hAnsi="標楷體" w:hint="eastAsia"/>
          <w:color w:val="000000"/>
        </w:rPr>
        <w:t>、</w:t>
      </w:r>
      <w:r w:rsidRPr="00CF183E">
        <w:rPr>
          <w:rFonts w:ascii="標楷體" w:eastAsia="標楷體" w:hAnsi="標楷體"/>
          <w:szCs w:val="24"/>
        </w:rPr>
        <w:t>114/6/1</w:t>
      </w:r>
      <w:r w:rsidRPr="00CF183E">
        <w:rPr>
          <w:rFonts w:ascii="標楷體" w:eastAsia="標楷體" w:hAnsi="標楷體" w:hint="eastAsia"/>
          <w:szCs w:val="24"/>
        </w:rPr>
        <w:t>、114/8/1</w:t>
      </w:r>
      <w:r w:rsidRPr="00CF183E">
        <w:rPr>
          <w:rFonts w:ascii="標楷體" w:eastAsia="標楷體" w:hAnsi="標楷體"/>
          <w:color w:val="000000"/>
        </w:rPr>
        <w:t>)</w:t>
      </w:r>
    </w:p>
    <w:p w:rsidR="00CF183E" w:rsidRPr="00CF183E" w:rsidRDefault="00CF183E" w:rsidP="00CF183E">
      <w:pPr>
        <w:spacing w:line="300" w:lineRule="exact"/>
        <w:ind w:left="1233" w:hanging="196"/>
        <w:rPr>
          <w:rFonts w:ascii="標楷體" w:eastAsia="標楷體" w:hAnsi="標楷體"/>
          <w:color w:val="000000"/>
        </w:rPr>
      </w:pPr>
      <w:r w:rsidRPr="00CF183E">
        <w:rPr>
          <w:rFonts w:ascii="標楷體" w:eastAsia="標楷體" w:hAnsi="標楷體"/>
          <w:color w:val="000000"/>
        </w:rPr>
        <w:t>限用於</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1.晚期卵巢癌，作為第一線治療時需與cisplatin併用。(94/1/1)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2.非小細胞肺癌，作為第一線用藥時需與cisplatin併用。(94/1/1)</w:t>
      </w:r>
    </w:p>
    <w:p w:rsidR="00CF183E" w:rsidRPr="00CF183E" w:rsidRDefault="00CF183E" w:rsidP="00CF183E">
      <w:pPr>
        <w:spacing w:line="300" w:lineRule="exact"/>
        <w:ind w:left="993" w:hanging="227"/>
        <w:rPr>
          <w:rFonts w:ascii="標楷體" w:eastAsia="標楷體" w:hAnsi="標楷體"/>
        </w:rPr>
      </w:pPr>
      <w:r w:rsidRPr="00CF183E">
        <w:rPr>
          <w:rFonts w:ascii="標楷體" w:eastAsia="標楷體" w:hAnsi="標楷體"/>
          <w:color w:val="000000"/>
          <w:szCs w:val="24"/>
        </w:rPr>
        <w:t>3.</w:t>
      </w:r>
      <w:r w:rsidRPr="00CF183E">
        <w:rPr>
          <w:rFonts w:ascii="標楷體" w:eastAsia="標楷體" w:hAnsi="標楷體"/>
          <w:szCs w:val="24"/>
        </w:rPr>
        <w:t>與pembrolizumab及carboplatin併用於轉移性鱗狀非小細胞肺癌的第一線治療，患者需符合免疫檢查點抑制劑之藥品給付規定。(112/12/1)</w:t>
      </w:r>
    </w:p>
    <w:p w:rsidR="00CF183E" w:rsidRP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4.已使用合併療法(除非有禁忌症、至少應包括使用anthracycline)失敗的轉移性乳癌患者。（91/4/1、94/1/1)</w:t>
      </w:r>
    </w:p>
    <w:p w:rsidR="00CF183E" w:rsidRDefault="00CF183E" w:rsidP="00CF183E">
      <w:pPr>
        <w:spacing w:line="300" w:lineRule="exact"/>
        <w:ind w:left="993" w:hanging="227"/>
        <w:rPr>
          <w:rFonts w:ascii="標楷體" w:eastAsia="標楷體" w:hAnsi="標楷體"/>
          <w:color w:val="000000"/>
        </w:rPr>
      </w:pPr>
      <w:r w:rsidRPr="00CF183E">
        <w:rPr>
          <w:rFonts w:ascii="標楷體" w:eastAsia="標楷體" w:hAnsi="標楷體"/>
          <w:color w:val="000000"/>
        </w:rPr>
        <w:t>5.腋下淋巴轉移之乳癌且動情素受體為陰性之患者，paclitaxel可作為接續含doxorubicin在內之輔助化學治療。（91/4/1、94/1/1、98/8/1)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color w:val="000000"/>
        </w:rPr>
        <w:t>6.</w:t>
      </w:r>
      <w:r w:rsidRPr="00CF183E">
        <w:rPr>
          <w:rFonts w:ascii="標楷體" w:eastAsia="標楷體" w:hAnsi="標楷體"/>
          <w:color w:val="000000"/>
        </w:rPr>
        <w:t>卡波西氏肉瘤第二線用藥。（88/11/1）</w:t>
      </w:r>
    </w:p>
    <w:p w:rsidR="00CF183E"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7.</w:t>
      </w:r>
      <w:r w:rsidRPr="00CF183E">
        <w:rPr>
          <w:rFonts w:ascii="標楷體" w:eastAsia="標楷體" w:hAnsi="標楷體"/>
          <w:szCs w:val="24"/>
        </w:rPr>
        <w:t>與pembrolizumab及carboplatin併用於早期三陰性乳癌(第II期至第IIIb期，cT1c N1-2 或 T2-4 N0-2)病人的術前前導性治療用藥，病人需符合免疫檢查點抑制劑之藥品給付規定。(114/6/1)</w:t>
      </w:r>
    </w:p>
    <w:p w:rsidR="00B96EA0" w:rsidRDefault="00CF183E" w:rsidP="00CF183E">
      <w:pPr>
        <w:spacing w:line="300" w:lineRule="exact"/>
        <w:ind w:left="993" w:hanging="227"/>
        <w:rPr>
          <w:rFonts w:ascii="標楷體" w:eastAsia="標楷體" w:hAnsi="標楷體"/>
          <w:color w:val="000000"/>
        </w:rPr>
      </w:pPr>
      <w:r>
        <w:rPr>
          <w:rFonts w:ascii="標楷體" w:eastAsia="標楷體" w:hAnsi="標楷體" w:hint="eastAsia"/>
          <w:szCs w:val="24"/>
        </w:rPr>
        <w:t>8.</w:t>
      </w:r>
      <w:r w:rsidRPr="00CF183E">
        <w:rPr>
          <w:rFonts w:ascii="標楷體" w:eastAsia="標楷體" w:hAnsi="標楷體"/>
          <w:szCs w:val="24"/>
        </w:rPr>
        <w:t>與atezolizumab及bevacizumab(限使用Alymsys、Avastin、Abevmy、Vegzelma或Mvasi)、carboplatin併用於轉移性非鱗狀非小細胞肺癌第一線治療，患者需符</w:t>
      </w:r>
      <w:r w:rsidRPr="00CF183E">
        <w:rPr>
          <w:rFonts w:ascii="標楷體" w:eastAsia="標楷體" w:hAnsi="標楷體"/>
          <w:szCs w:val="24"/>
        </w:rPr>
        <w:lastRenderedPageBreak/>
        <w:t>合免疫檢查點抑制劑之藥品給付規定。(114/6/1</w:t>
      </w:r>
      <w:r w:rsidRPr="00CF183E">
        <w:rPr>
          <w:rFonts w:ascii="標楷體" w:eastAsia="標楷體" w:hAnsi="標楷體" w:hint="eastAsia"/>
          <w:szCs w:val="24"/>
        </w:rPr>
        <w:t>、114/8/1</w:t>
      </w:r>
      <w:r w:rsidRPr="00CF183E">
        <w:rPr>
          <w:rFonts w:ascii="標楷體" w:eastAsia="標楷體" w:hAnsi="標楷體"/>
          <w:szCs w:val="24"/>
        </w:rPr>
        <w:t>)</w:t>
      </w:r>
      <w:bookmarkEnd w:id="2"/>
    </w:p>
    <w:p w:rsidR="00B96EA0" w:rsidRDefault="007D66B8" w:rsidP="005142EB">
      <w:pPr>
        <w:spacing w:line="400" w:lineRule="exact"/>
        <w:ind w:left="284" w:hanging="1"/>
        <w:rPr>
          <w:rFonts w:ascii="標楷體" w:eastAsia="標楷體" w:hAnsi="標楷體"/>
          <w:color w:val="000000"/>
        </w:rPr>
      </w:pPr>
      <w:r>
        <w:rPr>
          <w:rFonts w:ascii="標楷體" w:eastAsia="標楷體" w:hAnsi="標楷體"/>
          <w:color w:val="000000"/>
        </w:rPr>
        <w:t>9.5.2.Albumin-based paclitaxel（如Abraxane）：(108/11/1)</w:t>
      </w:r>
    </w:p>
    <w:p w:rsidR="00B96EA0" w:rsidRDefault="007D66B8" w:rsidP="005142EB">
      <w:pPr>
        <w:spacing w:line="400" w:lineRule="exact"/>
        <w:ind w:left="565" w:hanging="1"/>
        <w:rPr>
          <w:rFonts w:ascii="標楷體" w:eastAsia="標楷體" w:hAnsi="標楷體"/>
          <w:color w:val="000000"/>
        </w:rPr>
      </w:pPr>
      <w:r>
        <w:rPr>
          <w:rFonts w:ascii="標楷體" w:eastAsia="標楷體" w:hAnsi="標楷體"/>
          <w:color w:val="000000"/>
        </w:rPr>
        <w:tab/>
        <w:t>限併用gemcitabine，做為轉移性胰腺癌患者之第一線治療。</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9.6.Streptococcus pyrogene(如Picibanil)：</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限惡性腫瘤患者患有惡性腹水，肋膜積水或心包膜積水時使用，需檢附病歷摘要。</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9.7.（刪除）（87/7/1、94/1/1、109/10/1）</w:t>
      </w:r>
    </w:p>
    <w:p w:rsidR="00B96EA0" w:rsidRDefault="007D66B8" w:rsidP="005142EB">
      <w:pPr>
        <w:spacing w:line="400" w:lineRule="exact"/>
        <w:ind w:left="672" w:hanging="386"/>
      </w:pPr>
      <w:r>
        <w:rPr>
          <w:rFonts w:ascii="標楷體" w:eastAsia="標楷體" w:hAnsi="標楷體"/>
          <w:color w:val="000000"/>
        </w:rPr>
        <w:t>9.8.Toremifene（如Fareston）：（88/6/1）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限用於停經後，且女性荷爾蒙接受體(estrogen receptor)為陽性之轉移性乳癌病患。</w:t>
      </w:r>
    </w:p>
    <w:p w:rsidR="00B96EA0" w:rsidRDefault="007D66B8" w:rsidP="005142EB">
      <w:pPr>
        <w:spacing w:line="400" w:lineRule="exact"/>
        <w:ind w:left="672" w:hanging="386"/>
      </w:pPr>
      <w:r>
        <w:rPr>
          <w:rFonts w:ascii="標楷體" w:eastAsia="標楷體" w:hAnsi="標楷體"/>
          <w:color w:val="000000"/>
        </w:rPr>
        <w:t>9.9.Vinorelbine：(91/1/1、95/6/1、96/9/1、101/3/1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(1)晚期或無法手術切除之非小細胞肺癌及轉移性乳癌病患。</w:t>
      </w:r>
    </w:p>
    <w:p w:rsidR="00B96EA0" w:rsidRDefault="007D66B8" w:rsidP="005142EB">
      <w:pPr>
        <w:spacing w:line="400" w:lineRule="exact"/>
        <w:ind w:left="1049" w:hanging="341"/>
      </w:pPr>
      <w:r>
        <w:rPr>
          <w:rFonts w:ascii="標楷體" w:eastAsia="標楷體" w:hAnsi="標楷體"/>
          <w:color w:val="000000"/>
        </w:rPr>
        <w:t>(2)病理分期第二期及第三期前半(stageII &amp; stageIIIA)非小細胞肺癌於接受根治性手術後與鉑金類藥品併用之輔助治療，</w:t>
      </w:r>
      <w:r>
        <w:rPr>
          <w:rFonts w:ascii="標楷體" w:eastAsia="標楷體" w:hAnsi="標楷體"/>
          <w:kern w:val="0"/>
          <w:szCs w:val="24"/>
        </w:rPr>
        <w:t>最多可使用4療程(106/11/1)。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2.本成分之口服劑型與注射劑型不得併用。</w:t>
      </w:r>
    </w:p>
    <w:p w:rsidR="00B96EA0" w:rsidRDefault="007D66B8" w:rsidP="005142EB">
      <w:pPr>
        <w:spacing w:line="400" w:lineRule="exact"/>
        <w:ind w:left="425" w:hanging="245"/>
        <w:rPr>
          <w:rFonts w:ascii="標楷體" w:eastAsia="標楷體" w:hAnsi="標楷體"/>
          <w:color w:val="000000"/>
        </w:rPr>
      </w:pPr>
      <w:bookmarkStart w:id="3" w:name="_Hlk75364262"/>
      <w:r>
        <w:rPr>
          <w:rFonts w:ascii="標楷體" w:eastAsia="標楷體" w:hAnsi="標楷體"/>
          <w:color w:val="000000"/>
        </w:rPr>
        <w:t>9.10.Oxaliplatin：（需符合藥品許可證登載之適應症）（89/7/1、91/10/1、93/8/1、98/2/1、98/3/1、98/7/1、102/9/1、102/12/1、109/12/1、110/5/1、110/6/1、110/7/1、111/11/1、113/4/1、113/6/1)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1.和5-FU和folinic acid併用</w:t>
      </w:r>
    </w:p>
    <w:p w:rsidR="00B96EA0" w:rsidRDefault="007D66B8" w:rsidP="005142EB">
      <w:pPr>
        <w:spacing w:line="400" w:lineRule="exact"/>
        <w:ind w:left="1275" w:hanging="245"/>
        <w:rPr>
          <w:rFonts w:ascii="標楷體" w:eastAsia="標楷體" w:hAnsi="標楷體"/>
          <w:color w:val="000000"/>
        </w:rPr>
      </w:pPr>
      <w:r>
        <w:rPr>
          <w:rFonts w:ascii="標楷體" w:eastAsia="標楷體" w:hAnsi="標楷體"/>
          <w:color w:val="000000"/>
        </w:rPr>
        <w:t>(1)治療轉移性結腸直腸癌，惟若再加用irinotecan (如Campto)則不予給付。(91/10/1)</w:t>
      </w:r>
    </w:p>
    <w:p w:rsidR="00B96EA0" w:rsidRDefault="007D66B8" w:rsidP="005142EB">
      <w:pPr>
        <w:spacing w:line="400" w:lineRule="exact"/>
        <w:ind w:left="1275" w:hanging="245"/>
        <w:rPr>
          <w:rFonts w:ascii="標楷體" w:eastAsia="標楷體" w:hAnsi="標楷體"/>
          <w:color w:val="000000"/>
        </w:rPr>
      </w:pPr>
      <w:r>
        <w:rPr>
          <w:rFonts w:ascii="標楷體" w:eastAsia="標楷體" w:hAnsi="標楷體"/>
          <w:color w:val="000000"/>
        </w:rPr>
        <w:t>(2)作為第三期結腸癌(Duke`s C) 原發腫瘤完全切除手術後的輔助療法。(98/2/1)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2.與fluoropyrimidine類藥物(如capecitabine、5-FU、UFUR，但不包含TS-1)併用，可用於局部晚期及復發/轉移性胃癌之治療。(須依藥品許可證登載之適應症使用)。(98/2/1、98/3/1、98/7/1、102/9/1、102/12/1、109/12/1）</w:t>
      </w:r>
    </w:p>
    <w:p w:rsidR="00B96EA0" w:rsidRDefault="007D66B8" w:rsidP="005142EB">
      <w:pPr>
        <w:spacing w:line="400" w:lineRule="exact"/>
        <w:ind w:left="851" w:hanging="244"/>
        <w:rPr>
          <w:rFonts w:ascii="標楷體" w:eastAsia="標楷體" w:hAnsi="標楷體"/>
          <w:color w:val="000000"/>
        </w:rPr>
      </w:pPr>
      <w:r>
        <w:rPr>
          <w:rFonts w:ascii="標楷體" w:eastAsia="標楷體" w:hAnsi="標楷體"/>
          <w:color w:val="000000"/>
        </w:rPr>
        <w:t>3.與5-fluorouracil、leucovorin及irinotecan併用(FOLFIRINOX)，作為轉移性胰臟癌之第一線治療。(110/5/1、110/6/1、110/7/1、111/11/1)</w:t>
      </w:r>
    </w:p>
    <w:p w:rsidR="00B96EA0" w:rsidRDefault="007D66B8" w:rsidP="005142EB">
      <w:pPr>
        <w:autoSpaceDE w:val="0"/>
        <w:spacing w:line="400" w:lineRule="exact"/>
        <w:ind w:left="850" w:hanging="284"/>
      </w:pPr>
      <w:r>
        <w:rPr>
          <w:rFonts w:ascii="標楷體" w:eastAsia="標楷體" w:hAnsi="標楷體"/>
          <w:color w:val="000000"/>
        </w:rPr>
        <w:t>4.</w:t>
      </w:r>
      <w:r>
        <w:rPr>
          <w:rFonts w:ascii="標楷體" w:eastAsia="標楷體" w:hAnsi="標楷體" w:cs="標楷體.鬁..."/>
          <w:color w:val="000000"/>
          <w:kern w:val="0"/>
          <w:szCs w:val="24"/>
        </w:rPr>
        <w:t>與nivolumab 120mg規格量品項及fluoropyrimidine（5-FU或capecitabine）併用於第一線治療晚期或轉移性且不具有HER2過度表現的胃癌病人，病人需符合免疫檢查點抑制劑之藥品給付規定。(113/4/1、113/6/1)</w:t>
      </w:r>
    </w:p>
    <w:bookmarkEnd w:id="3"/>
    <w:p w:rsidR="00B96EA0" w:rsidRDefault="007D66B8" w:rsidP="005142EB">
      <w:pPr>
        <w:spacing w:line="400" w:lineRule="exact"/>
        <w:ind w:left="567" w:hanging="244"/>
        <w:rPr>
          <w:rFonts w:ascii="標楷體" w:eastAsia="標楷體" w:hAnsi="標楷體"/>
          <w:color w:val="000000"/>
        </w:rPr>
      </w:pPr>
      <w:r>
        <w:rPr>
          <w:rFonts w:ascii="標楷體" w:eastAsia="標楷體" w:hAnsi="標楷體"/>
          <w:color w:val="000000"/>
        </w:rPr>
        <w:t>9.11.Uracil-Tegafur：(如Ufur)(100/1/1)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1.限轉移性胃癌、轉移性直腸癌、轉移性結腸癌、轉移性乳癌之病患使用（89/10/1、97/12/1）。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2.頭頸部鱗狀上皮癌(93/4/1、98/3/1、99/10/1)。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3.與cisplatin併用治療轉移及末期肺癌。</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4.直腸癌、結腸癌第Ⅱ、Ⅲ期患者之術後輔助性治療，且使用期限不得超過2年(94/10/1、97/12/1)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5.用於病理分期為T2且腫瘤≧3cm之肺腺癌病人，作為手術後輔助治療，使用期限以二年為限。(100/1/1)</w:t>
      </w:r>
    </w:p>
    <w:p w:rsidR="00B96EA0" w:rsidRDefault="007D66B8" w:rsidP="005142EB">
      <w:pPr>
        <w:spacing w:line="400" w:lineRule="exact"/>
        <w:ind w:left="567" w:hanging="245"/>
        <w:rPr>
          <w:rFonts w:ascii="標楷體" w:eastAsia="標楷體" w:hAnsi="標楷體"/>
          <w:color w:val="000000"/>
        </w:rPr>
      </w:pPr>
      <w:bookmarkStart w:id="4" w:name="_Hlk77950822"/>
      <w:bookmarkStart w:id="5" w:name="_Hlk70079694"/>
      <w:r>
        <w:rPr>
          <w:rFonts w:ascii="標楷體" w:eastAsia="標楷體" w:hAnsi="標楷體"/>
          <w:color w:val="000000"/>
        </w:rPr>
        <w:t>9.12.Irinotecan(90/10/1、107/8/1、110/5/1、110/7/1、110/8/1、112/2/1</w:t>
      </w:r>
      <w:r w:rsidR="00290448">
        <w:rPr>
          <w:rFonts w:ascii="標楷體" w:eastAsia="標楷體" w:hAnsi="標楷體" w:hint="eastAsia"/>
          <w:color w:val="000000"/>
        </w:rPr>
        <w:t>、114/12/1</w:t>
      </w:r>
      <w:r>
        <w:rPr>
          <w:rFonts w:ascii="標楷體" w:eastAsia="標楷體" w:hAnsi="標楷體"/>
          <w:color w:val="000000"/>
        </w:rPr>
        <w:t>)</w:t>
      </w:r>
    </w:p>
    <w:p w:rsidR="00B96EA0" w:rsidRDefault="007D66B8" w:rsidP="005142EB">
      <w:pPr>
        <w:spacing w:line="400" w:lineRule="exact"/>
        <w:ind w:left="567" w:hanging="245"/>
      </w:pPr>
      <w:r>
        <w:rPr>
          <w:rFonts w:ascii="標楷體" w:eastAsia="標楷體" w:hAnsi="標楷體"/>
          <w:color w:val="000000"/>
        </w:rPr>
        <w:t>9.12.1.Irinotecan(如Campto injection)：（需符合藥品許可證登載之適應症）(90/10/1、93/8/1、110/5/1、110/7/1、110/8/1、112/2/1)</w:t>
      </w:r>
    </w:p>
    <w:p w:rsidR="00B96EA0" w:rsidRDefault="007D66B8" w:rsidP="005142EB">
      <w:pPr>
        <w:spacing w:line="400" w:lineRule="exact"/>
        <w:ind w:left="238" w:hanging="245"/>
        <w:rPr>
          <w:rFonts w:ascii="標楷體" w:eastAsia="標楷體" w:hAnsi="標楷體"/>
          <w:color w:val="000000"/>
        </w:rPr>
      </w:pPr>
      <w:r>
        <w:rPr>
          <w:rFonts w:ascii="標楷體" w:eastAsia="標楷體" w:hAnsi="標楷體"/>
          <w:color w:val="000000"/>
        </w:rPr>
        <w:t>     1.限轉移性大腸直腸癌之第一線治療藥物:</w:t>
      </w:r>
    </w:p>
    <w:p w:rsidR="00B96EA0" w:rsidRDefault="007D66B8" w:rsidP="005142EB">
      <w:pPr>
        <w:spacing w:line="400" w:lineRule="exact"/>
        <w:ind w:left="851" w:hanging="245"/>
      </w:pPr>
      <w:r>
        <w:rPr>
          <w:rFonts w:ascii="標楷體" w:eastAsia="標楷體" w:hAnsi="標楷體"/>
          <w:color w:val="000000"/>
        </w:rPr>
        <w:t>(1)與5-FU及</w:t>
      </w:r>
      <w:r>
        <w:rPr>
          <w:rFonts w:ascii="標楷體" w:eastAsia="標楷體" w:hAnsi="標楷體"/>
        </w:rPr>
        <w:t>folinic acid合併，使</w:t>
      </w:r>
      <w:r>
        <w:rPr>
          <w:rFonts w:ascii="標楷體" w:eastAsia="標楷體" w:hAnsi="標楷體"/>
          <w:color w:val="000000"/>
        </w:rPr>
        <w:t>用於未曾接受過化學治療之患者。</w:t>
      </w:r>
    </w:p>
    <w:p w:rsidR="00B96EA0" w:rsidRDefault="007D66B8" w:rsidP="005142EB">
      <w:pPr>
        <w:spacing w:line="400" w:lineRule="exact"/>
        <w:ind w:left="851" w:hanging="245"/>
        <w:rPr>
          <w:rFonts w:ascii="標楷體" w:eastAsia="標楷體" w:hAnsi="標楷體"/>
          <w:color w:val="000000"/>
        </w:rPr>
      </w:pPr>
      <w:r>
        <w:rPr>
          <w:rFonts w:ascii="標楷體" w:eastAsia="標楷體" w:hAnsi="標楷體"/>
          <w:color w:val="000000"/>
        </w:rPr>
        <w:t>(2)單獨使用於曾接受5-FU療程治療無效之患者。</w:t>
      </w:r>
    </w:p>
    <w:p w:rsidR="00B96EA0" w:rsidRDefault="007D66B8" w:rsidP="005142EB">
      <w:pPr>
        <w:spacing w:line="400" w:lineRule="exact"/>
        <w:ind w:left="812" w:hanging="245"/>
        <w:rPr>
          <w:rFonts w:ascii="標楷體" w:eastAsia="標楷體" w:hAnsi="標楷體"/>
          <w:color w:val="000000"/>
        </w:rPr>
      </w:pPr>
      <w:r>
        <w:rPr>
          <w:rFonts w:ascii="標楷體" w:eastAsia="標楷體" w:hAnsi="標楷體"/>
          <w:color w:val="000000"/>
        </w:rPr>
        <w:t>2.與5-fluorouracil、leucovorin及oxaliplatin併用(FOLFIRINOX)，做為轉移性胰臟癌之第一線治療(限用Irino、Irinotel、Campto、Irinotecan Injection Concentrate、Irican、Innocan、Irinotecan Injection)。(110/5/1、110/7/1、110/8/1、112/2/1)</w:t>
      </w:r>
    </w:p>
    <w:p w:rsidR="00270EF3" w:rsidRDefault="007D66B8" w:rsidP="00270EF3">
      <w:pPr>
        <w:spacing w:line="400" w:lineRule="exact"/>
        <w:ind w:left="567" w:hanging="244"/>
        <w:rPr>
          <w:rFonts w:ascii="標楷體" w:eastAsia="標楷體" w:hAnsi="標楷體"/>
          <w:color w:val="000000"/>
        </w:rPr>
      </w:pPr>
      <w:r>
        <w:rPr>
          <w:rFonts w:ascii="標楷體" w:eastAsia="標楷體" w:hAnsi="標楷體"/>
          <w:color w:val="000000"/>
        </w:rPr>
        <w:t>9.12.2.</w:t>
      </w:r>
      <w:bookmarkEnd w:id="4"/>
      <w:r w:rsidR="00270EF3">
        <w:rPr>
          <w:rFonts w:ascii="標楷體" w:eastAsia="標楷體" w:hAnsi="標楷體"/>
          <w:color w:val="000000"/>
        </w:rPr>
        <w:t>Irinotecan微脂體注射劑(如Onivyde)：(107/8/1</w:t>
      </w:r>
      <w:r w:rsidR="00270EF3">
        <w:rPr>
          <w:rFonts w:ascii="標楷體" w:eastAsia="標楷體" w:hAnsi="標楷體" w:hint="eastAsia"/>
          <w:color w:val="000000"/>
        </w:rPr>
        <w:t>、114/12/1</w:t>
      </w:r>
      <w:r w:rsidR="00270EF3">
        <w:rPr>
          <w:rFonts w:ascii="標楷體" w:eastAsia="標楷體" w:hAnsi="標楷體"/>
          <w:color w:val="000000"/>
        </w:rPr>
        <w:t>)</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color w:val="000000"/>
        </w:rPr>
        <w:t>1.與5-FU及leucovorin合併使用於曾接受過gemcitabine治療後復發或惡化之轉移性胰腺癌。</w:t>
      </w:r>
      <w:r w:rsidR="00290448">
        <w:rPr>
          <w:rFonts w:ascii="標楷體" w:eastAsia="標楷體" w:hAnsi="標楷體"/>
          <w:color w:val="000000"/>
        </w:rPr>
        <w:t>(107/8/1)</w:t>
      </w:r>
    </w:p>
    <w:p w:rsidR="00270EF3" w:rsidRDefault="00270EF3" w:rsidP="00270EF3">
      <w:pPr>
        <w:spacing w:line="400" w:lineRule="exact"/>
        <w:ind w:left="851" w:hanging="244"/>
        <w:rPr>
          <w:rFonts w:ascii="標楷體" w:eastAsia="標楷體" w:hAnsi="標楷體"/>
          <w:color w:val="000000"/>
        </w:rPr>
      </w:pPr>
      <w:r>
        <w:rPr>
          <w:rFonts w:ascii="標楷體" w:eastAsia="標楷體" w:hAnsi="標楷體" w:hint="eastAsia"/>
          <w:color w:val="000000"/>
        </w:rPr>
        <w:t>2.與o</w:t>
      </w:r>
      <w:r>
        <w:rPr>
          <w:rFonts w:ascii="標楷體" w:eastAsia="標楷體" w:hAnsi="標楷體"/>
          <w:color w:val="000000"/>
        </w:rPr>
        <w:t>xaliplatin</w:t>
      </w:r>
      <w:r>
        <w:rPr>
          <w:rFonts w:ascii="標楷體" w:eastAsia="標楷體" w:hAnsi="標楷體" w:hint="eastAsia"/>
          <w:color w:val="000000"/>
        </w:rPr>
        <w:t>、5</w:t>
      </w:r>
      <w:r>
        <w:rPr>
          <w:rFonts w:ascii="標楷體" w:eastAsia="標楷體" w:hAnsi="標楷體"/>
          <w:color w:val="000000"/>
        </w:rPr>
        <w:t>-FU</w:t>
      </w:r>
      <w:r>
        <w:rPr>
          <w:rFonts w:ascii="標楷體" w:eastAsia="標楷體" w:hAnsi="標楷體" w:hint="eastAsia"/>
          <w:color w:val="000000"/>
        </w:rPr>
        <w:t>和l</w:t>
      </w:r>
      <w:r>
        <w:rPr>
          <w:rFonts w:ascii="標楷體" w:eastAsia="標楷體" w:hAnsi="標楷體"/>
          <w:color w:val="000000"/>
        </w:rPr>
        <w:t>eucovorin</w:t>
      </w:r>
      <w:r>
        <w:rPr>
          <w:rFonts w:ascii="標楷體" w:eastAsia="標楷體" w:hAnsi="標楷體" w:hint="eastAsia"/>
          <w:color w:val="000000"/>
        </w:rPr>
        <w:t>併用，作為轉移性胰腺癌成人病人第一線治療。</w:t>
      </w:r>
      <w:r w:rsidR="00290448">
        <w:rPr>
          <w:rFonts w:ascii="標楷體" w:eastAsia="標楷體" w:hAnsi="標楷體"/>
          <w:color w:val="000000"/>
        </w:rPr>
        <w:t>(</w:t>
      </w:r>
      <w:r w:rsidR="00290448">
        <w:rPr>
          <w:rFonts w:ascii="標楷體" w:eastAsia="標楷體" w:hAnsi="標楷體" w:hint="eastAsia"/>
          <w:color w:val="000000"/>
        </w:rPr>
        <w:t>114/12/1</w:t>
      </w:r>
      <w:r w:rsidR="00290448">
        <w:rPr>
          <w:rFonts w:ascii="標楷體" w:eastAsia="標楷體" w:hAnsi="標楷體"/>
          <w:color w:val="000000"/>
        </w:rPr>
        <w:t>)</w:t>
      </w:r>
    </w:p>
    <w:p w:rsidR="00B96EA0" w:rsidRDefault="00270EF3" w:rsidP="00C26383">
      <w:pPr>
        <w:spacing w:line="400" w:lineRule="exact"/>
        <w:ind w:left="851" w:hanging="245"/>
        <w:rPr>
          <w:rFonts w:ascii="標楷體" w:eastAsia="標楷體" w:hAnsi="標楷體"/>
          <w:color w:val="000000"/>
        </w:rPr>
      </w:pPr>
      <w:r>
        <w:rPr>
          <w:rFonts w:ascii="標楷體" w:eastAsia="標楷體" w:hAnsi="標楷體" w:hint="eastAsia"/>
          <w:color w:val="000000"/>
        </w:rPr>
        <w:t>3</w:t>
      </w:r>
      <w:r>
        <w:rPr>
          <w:rFonts w:ascii="標楷體" w:eastAsia="標楷體" w:hAnsi="標楷體"/>
          <w:color w:val="000000"/>
        </w:rPr>
        <w:t>.需經事前審查核准後使用。</w:t>
      </w:r>
    </w:p>
    <w:bookmarkEnd w:id="5"/>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9.13.Aldesleukin(如Proleukin for Injection)：(90/10/1、93/8/1)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限轉移性腎細胞癌及惡性黑色素癌病患使用。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9.14.Doxorubicin hydrochloride liposome injection(如Lipo-Dox、Caelyx)：(91/3/1、93/8/1、93/11/1、99/10/1)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限用於下列適應症:(99/10/1)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1.用於治療曾接受第一線含platinum及paclitaxel化學治療而失敗者或再復發之進行性或轉移性卵巢癌病人。(91/3/1)</w:t>
      </w:r>
    </w:p>
    <w:p w:rsidR="00B96EA0" w:rsidRDefault="007D66B8" w:rsidP="005142EB">
      <w:pPr>
        <w:spacing w:line="400" w:lineRule="exact"/>
        <w:ind w:left="811" w:hanging="245"/>
      </w:pPr>
      <w:r>
        <w:rPr>
          <w:rFonts w:ascii="標楷體" w:eastAsia="標楷體" w:hAnsi="標楷體"/>
          <w:color w:val="000000"/>
        </w:rPr>
        <w:t>2.用於治療CD4數量低下（&lt;200 CD4 lymphocyte/mm</w:t>
      </w:r>
      <w:r>
        <w:rPr>
          <w:rFonts w:ascii="標楷體" w:eastAsia="標楷體" w:hAnsi="標楷體"/>
          <w:color w:val="000000"/>
          <w:vertAlign w:val="superscript"/>
        </w:rPr>
        <w:t>3</w:t>
      </w:r>
      <w:r>
        <w:rPr>
          <w:rFonts w:ascii="標楷體" w:eastAsia="標楷體" w:hAnsi="標楷體"/>
          <w:color w:val="000000"/>
        </w:rPr>
        <w:t>）和粘膜、皮膚或內臟有病變的AIDS related Kaposi’s Sarcoma的病人。(91/3/1)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3.用於單一治療有心臟疾病風險考量之轉移性乳癌患者。(93/11/1)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9.15.Tretinoin（如Vesanoid Soft Gelatin）：（88/10/1）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限急性前髓性白血病使用。</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9.16.Topotecan（如Hycamtin）：（88/10/1、93/8/1、98/11/1、100/6/1）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9.16.1.Topotecan注射劑（88/10/1、93/8/1、98/11/1）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1.限卵巢癌及小細胞肺癌之第二線化學治療（第一線治療應包括白金化合物）。</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2.與cisplatin併用適用於治療經組織學檢查確定患有第IV-B期復發性或持續性子宮頸癌，且不適合以外科手術及（或）放射療法進行治療的患者。（98/11/1）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9.16.2.Topotecan口服劑型（100/6/1）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限用於小細胞肺癌之第二線化學治療（第一線治療應包括白金化合物）。</w:t>
      </w:r>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9.17.Capecitabine（如Xeloda）：（88/10/1、91/4/1、92/6/1、93/8/1、96/9/1、97/12/1、110/2/1、113/4/1、113/6/1）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1.Capecitabine與docetaxel併用於治療對anthracycline化學治療無效之局部晚期或轉移性乳癌病患。</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2.用於局部晚期或轉移性乳癌，需符合下列條件之一：(110/2/1)</w:t>
      </w:r>
    </w:p>
    <w:p w:rsidR="00B96EA0" w:rsidRDefault="007D66B8" w:rsidP="005142EB">
      <w:pPr>
        <w:spacing w:line="400" w:lineRule="exact"/>
        <w:ind w:left="993" w:hanging="343"/>
        <w:rPr>
          <w:rFonts w:ascii="標楷體" w:eastAsia="標楷體" w:hAnsi="標楷體"/>
          <w:color w:val="000000"/>
        </w:rPr>
      </w:pPr>
      <w:r>
        <w:rPr>
          <w:rFonts w:ascii="標楷體" w:eastAsia="標楷體" w:hAnsi="標楷體"/>
          <w:color w:val="000000"/>
        </w:rPr>
        <w:t>(1)Capecitabine單獨用於無法接受anthracycline治療者。</w:t>
      </w:r>
    </w:p>
    <w:p w:rsidR="00B96EA0" w:rsidRDefault="007D66B8" w:rsidP="005142EB">
      <w:pPr>
        <w:spacing w:line="400" w:lineRule="exact"/>
        <w:ind w:left="993" w:hanging="343"/>
        <w:rPr>
          <w:rFonts w:ascii="標楷體" w:eastAsia="標楷體" w:hAnsi="標楷體"/>
          <w:color w:val="000000"/>
        </w:rPr>
      </w:pPr>
      <w:r>
        <w:rPr>
          <w:rFonts w:ascii="標楷體" w:eastAsia="標楷體" w:hAnsi="標楷體"/>
          <w:color w:val="000000"/>
        </w:rPr>
        <w:t>(2)Capecitabine合併ixabepilone用於對taxane有抗藥性且無法接受anthracycline治療者。</w:t>
      </w:r>
    </w:p>
    <w:p w:rsidR="00B96EA0" w:rsidRDefault="007D66B8" w:rsidP="005142EB">
      <w:pPr>
        <w:spacing w:line="400" w:lineRule="exact"/>
        <w:ind w:left="993" w:hanging="343"/>
        <w:rPr>
          <w:rFonts w:ascii="標楷體" w:eastAsia="標楷體" w:hAnsi="標楷體"/>
          <w:color w:val="000000"/>
        </w:rPr>
      </w:pPr>
      <w:r>
        <w:rPr>
          <w:rFonts w:ascii="標楷體" w:eastAsia="標楷體" w:hAnsi="標楷體"/>
          <w:color w:val="000000"/>
        </w:rPr>
        <w:t>(3)Capecitabine單獨或合併ixabepilone用於對taxane及anthracycline治療無效者。</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3.治療轉移性結腸直腸癌的第一線用藥。(92/6/1)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4.第三期結腸癌患者手術後的輔助性療法，以八個療程為限。（96/9/1）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5.Capecitabine合併platinum可使用於晚期胃癌之第一線治療。(97/12/1)</w:t>
      </w:r>
    </w:p>
    <w:p w:rsidR="00B96EA0" w:rsidRDefault="007D66B8" w:rsidP="005142EB">
      <w:pPr>
        <w:spacing w:line="400" w:lineRule="exact"/>
        <w:ind w:left="811" w:hanging="245"/>
      </w:pPr>
      <w:r>
        <w:rPr>
          <w:rFonts w:ascii="標楷體" w:eastAsia="標楷體" w:hAnsi="標楷體" w:cs="標楷體.鬁..."/>
          <w:color w:val="000000"/>
          <w:kern w:val="0"/>
          <w:szCs w:val="24"/>
        </w:rPr>
        <w:t>6.與</w:t>
      </w:r>
      <w:r>
        <w:rPr>
          <w:rFonts w:ascii="標楷體" w:eastAsia="標楷體" w:hAnsi="標楷體" w:cs="標楷體.鬁..."/>
          <w:kern w:val="0"/>
          <w:szCs w:val="24"/>
        </w:rPr>
        <w:t>nivolumab 120mg規格量品項</w:t>
      </w:r>
      <w:r>
        <w:rPr>
          <w:rFonts w:ascii="標楷體" w:eastAsia="標楷體" w:hAnsi="標楷體" w:cs="標楷體.鬁..."/>
          <w:color w:val="000000"/>
          <w:kern w:val="0"/>
          <w:szCs w:val="24"/>
        </w:rPr>
        <w:t>及oxaliplatin</w:t>
      </w:r>
      <w:r>
        <w:rPr>
          <w:rFonts w:ascii="標楷體" w:eastAsia="標楷體" w:hAnsi="標楷體" w:cs="標楷體.鬁..."/>
          <w:kern w:val="0"/>
          <w:szCs w:val="24"/>
        </w:rPr>
        <w:t>併用於第一線治療晚期或轉移性且不具有HER2過度表現的胃癌病人</w:t>
      </w:r>
      <w:r>
        <w:rPr>
          <w:rFonts w:ascii="標楷體" w:eastAsia="標楷體" w:hAnsi="標楷體" w:cs="標楷體.鬁..."/>
          <w:color w:val="000000"/>
          <w:kern w:val="0"/>
          <w:szCs w:val="24"/>
        </w:rPr>
        <w:t>，病人需符合免疫檢查點抑制劑之藥品給付規定。(113/4/1、113/6/1)</w:t>
      </w:r>
    </w:p>
    <w:p w:rsidR="00926D01" w:rsidRDefault="007D66B8" w:rsidP="00926D01">
      <w:pPr>
        <w:spacing w:line="400" w:lineRule="exact"/>
        <w:ind w:left="672" w:hanging="386"/>
        <w:rPr>
          <w:rFonts w:ascii="標楷體" w:eastAsia="標楷體" w:hAnsi="標楷體"/>
          <w:color w:val="000000"/>
        </w:rPr>
      </w:pPr>
      <w:r>
        <w:rPr>
          <w:rFonts w:ascii="標楷體" w:eastAsia="標楷體" w:hAnsi="標楷體"/>
          <w:color w:val="000000"/>
        </w:rPr>
        <w:t>9.18.</w:t>
      </w:r>
      <w:r w:rsidR="00926D01" w:rsidRPr="00926D01">
        <w:rPr>
          <w:rFonts w:ascii="標楷體" w:eastAsia="標楷體" w:hAnsi="標楷體"/>
          <w:color w:val="000000"/>
        </w:rPr>
        <w:t xml:space="preserve"> </w:t>
      </w:r>
      <w:r w:rsidR="00926D01">
        <w:rPr>
          <w:rFonts w:ascii="標楷體" w:eastAsia="標楷體" w:hAnsi="標楷體"/>
          <w:color w:val="000000"/>
        </w:rPr>
        <w:t>Trastuzumab (如Herceptin)：(91/4/1、93/8/1、95/2/1、99/1/1、99/8/1、99/10/1、101/1/1、105/11/1、108/5/1、109/2/1、111/12/1、112/10/1、113/8/1、113/12/1、114/1/1、114/5/1</w:t>
      </w:r>
      <w:r w:rsidR="00926D01" w:rsidRPr="00EF2A43">
        <w:rPr>
          <w:rFonts w:ascii="標楷體" w:eastAsia="標楷體" w:hAnsi="標楷體"/>
          <w:color w:val="000000"/>
        </w:rPr>
        <w:t>、114/12/1</w:t>
      </w:r>
      <w:r w:rsidR="00926D01">
        <w:rPr>
          <w:rFonts w:ascii="標楷體" w:eastAsia="標楷體" w:hAnsi="標楷體"/>
          <w:color w:val="000000"/>
        </w:rPr>
        <w:t>)</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1.早期乳癌(99/1/1、99/8/1、99/10/1、101/1/1、111/12/1、112/10/1、113/8/1、113/12/1、114/1/1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外科手術前後、化學療法(術前輔助治療或輔助治療)治療後，具HER2過度表現(IHC3+或FISH+)，且具腋下淋巴結轉移但無遠處臟器轉移之早期乳癌患者，作為輔助性治療用藥：(99/8/1、99/10/1、101/1/1、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I.外科手術後達病理上緩解(pCR)，下列i.~iii.使用於外科手術前後之總療程合併計算，依藥品仿單記載以18個療程為上限：(113/8/1、113/12/1、114/1/1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i.本藥品</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ii.pertuzumab與trastuzumab併用</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iii.pertuzumab與trastuzumab皮下注射複方製劑(如Phesgo)</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Ⅱ.若外科手術後無法達病理上緩解(non-pCR)，本藥品與trastuzumab emtansine</w:t>
      </w:r>
      <w:r>
        <w:rPr>
          <w:rFonts w:ascii="標楷體" w:eastAsia="標楷體" w:hAnsi="標楷體"/>
          <w:color w:val="000000"/>
        </w:rPr>
        <w:lastRenderedPageBreak/>
        <w:t>使用於外科手術前後的總療程合併計算，依藥品仿單記載以全部18個療程為上限，其中trastuzumab emtansine以14個療程為上限。(113/8/1、113/12/1)</w:t>
      </w:r>
    </w:p>
    <w:p w:rsidR="00926D01" w:rsidRPr="00EF2A43"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(2)外科手術前後、化學療法(術前輔助治療或輔助治療)治療後，符合下列所有條件之早期乳癌患者：(111/12/1、112/10/1、113/8/1、113/12/1、114/1/1</w:t>
      </w:r>
      <w:r w:rsidRPr="00EF2A43">
        <w:rPr>
          <w:rFonts w:ascii="標楷體" w:eastAsia="標楷體" w:hAnsi="標楷體"/>
          <w:color w:val="000000"/>
        </w:rPr>
        <w:t>、114/12/1</w:t>
      </w:r>
      <w:r>
        <w:rPr>
          <w:rFonts w:ascii="標楷體" w:eastAsia="標楷體" w:hAnsi="標楷體"/>
          <w:color w:val="000000"/>
        </w:rPr>
        <w:t>)</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Ⅰ.HER2過度表現(IHC 3+或FISH+)。</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Ⅱ.雌激素受體（ER)為陰性。</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Ⅲ.腫瘤大於2公分。須經乳房超音波或乳房X光攝影或核磁共振診斷。</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Ⅳ.且未發生腋下淋巴結轉移之早期乳癌患者，作為輔助性治療用藥。</w:t>
      </w:r>
    </w:p>
    <w:p w:rsidR="00926D01" w:rsidRDefault="00926D01" w:rsidP="00926D01">
      <w:pPr>
        <w:spacing w:line="400" w:lineRule="exact"/>
        <w:ind w:left="1191" w:hanging="340"/>
        <w:rPr>
          <w:rFonts w:ascii="標楷體" w:eastAsia="標楷體" w:hAnsi="標楷體"/>
          <w:color w:val="000000"/>
        </w:rPr>
      </w:pPr>
      <w:r>
        <w:rPr>
          <w:rFonts w:ascii="標楷體" w:eastAsia="標楷體" w:hAnsi="標楷體"/>
          <w:color w:val="000000"/>
        </w:rPr>
        <w:t>Ⅴ.依下列條件之一使用(113/8/1)：</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i.外科手術後達病理上緩解(pCR)，本藥品使用於外科手術前後以9個療程為上限。</w:t>
      </w:r>
    </w:p>
    <w:p w:rsidR="00926D01" w:rsidRDefault="00926D01" w:rsidP="00926D01">
      <w:pPr>
        <w:spacing w:line="400" w:lineRule="exact"/>
        <w:ind w:left="1441" w:hanging="420"/>
        <w:rPr>
          <w:rFonts w:ascii="標楷體" w:eastAsia="標楷體" w:hAnsi="標楷體"/>
          <w:color w:val="000000"/>
        </w:rPr>
      </w:pPr>
      <w:r>
        <w:rPr>
          <w:rFonts w:ascii="標楷體" w:eastAsia="標楷體" w:hAnsi="標楷體"/>
          <w:color w:val="000000"/>
        </w:rPr>
        <w:t>ii.若外科手術後無法達病理上緩解(non-pCR)，本藥品與trastuzumab emtansine使用於外科手術前後的總療程合併計算，以全部18個療程為上限，其中trastuzumab emtansine以14個療程為上限。</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2.轉移性乳癌</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(1)單獨使用於治療腫瘤細胞上有HER2過度表現(IHC3+或FISH+)，曾接受過一次以上化學治療之轉移性乳癌病人。(91/4/1、99/1/1)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(2)與paclitaxel或docetaxel併用，使用於未曾接受過化學治療之轉移性乳癌病患，且為HER2過度表現(IHC3+或FISH+)者。(93/8/1、95/2/1、99/1/1)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(3)轉移性乳癌且HER2過度表現之病人，僅限先前未使用過本藥品者方可使用。(99/1/1、108/5/1、113/12/1)</w:t>
      </w:r>
    </w:p>
    <w:p w:rsidR="00926D01" w:rsidRDefault="00926D01" w:rsidP="00926D01">
      <w:pPr>
        <w:spacing w:line="400" w:lineRule="exact"/>
        <w:ind w:left="1049" w:hanging="341"/>
        <w:rPr>
          <w:rFonts w:ascii="標楷體" w:eastAsia="標楷體" w:hAnsi="標楷體"/>
          <w:color w:val="000000"/>
        </w:rPr>
      </w:pPr>
      <w:r>
        <w:rPr>
          <w:rFonts w:ascii="標楷體" w:eastAsia="標楷體" w:hAnsi="標楷體"/>
          <w:color w:val="000000"/>
        </w:rPr>
        <w:t>(4)若先前使用過docetaxel及pertuzumab與trastuzumab併用或docetaxel及pertuzumab與trastuzumab皮下注射複方製劑(如Phesgo)併用達18個月上限仍未惡化者，得再次申請本藥品。(108/5/1、113/12/1)</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3.轉移性胃癌(限IV 劑型)</w:t>
      </w:r>
    </w:p>
    <w:p w:rsidR="00926D01" w:rsidRDefault="00926D01" w:rsidP="00926D01">
      <w:pPr>
        <w:spacing w:line="400" w:lineRule="exact"/>
        <w:ind w:left="811" w:hanging="245"/>
        <w:rPr>
          <w:rFonts w:ascii="標楷體" w:eastAsia="標楷體" w:hAnsi="標楷體"/>
          <w:color w:val="000000"/>
        </w:rPr>
      </w:pPr>
      <w:r>
        <w:rPr>
          <w:rFonts w:ascii="標楷體" w:eastAsia="標楷體" w:hAnsi="標楷體"/>
          <w:color w:val="000000"/>
        </w:rPr>
        <w:t>  Trastuzumab合併capecitabine (或5-fluorouracil)及cisplatin適用於未曾接受過化學治療之HER2過度表現(IHC3+或FISH+)轉移性胃腺癌(或胃食道接合處腺癌)的治療。(109/2/1)</w:t>
      </w:r>
    </w:p>
    <w:p w:rsidR="00B96EA0" w:rsidRDefault="00926D01" w:rsidP="00926D01">
      <w:pPr>
        <w:spacing w:line="400" w:lineRule="exact"/>
        <w:ind w:left="993" w:hanging="386"/>
        <w:rPr>
          <w:rFonts w:ascii="標楷體" w:eastAsia="標楷體" w:hAnsi="標楷體"/>
          <w:color w:val="000000"/>
        </w:rPr>
      </w:pPr>
      <w:r>
        <w:rPr>
          <w:rFonts w:ascii="標楷體" w:eastAsia="標楷體" w:hAnsi="標楷體"/>
          <w:color w:val="000000"/>
        </w:rPr>
        <w:t>4.經事前審查核准後使用，核准後早期乳癌</w:t>
      </w:r>
      <w:r w:rsidR="002A2E0D" w:rsidRPr="002A2E0D">
        <w:rPr>
          <w:rFonts w:ascii="標楷體" w:eastAsia="標楷體" w:hAnsi="標楷體" w:hint="eastAsia"/>
          <w:color w:val="000000"/>
        </w:rPr>
        <w:t>及轉移性胃癌</w:t>
      </w:r>
      <w:r>
        <w:rPr>
          <w:rFonts w:ascii="標楷體" w:eastAsia="標楷體" w:hAnsi="標楷體"/>
          <w:color w:val="000000"/>
        </w:rPr>
        <w:t>每24週、晚期乳癌每18週須檢附療效評估資料再次申請，若疾病有惡化情形即不應再行申請。（105/11/1、114/5/1）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9.19.Estramustine sod. phosphate monohydrate(如Estracyt)：(91/4/1)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限晚期前列腺癌病患且符合下列條件之一者使用：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1.經荷爾蒙治療無效。</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2.經診斷對單獨使用荷爾蒙治療，具有預後療效不佳因素的初次治療病患。</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lastRenderedPageBreak/>
        <w:t>9.20.Rituximab注射劑(如Mabthera，不同劑型之適用範圍需符合藥品許可證登載之適應症)：用於抗癌瘤部分(91/4/1、93/1/1、95/3/1、97/2/1、102/1/1、103/2/1、103/9/1、104/6/1、106/9/1、111/6/1、113/2/1、113/12/1)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1.復發或對化學療效有抗性之低惡度B細胞非何杰金氏淋巴瘤。（91/4/1）</w:t>
      </w:r>
    </w:p>
    <w:p w:rsidR="00B96EA0" w:rsidRDefault="007D66B8" w:rsidP="005142EB">
      <w:pPr>
        <w:spacing w:line="400" w:lineRule="exact"/>
        <w:ind w:left="991" w:hanging="386"/>
      </w:pPr>
      <w:r>
        <w:rPr>
          <w:rFonts w:ascii="標楷體" w:eastAsia="標楷體" w:hAnsi="標楷體"/>
          <w:color w:val="000000"/>
        </w:rPr>
        <w:t>2.併用</w:t>
      </w:r>
      <w:r>
        <w:rPr>
          <w:rFonts w:ascii="標楷體" w:eastAsia="標楷體" w:hAnsi="標楷體"/>
          <w:szCs w:val="24"/>
        </w:rPr>
        <w:t>polatuzumab vedotin或</w:t>
      </w:r>
      <w:r>
        <w:rPr>
          <w:rFonts w:ascii="標楷體" w:eastAsia="標楷體" w:hAnsi="標楷體"/>
          <w:color w:val="000000"/>
        </w:rPr>
        <w:t>CHOP或其他化學療法，用於CD20抗原陽性之B瀰漫性大細胞非何杰金氏淋巴瘤之病患。(93/1/1、95/3/1、113/2/1)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3.併用CVP化學療法，用於未經治療之和緩性（組織型態為濾泡型）B細胞非何杰金氏淋巴瘤的病人。(95/3/1)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4.作為濾泡性淋巴瘤患者於接受含rituximab誘導化學治療後產生反應(達partial remission或complete remission)之病患，若在接受含rituximab誘導化學治療前有下列情形之一者，得接受rituximab維持治療，限用八劑，每三個月使用一劑，最多不超過二年。(97/2/1、104/6/1)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(1)有單一腫瘤直徑超過7公分者；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(2)有超過三顆腫瘤直徑超過3公分者；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(3)脾臟腫大，其長度超過16公分者；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(4)對vitalorgans造成擠壓者；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(5)周邊血中出現淋巴球增生超過5000/mm3者；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(6)出現任一系列血球低下者(platelet&lt;100,000/mm3，或Hb&lt;10gm/dL，或absolute neutrophil count&lt;1500/mm3)。</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5.慢性淋巴球性白血病：(103/2/1、111/6/1)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(1)Rai Stage Ⅲ/Ⅳ(或Binet C級)之CLL病人。若用於Rai StageⅠ/Ⅱ(或Binet A/B級)併有疾病相關免疫性症候(如自體免疫性溶血、免疫性血小板低下紫瘢症等)的病人時，需經過至少一種標準的烷化基劑治療無效或病情惡化者，且CD20陽性細胞須大於50%。（Rixathon不受「需經過一種標準的烷化基劑治療無效或病情惡化，且CD20陽性細胞須大於50%」限制，僅須符合具CD20陽性細胞即可使用，做為第一線用藥需與fludarabine及cyclophosphamide併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(2)與化學療法併用，做為復發或頑固性的CD20陽性慢性淋巴球性白血病病患的治療用藥，且CD20陽性細胞須大於50%。（Rixathon不受「CD20陽性細胞須大於50%」限制，僅須符合具CD20陽性細胞即可使用）(111/6/1)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(3)初次申請最多六個（月）療程，再次申請以三個療程為限。</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6.與類固醇併用，治療嗜中性白血球細胞質抗體(ANCA)陽性之肉芽腫性血管炎及顯微多發性血管炎病人：(103/9/1)</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(1)需經事前審查核准後使用，診斷需有病理報告確定及血清學檢驗結果。</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(2)初次發作之肉芽腫性血管炎及顯微多發性血管炎，經cyclophosphamide治療4週以上但療效不佳者。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 xml:space="preserve">(3)復發之肉芽腫性血管炎(GPA，或稱為韋格納肉芽腫症Wegener’s </w:t>
      </w:r>
      <w:r>
        <w:rPr>
          <w:rFonts w:ascii="標楷體" w:eastAsia="標楷體" w:hAnsi="標楷體"/>
          <w:color w:val="000000"/>
        </w:rPr>
        <w:lastRenderedPageBreak/>
        <w:t>granulomatosis)及顯微多發性血管炎(MPA)，先前曾接受過cyclophosphamide治療者。</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(4)對cyclophosphamide治療無法耐受且有具體事證，或具使用禁忌之肉芽腫性血管炎及顯微多發性血管炎。</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(5)每次申請，以治療4週之療程為限。復發時可再次申請。</w:t>
      </w:r>
    </w:p>
    <w:p w:rsidR="00B96EA0" w:rsidRDefault="007D66B8" w:rsidP="005142EB">
      <w:pPr>
        <w:spacing w:line="400" w:lineRule="exact"/>
        <w:ind w:left="1132" w:hanging="386"/>
        <w:rPr>
          <w:rFonts w:ascii="標楷體" w:eastAsia="標楷體" w:hAnsi="標楷體"/>
          <w:color w:val="000000"/>
        </w:rPr>
      </w:pPr>
      <w:r>
        <w:rPr>
          <w:rFonts w:ascii="標楷體" w:eastAsia="標楷體" w:hAnsi="標楷體"/>
          <w:color w:val="000000"/>
        </w:rPr>
        <w:t>註：原發(初次發作)之肉芽腫性血管炎及顯微多發性血管炎，經cyclophosphamide治療4週以上但療效不佳者之定義為：</w:t>
      </w:r>
    </w:p>
    <w:p w:rsidR="00B96EA0" w:rsidRDefault="007D66B8" w:rsidP="005142EB">
      <w:pPr>
        <w:spacing w:line="400" w:lineRule="exact"/>
        <w:ind w:left="1130" w:hanging="7"/>
        <w:rPr>
          <w:rFonts w:ascii="標楷體" w:eastAsia="標楷體" w:hAnsi="標楷體"/>
          <w:color w:val="000000"/>
        </w:rPr>
      </w:pPr>
      <w:r>
        <w:rPr>
          <w:rFonts w:ascii="標楷體" w:eastAsia="標楷體" w:hAnsi="標楷體"/>
          <w:color w:val="000000"/>
        </w:rPr>
        <w:t>經cyclophosphamide治療4週以上，但至少有一項受侵犯的主要器官症狀未能改善，包括:</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A肺部</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B腎臟</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C神經系統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D腸胃道系統</w:t>
      </w:r>
    </w:p>
    <w:p w:rsidR="00B96EA0" w:rsidRDefault="007D66B8" w:rsidP="005142EB">
      <w:pPr>
        <w:spacing w:line="400" w:lineRule="exact"/>
        <w:ind w:left="1188" w:hanging="14"/>
        <w:rPr>
          <w:rFonts w:ascii="標楷體" w:eastAsia="標楷體" w:hAnsi="標楷體"/>
          <w:color w:val="000000"/>
        </w:rPr>
      </w:pPr>
      <w:r>
        <w:rPr>
          <w:rFonts w:ascii="標楷體" w:eastAsia="標楷體" w:hAnsi="標楷體"/>
          <w:color w:val="000000"/>
        </w:rPr>
        <w:t>申請時需檢附病歷及病理及影像資料等，經專科醫師事前審查同意後使用。</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7.合併bendamustine適用於先前未曾接受治療的CD20陽性、第III/IV期和緩性非何杰金氏淋巴瘤。(113/12/1)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8.合併bendamustine用於先前未曾接受治療且不適合自體幹細胞移植的第III/IV期被套細胞淋巴瘤。(113/12/1)</w:t>
      </w:r>
    </w:p>
    <w:p w:rsidR="00B96EA0" w:rsidRDefault="007D66B8" w:rsidP="005142EB">
      <w:pPr>
        <w:spacing w:line="400" w:lineRule="exact"/>
        <w:ind w:left="991" w:hanging="386"/>
        <w:rPr>
          <w:rFonts w:ascii="標楷體" w:eastAsia="標楷體" w:hAnsi="標楷體"/>
          <w:color w:val="000000"/>
        </w:rPr>
      </w:pPr>
      <w:r>
        <w:rPr>
          <w:rFonts w:ascii="標楷體" w:eastAsia="標楷體" w:hAnsi="標楷體"/>
          <w:color w:val="000000"/>
        </w:rPr>
        <w:t>9.使用於1、4、5、6、7及8病人時，需經事前審查核准後使用。(102/1/1、103/2/1、103/9/1、113/12/1)</w:t>
      </w:r>
    </w:p>
    <w:p w:rsidR="00B96EA0" w:rsidRDefault="007D66B8" w:rsidP="005142EB">
      <w:pPr>
        <w:spacing w:line="400" w:lineRule="exact"/>
        <w:ind w:left="672" w:hanging="386"/>
      </w:pPr>
      <w:r>
        <w:rPr>
          <w:rFonts w:ascii="標楷體" w:eastAsia="標楷體" w:hAnsi="標楷體"/>
          <w:color w:val="000000"/>
        </w:rPr>
        <w:t>9.21.Fludarabine(如Fludara Oral, Film-Coated Tablet及Fludara Lyophilized IV Injection)：(92/12/1、93/3/1、94/10/1、99/10/1</w:t>
      </w:r>
      <w:r>
        <w:rPr>
          <w:rFonts w:ascii="新細明體" w:hAnsi="新細明體"/>
          <w:kern w:val="0"/>
          <w:szCs w:val="24"/>
        </w:rPr>
        <w:t>、</w:t>
      </w:r>
      <w:r>
        <w:rPr>
          <w:rFonts w:ascii="標楷體" w:eastAsia="標楷體" w:hAnsi="標楷體"/>
          <w:kern w:val="0"/>
          <w:szCs w:val="24"/>
        </w:rPr>
        <w:t>106/11/1</w:t>
      </w:r>
      <w:r>
        <w:rPr>
          <w:rFonts w:ascii="標楷體" w:eastAsia="標楷體" w:hAnsi="標楷體"/>
          <w:color w:val="000000"/>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1.用於B-細胞慢性淋巴性白血病（CLL）病患的起始治療及CLL與低惡性度B細胞非何杰金氏淋巴瘤(Indolent B-Cell NHL)病患，歷經至少一種標準內容的烷化基藥劑（alkylating agent）的治療方法都無效，或治療後雖有效但隨後疾病又繼續惡化的病人。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2.以本品作為第一線治療，限用於(94/10/1)。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(1)Rai Stage Ⅲ/IV(或Binet C級)之CLL病人。若用於Rai Stage I/II(或Binet A/B級)併有疾病相關免疫性症候(如自體免疫性溶血、免疫性血小板低下紫瘢症等)的病人時，需經過至少一種標準的烷化基劑治療無效或病情惡化者。</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rsidR="00B96EA0" w:rsidRDefault="007D66B8" w:rsidP="005142EB">
      <w:pPr>
        <w:spacing w:line="400" w:lineRule="exact"/>
        <w:ind w:left="672" w:hanging="386"/>
      </w:pPr>
      <w:r>
        <w:rPr>
          <w:rFonts w:ascii="標楷體" w:eastAsia="標楷體" w:hAnsi="標楷體"/>
          <w:color w:val="000000"/>
        </w:rPr>
        <w:t>9.22.Imatinib(如Glivec)：</w:t>
      </w:r>
      <w:r>
        <w:rPr>
          <w:rFonts w:ascii="標楷體" w:hAnsi="標楷體"/>
          <w:color w:val="000000"/>
        </w:rPr>
        <w:t>(91/5/1</w:t>
      </w:r>
      <w:r>
        <w:rPr>
          <w:rFonts w:ascii="標楷體" w:hAnsi="標楷體"/>
          <w:color w:val="000000"/>
        </w:rPr>
        <w:t>、</w:t>
      </w:r>
      <w:r>
        <w:rPr>
          <w:rFonts w:ascii="標楷體" w:hAnsi="標楷體"/>
          <w:color w:val="000000"/>
        </w:rPr>
        <w:t>93/7/1</w:t>
      </w:r>
      <w:r>
        <w:rPr>
          <w:rFonts w:ascii="標楷體" w:hAnsi="標楷體"/>
          <w:color w:val="000000"/>
        </w:rPr>
        <w:t>、</w:t>
      </w:r>
      <w:r>
        <w:rPr>
          <w:rFonts w:ascii="標楷體" w:hAnsi="標楷體"/>
          <w:color w:val="000000"/>
        </w:rPr>
        <w:t>97/8/1</w:t>
      </w:r>
      <w:r>
        <w:rPr>
          <w:rFonts w:ascii="標楷體" w:hAnsi="標楷體"/>
          <w:color w:val="000000"/>
        </w:rPr>
        <w:t>、</w:t>
      </w:r>
      <w:r>
        <w:rPr>
          <w:rFonts w:ascii="標楷體" w:hAnsi="標楷體"/>
          <w:color w:val="000000"/>
        </w:rPr>
        <w:t>99/6/1</w:t>
      </w:r>
      <w:r>
        <w:rPr>
          <w:rFonts w:ascii="標楷體" w:hAnsi="標楷體"/>
          <w:color w:val="000000"/>
        </w:rPr>
        <w:t>、</w:t>
      </w:r>
      <w:r>
        <w:rPr>
          <w:rFonts w:ascii="標楷體" w:hAnsi="標楷體"/>
          <w:color w:val="000000"/>
        </w:rPr>
        <w:t>100/2/1</w:t>
      </w:r>
      <w:r>
        <w:rPr>
          <w:rFonts w:ascii="標楷體" w:hAnsi="標楷體"/>
          <w:color w:val="000000"/>
        </w:rPr>
        <w:t>、</w:t>
      </w:r>
      <w:r>
        <w:rPr>
          <w:rFonts w:ascii="標楷體" w:hAnsi="標楷體"/>
          <w:color w:val="000000"/>
        </w:rPr>
        <w:t>102/9/1</w:t>
      </w:r>
      <w:r>
        <w:rPr>
          <w:rFonts w:ascii="標楷體" w:hAnsi="標楷體"/>
          <w:color w:val="000000"/>
        </w:rPr>
        <w:t>、</w:t>
      </w:r>
      <w:r>
        <w:rPr>
          <w:rFonts w:ascii="標楷體" w:hAnsi="標楷體"/>
          <w:color w:val="000000"/>
        </w:rPr>
        <w:t>113/6/1)</w:t>
      </w:r>
      <w:r>
        <w:rPr>
          <w:rFonts w:ascii="標楷體" w:eastAsia="標楷體" w:hAnsi="標楷體"/>
          <w:color w:val="000000"/>
        </w:rPr>
        <w:t>附表九之八</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1.治療正值急性轉化期(blast crisis)、加速期或經ALPHA-干擾素治療無效之慢性期</w:t>
      </w:r>
      <w:r>
        <w:rPr>
          <w:rFonts w:ascii="標楷體" w:eastAsia="標楷體" w:hAnsi="標楷體"/>
          <w:color w:val="000000"/>
        </w:rPr>
        <w:lastRenderedPageBreak/>
        <w:t>的慢性骨髓性白血病(CML)患者使用。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2.用於治療初期診斷為慢性骨髓性白血病（CML）的病人。</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3.惡性胃腸道基質瘤(GIST)：</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(1)治療成年人無法手術切除或轉移的惡性胃腸道基質瘤。</w:t>
      </w:r>
    </w:p>
    <w:p w:rsidR="00B96EA0" w:rsidRDefault="007D66B8" w:rsidP="005142EB">
      <w:pPr>
        <w:spacing w:line="400" w:lineRule="exact"/>
        <w:ind w:left="1049" w:hanging="341"/>
      </w:pPr>
      <w:r>
        <w:rPr>
          <w:rFonts w:ascii="標楷體" w:eastAsia="標楷體" w:hAnsi="標楷體"/>
          <w:color w:val="000000"/>
        </w:rPr>
        <w:t>(2)作為成人胃腸道基質瘤完全切除後之術後輔助治療，符合下列一項條件可使用3年，須事前審查核准後使用。(100/2/1</w:t>
      </w:r>
      <w:r>
        <w:rPr>
          <w:rFonts w:ascii="標楷體" w:hAnsi="標楷體"/>
          <w:color w:val="000000"/>
        </w:rPr>
        <w:t>、</w:t>
      </w:r>
      <w:r>
        <w:rPr>
          <w:rFonts w:ascii="標楷體" w:hAnsi="標楷體"/>
          <w:color w:val="000000"/>
        </w:rPr>
        <w:t>102/9/1</w:t>
      </w:r>
      <w:r>
        <w:rPr>
          <w:rFonts w:ascii="標楷體" w:eastAsia="標楷體" w:hAnsi="標楷體"/>
          <w:color w:val="000000"/>
        </w:rPr>
        <w:t>)</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A.腫瘤大於10公分。</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B.有絲分裂指數&gt;10/50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C.腫瘤大於5公分且有絲分裂指數&gt;5/50 HPF(high power field)。</w:t>
      </w:r>
    </w:p>
    <w:p w:rsidR="00B96EA0" w:rsidRDefault="007D66B8" w:rsidP="005142EB">
      <w:pPr>
        <w:spacing w:line="400" w:lineRule="exact"/>
        <w:ind w:left="1049" w:firstLine="84"/>
        <w:rPr>
          <w:rFonts w:ascii="標楷體" w:eastAsia="標楷體" w:hAnsi="標楷體"/>
          <w:color w:val="000000"/>
        </w:rPr>
      </w:pPr>
      <w:r>
        <w:rPr>
          <w:rFonts w:ascii="標楷體" w:eastAsia="標楷體" w:hAnsi="標楷體"/>
          <w:color w:val="000000"/>
        </w:rPr>
        <w:t>D.腫瘤破裂。</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4.治療初診斷為費城染色體陽性急性淋巴性白血病（Ph+ALL)且併用化療之成年人。(99/6/1)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5.未曾使用imatinib治療之成人復發性或難治性費城染色體陽性急性淋巴性白血病(Ph+ALL)之單一療法。(99/6/1)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6.下列適應症患者必須在第一線的藥物如hydroxyurea; corticosteroid等無效後，經事前審查核准才可使用，且每6個月需重新申請審查。(99/6/1)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(1)治療患有與血小板衍生生長因子受體（PDGFR)基因重組相關之骨髓發育不全症候群(MDS)/骨髓增生性疾病(MPD)之成人。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(2)治療嗜伊紅性白血球增加症候群(HES)與/或慢性嗜伊紅性白血病(CEL)且有血小板衍生生長因子受體(PDGFR)基因重組之成人患者，且存在器官侵犯証據者。</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7.治療患有無法手術切除、復發性或轉移性且有血小板衍生生長因子受體(PDGFR)基因重組之隆突性皮膚纖維肉瘤(DFSP)之成人患者。(99/6/1)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8.1~7項規定內之疾病診斷或追蹤若需依據基因檢測報告，則需符合全民健康保險藥品給付規定之通則十二。(113/6/1)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9.23.Arsenic trioxide(如Asadin Inj.)：(91/8/1、92/9/1)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限用於急性前骨髓細胞白血病患者。</w:t>
      </w:r>
    </w:p>
    <w:p w:rsidR="00B96EA0" w:rsidRDefault="007D66B8" w:rsidP="005142EB">
      <w:pPr>
        <w:spacing w:line="400" w:lineRule="exact"/>
        <w:ind w:left="824" w:hanging="567"/>
        <w:rPr>
          <w:rFonts w:ascii="標楷體" w:eastAsia="標楷體" w:hAnsi="標楷體"/>
          <w:color w:val="000000"/>
        </w:rPr>
      </w:pPr>
      <w:r>
        <w:rPr>
          <w:rFonts w:ascii="標楷體" w:eastAsia="標楷體" w:hAnsi="標楷體"/>
          <w:color w:val="000000"/>
        </w:rPr>
        <w:t>9.24.Gefitinib(如Iressa):(93/11/1、96/8/1、96/11/1、100/6/1、101/5/1、101/10/1、103/5/1、106/11/1、 108/6/1、108/11/1、109/4/1、109/6/1、109/10/1、111/2/1、111/4/1、113/3/1、113/6/1、113/10/1)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(1)具有EGFR-TK基因突變之局部侵犯性或轉移性(即第ⅢB、ⅢC或第Ⅳ期)之肺腺癌病患之第一線治療，需檢附EGFR基因檢測結果報告，且需符合全民健康保險藥品給付規定之通則十二。(100/6/1、108/6/1、108/11/1、113/6/1)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t>(2)先前已使用過第一線含鉑化學治療，或70歲以上接受過第一線化學治療，但仍局部惡化或轉移之肺腺癌。(96/11/1、100/6/1、111/2/1)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2.使用注意事項(106/11/1、109/4/1、109/10/1、111/4/1、113/3/1）</w:t>
      </w:r>
    </w:p>
    <w:p w:rsidR="00B96EA0" w:rsidRDefault="007D66B8" w:rsidP="005142EB">
      <w:pPr>
        <w:spacing w:line="400" w:lineRule="exact"/>
        <w:ind w:left="1289" w:hanging="341"/>
        <w:rPr>
          <w:rFonts w:ascii="標楷體" w:eastAsia="標楷體" w:hAnsi="標楷體"/>
          <w:color w:val="000000"/>
        </w:rPr>
      </w:pPr>
      <w:r>
        <w:rPr>
          <w:rFonts w:ascii="標楷體" w:eastAsia="標楷體" w:hAnsi="標楷體"/>
          <w:color w:val="000000"/>
        </w:rPr>
        <w:lastRenderedPageBreak/>
        <w:t>(1)用於第一線用藥：病歷應留存確實患有肺腺癌之病理或細胞檢查報告，及EGFR-TK基因突變檢測報告。(100/6/1、106/11/1)</w:t>
      </w:r>
    </w:p>
    <w:p w:rsidR="00B96EA0" w:rsidRDefault="007D66B8" w:rsidP="005142EB">
      <w:pPr>
        <w:spacing w:line="400" w:lineRule="exact"/>
        <w:ind w:left="1289" w:hanging="341"/>
      </w:pPr>
      <w:r>
        <w:rPr>
          <w:rFonts w:ascii="標楷體" w:eastAsia="標楷體" w:hAnsi="標楷體"/>
          <w:color w:val="000000"/>
        </w:rPr>
        <w:t>(2)</w:t>
      </w:r>
      <w:r>
        <w:rPr>
          <w:rFonts w:ascii="標楷體" w:eastAsia="標楷體" w:hAnsi="標楷體"/>
          <w:kern w:val="0"/>
          <w:szCs w:val="24"/>
        </w:rPr>
        <w:t>用於第二線以上用藥：病歷應留存確實患有肺腺癌之病理或細胞檢查報告，並附曾經接受第一線含鉑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(96/11/1、100/6/1、101/10/1、106/11/1)</w:t>
      </w:r>
    </w:p>
    <w:p w:rsidR="00B96EA0" w:rsidRDefault="007D66B8" w:rsidP="005142EB">
      <w:pPr>
        <w:spacing w:line="400" w:lineRule="exact"/>
        <w:ind w:left="1289" w:hanging="341"/>
      </w:pPr>
      <w:r>
        <w:rPr>
          <w:rFonts w:ascii="標楷體" w:eastAsia="標楷體" w:hAnsi="標楷體"/>
          <w:color w:val="000000"/>
        </w:rPr>
        <w:t>(3)</w:t>
      </w:r>
      <w:r>
        <w:rPr>
          <w:rFonts w:ascii="標楷體" w:eastAsia="標楷體" w:hAnsi="標楷體"/>
          <w:kern w:val="0"/>
          <w:szCs w:val="24"/>
        </w:rPr>
        <w:t>每次處方以4週為限，再次處方時需於病歷記錄治療後相關臨床資料，如每4週需追蹤胸部X光或電腦斷層等影像檢查</w:t>
      </w:r>
      <w:r>
        <w:rPr>
          <w:rFonts w:ascii="新細明體" w:hAnsi="新細明體"/>
          <w:kern w:val="0"/>
          <w:szCs w:val="24"/>
        </w:rPr>
        <w:t>，</w:t>
      </w:r>
      <w:r>
        <w:rPr>
          <w:rFonts w:ascii="標楷體" w:eastAsia="標楷體" w:hAnsi="標楷體"/>
          <w:kern w:val="0"/>
          <w:szCs w:val="24"/>
        </w:rPr>
        <w:t>每8至12週需進行完整療效評估（如胸部X光或電腦斷層）。(101/5/1、106/11/1)</w:t>
      </w:r>
    </w:p>
    <w:p w:rsidR="00B96EA0" w:rsidRDefault="007D66B8" w:rsidP="005142EB">
      <w:pPr>
        <w:spacing w:line="400" w:lineRule="exact"/>
        <w:ind w:left="1289" w:hanging="341"/>
      </w:pPr>
      <w:r>
        <w:rPr>
          <w:rFonts w:ascii="標楷體" w:eastAsia="標楷體" w:hAnsi="標楷體"/>
          <w:kern w:val="0"/>
        </w:rPr>
        <w:t>(4)本藥品與erlotinib及afatinib不得併用。(96/8/1、103/5/1</w:t>
      </w:r>
      <w:r>
        <w:rPr>
          <w:rFonts w:ascii="標楷體" w:eastAsia="標楷體" w:hAnsi="標楷體"/>
        </w:rPr>
        <w:t>、109/4/1</w:t>
      </w:r>
      <w:r>
        <w:rPr>
          <w:rFonts w:ascii="標楷體" w:eastAsia="標楷體" w:hAnsi="標楷體"/>
          <w:kern w:val="0"/>
        </w:rPr>
        <w:t>)</w:t>
      </w:r>
    </w:p>
    <w:p w:rsidR="00B96EA0" w:rsidRDefault="007D66B8" w:rsidP="005142EB">
      <w:pPr>
        <w:spacing w:line="400" w:lineRule="exact"/>
        <w:ind w:left="1289" w:hanging="341"/>
        <w:rPr>
          <w:rFonts w:ascii="標楷體" w:eastAsia="標楷體" w:hAnsi="標楷體"/>
          <w:kern w:val="0"/>
        </w:rPr>
      </w:pPr>
      <w:r>
        <w:rPr>
          <w:rFonts w:ascii="標楷體" w:eastAsia="標楷體" w:hAnsi="標楷體"/>
          <w:kern w:val="0"/>
        </w:rPr>
        <w:t>(5)本藥品於第一線使用時，與osimertinib、dacomitinib及bevacizumab併用erlotinib之治療組合僅得擇一使用，除因耐受性不良，不得互換。(109/6/1、109/10/1、111/4/1、113/3/1、113/10/1)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654" w:hanging="336"/>
      </w:pPr>
      <w:r>
        <w:rPr>
          <w:rFonts w:ascii="標楷體" w:eastAsia="標楷體" w:hAnsi="標楷體"/>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654" w:hanging="336"/>
        <w:rPr>
          <w:rFonts w:ascii="標楷體" w:eastAsia="標楷體" w:hAnsi="標楷體"/>
        </w:rPr>
      </w:pPr>
      <w:r>
        <w:rPr>
          <w:rFonts w:ascii="標楷體" w:eastAsia="標楷體" w:hAnsi="標楷體"/>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672" w:hanging="386"/>
        <w:rPr>
          <w:rFonts w:ascii="標楷體" w:eastAsia="標楷體" w:hAnsi="標楷體"/>
          <w:color w:val="000000"/>
        </w:rPr>
      </w:pPr>
      <w:bookmarkStart w:id="6" w:name="_Hlk113894926"/>
      <w:r>
        <w:rPr>
          <w:rFonts w:ascii="標楷體" w:eastAsia="標楷體" w:hAnsi="標楷體"/>
          <w:color w:val="000000"/>
        </w:rPr>
        <w:t>9.25.Temozolomide(如Temodal)：(94/3/1、97/1/1、98/9/1、111/9/1)附表八之二</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1.經手術或放射線治療後復發之下列病人：</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(1)退行性星狀細胞瘤(AA-anaplastic astrocytoma)</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(2)多形神經膠母細胞瘤(GBM-Glioblastoma multiforme)</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(3)退行性寡樹突膠質細胞瘤(anaplastic oligodendroglioma)(98/9/1)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2.新診斷的多形神經膠母細胞瘤，與放射線治療同步進行，然後作為輔助性治療。（97/1/1）</w:t>
      </w:r>
    </w:p>
    <w:p w:rsidR="00B96EA0" w:rsidRDefault="007D66B8" w:rsidP="005142EB">
      <w:pPr>
        <w:spacing w:line="400" w:lineRule="exact"/>
        <w:ind w:left="811" w:hanging="245"/>
      </w:pPr>
      <w:r>
        <w:rPr>
          <w:rFonts w:ascii="標楷體" w:eastAsia="標楷體" w:hAnsi="標楷體"/>
          <w:color w:val="000000"/>
        </w:rPr>
        <w:t>3.需經事前審查核准後使用，每日最大劑量200mg/m</w:t>
      </w:r>
      <w:r>
        <w:rPr>
          <w:rFonts w:ascii="標楷體" w:eastAsia="標楷體" w:hAnsi="標楷體"/>
          <w:color w:val="000000"/>
          <w:vertAlign w:val="superscript"/>
        </w:rPr>
        <w:t>2</w:t>
      </w:r>
      <w:r>
        <w:rPr>
          <w:rFonts w:ascii="標楷體" w:eastAsia="標楷體" w:hAnsi="標楷體"/>
          <w:color w:val="000000"/>
        </w:rPr>
        <w:t>。每次申請事前審查之療程以三個月為限，再次申請必須提出客觀證據（如：影像學）證實無惡化，才可繼續使用。(98/9/1、111/9/1)</w:t>
      </w:r>
      <w:bookmarkEnd w:id="6"/>
    </w:p>
    <w:p w:rsidR="002F2B55" w:rsidRPr="00367DBE" w:rsidRDefault="002F2B55" w:rsidP="002F2B55">
      <w:pPr>
        <w:spacing w:line="400" w:lineRule="exact"/>
        <w:ind w:left="317" w:hanging="386"/>
        <w:rPr>
          <w:rFonts w:ascii="標楷體" w:eastAsia="標楷體" w:hAnsi="標楷體"/>
          <w:szCs w:val="24"/>
        </w:rPr>
      </w:pPr>
      <w:r w:rsidRPr="00367DBE">
        <w:rPr>
          <w:rFonts w:ascii="標楷體" w:eastAsia="標楷體" w:hAnsi="標楷體"/>
          <w:szCs w:val="24"/>
        </w:rPr>
        <w:lastRenderedPageBreak/>
        <w:t>9.26.</w:t>
      </w:r>
      <w:r w:rsidRPr="00367DBE">
        <w:rPr>
          <w:rFonts w:ascii="標楷體" w:eastAsia="標楷體" w:hAnsi="標楷體"/>
          <w:kern w:val="0"/>
          <w:szCs w:val="24"/>
        </w:rPr>
        <w:t>P</w:t>
      </w:r>
      <w:r w:rsidRPr="00367DBE">
        <w:rPr>
          <w:rFonts w:ascii="標楷體" w:eastAsia="標楷體" w:hAnsi="標楷體"/>
          <w:szCs w:val="24"/>
        </w:rPr>
        <w:t>emetrexed(如Alimta)：(</w:t>
      </w:r>
      <w:r w:rsidRPr="00367DBE">
        <w:rPr>
          <w:rFonts w:ascii="標楷體" w:eastAsia="標楷體" w:hAnsi="標楷體" w:hint="eastAsia"/>
          <w:szCs w:val="24"/>
        </w:rPr>
        <w:t>95/3/1、95/7/1、97/11/1、98/9/1、103/4/1、103/9/1、106/11/1、111/2/1、114/6/1、114/8/1、1</w:t>
      </w:r>
      <w:r w:rsidRPr="00367DBE">
        <w:rPr>
          <w:rFonts w:ascii="標楷體" w:eastAsia="標楷體" w:hAnsi="標楷體"/>
          <w:szCs w:val="24"/>
        </w:rPr>
        <w:t>14/</w:t>
      </w:r>
      <w:r w:rsidRPr="00367DBE">
        <w:rPr>
          <w:rFonts w:ascii="標楷體" w:eastAsia="標楷體" w:hAnsi="標楷體" w:hint="eastAsia"/>
          <w:szCs w:val="24"/>
        </w:rPr>
        <w:t>10</w:t>
      </w:r>
      <w:r w:rsidRPr="00367DBE">
        <w:rPr>
          <w:rFonts w:ascii="標楷體" w:eastAsia="標楷體" w:hAnsi="標楷體"/>
          <w:szCs w:val="24"/>
        </w:rPr>
        <w:t>/1)</w:t>
      </w:r>
    </w:p>
    <w:p w:rsidR="002F2B55" w:rsidRPr="00367DBE" w:rsidRDefault="002F2B55" w:rsidP="002F2B55">
      <w:pPr>
        <w:pStyle w:val="a9"/>
        <w:spacing w:line="400" w:lineRule="exact"/>
        <w:ind w:leftChars="118" w:left="283"/>
        <w:jc w:val="both"/>
        <w:rPr>
          <w:rFonts w:ascii="標楷體" w:eastAsia="標楷體" w:hAnsi="標楷體"/>
        </w:rPr>
      </w:pPr>
      <w:r w:rsidRPr="00367DBE">
        <w:rPr>
          <w:rFonts w:ascii="標楷體" w:eastAsia="標楷體" w:hAnsi="標楷體" w:hint="eastAsia"/>
        </w:rPr>
        <w:t>1</w:t>
      </w:r>
      <w:r w:rsidRPr="00367DBE">
        <w:rPr>
          <w:rFonts w:ascii="標楷體" w:eastAsia="標楷體" w:hAnsi="標楷體"/>
        </w:rPr>
        <w:t>.限用於</w:t>
      </w:r>
    </w:p>
    <w:p w:rsidR="002F2B55" w:rsidRPr="00367DBE" w:rsidRDefault="002F2B55" w:rsidP="002F2B55">
      <w:pPr>
        <w:pStyle w:val="a9"/>
        <w:spacing w:line="400" w:lineRule="exact"/>
        <w:ind w:leftChars="195" w:left="708" w:hangingChars="100" w:hanging="24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1)與cisplatin併用於惡性肋膜間質細胞瘤。</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2)以含鉑之化學療法治療或70歲以上接受過第一線化學治療，但仍失敗之局部晚期或轉移性非小細胞肺癌病患(顯著鱗狀細胞組織型除外)之單一藥物治療。(95/7/1、97/11/1、98/9/1、111/2/1)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3)與含鉑類之化學療法併用，作為治療局部晚期或轉移性非小細胞肺癌(顯著鱗狀細胞組織型除外)之第一線化療用藥，且限用於ECOG為0~1之病患。(98/9/1)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rPr>
        <w:t>(4)</w:t>
      </w:r>
      <w:r w:rsidRPr="00367DBE">
        <w:rPr>
          <w:rFonts w:ascii="標楷體" w:eastAsia="標楷體" w:hAnsi="標楷體" w:hint="eastAsia"/>
        </w:rPr>
        <w:t>pemetrexed(限使用Pexeda、Apeta或Pemetrexed Sandoz)與pembrolizumab與含鉑類之化學療法併用於轉移性，不具有EGFR/ALK/ROS-1腫瘤基因異常的非鱗狀非小細胞肺癌的第一線治療，患者需符合免疫檢查點抑制劑之藥品給付規定。(114/6/1、114/8/1)</w:t>
      </w:r>
    </w:p>
    <w:p w:rsidR="002F2B55" w:rsidRPr="00367DBE" w:rsidRDefault="002F2B55" w:rsidP="002F2B55">
      <w:pPr>
        <w:pStyle w:val="a9"/>
        <w:spacing w:line="400" w:lineRule="exact"/>
        <w:ind w:leftChars="195" w:left="828" w:hangingChars="150" w:hanging="360"/>
        <w:jc w:val="both"/>
        <w:rPr>
          <w:rFonts w:ascii="標楷體" w:eastAsia="標楷體" w:hAnsi="標楷體"/>
        </w:rPr>
      </w:pPr>
      <w:r w:rsidRPr="00367DBE">
        <w:rPr>
          <w:rFonts w:ascii="標楷體" w:eastAsia="標楷體" w:hAnsi="標楷體" w:hint="eastAsia"/>
        </w:rPr>
        <w:t>(</w:t>
      </w:r>
      <w:r w:rsidRPr="00367DBE">
        <w:rPr>
          <w:rFonts w:ascii="標楷體" w:eastAsia="標楷體" w:hAnsi="標楷體"/>
        </w:rPr>
        <w:t>5)</w:t>
      </w:r>
      <w:r w:rsidRPr="00367DBE">
        <w:rPr>
          <w:rFonts w:ascii="標楷體" w:eastAsia="標楷體" w:hAnsi="標楷體" w:hint="eastAsia"/>
        </w:rPr>
        <w:t>與amivantamab及carboplatin併用於罹患帶有表皮生長因子受體(EGFR) exon 20插入突變之局部晚期或轉移性非小細胞肺癌(NSCLC)的成人病人，作為第一線治療。</w:t>
      </w:r>
      <w:r w:rsidRPr="00367DBE">
        <w:rPr>
          <w:rFonts w:ascii="標楷體" w:eastAsia="標楷體" w:hAnsi="標楷體"/>
        </w:rPr>
        <w:t>(</w:t>
      </w:r>
      <w:r w:rsidRPr="00367DBE">
        <w:rPr>
          <w:rFonts w:ascii="標楷體" w:eastAsia="標楷體" w:hAnsi="標楷體" w:hint="eastAsia"/>
        </w:rPr>
        <w:t>114</w:t>
      </w:r>
      <w:r w:rsidRPr="00367DBE">
        <w:rPr>
          <w:rFonts w:ascii="標楷體" w:eastAsia="標楷體" w:hAnsi="標楷體"/>
        </w:rPr>
        <w:t>/</w:t>
      </w:r>
      <w:r w:rsidRPr="00367DBE">
        <w:rPr>
          <w:rFonts w:ascii="標楷體" w:eastAsia="標楷體" w:hAnsi="標楷體" w:hint="eastAsia"/>
        </w:rPr>
        <w:t>10</w:t>
      </w:r>
      <w:r w:rsidRPr="00367DBE">
        <w:rPr>
          <w:rFonts w:ascii="標楷體" w:eastAsia="標楷體" w:hAnsi="標楷體"/>
        </w:rPr>
        <w:t>/1)</w:t>
      </w:r>
    </w:p>
    <w:p w:rsidR="00B96EA0" w:rsidRDefault="002F2B55" w:rsidP="002F2B55">
      <w:pPr>
        <w:spacing w:line="400" w:lineRule="exact"/>
        <w:ind w:left="811" w:hanging="245"/>
      </w:pPr>
      <w:r w:rsidRPr="00367DBE">
        <w:rPr>
          <w:rFonts w:ascii="標楷體" w:eastAsia="標楷體" w:hAnsi="標楷體" w:hint="eastAsia"/>
          <w:szCs w:val="24"/>
        </w:rPr>
        <w:t>2</w:t>
      </w:r>
      <w:r w:rsidRPr="00367DBE">
        <w:rPr>
          <w:rFonts w:ascii="標楷體" w:eastAsia="標楷體" w:hAnsi="標楷體"/>
          <w:szCs w:val="24"/>
        </w:rPr>
        <w:t>.每4個療程需進行療效評估，病歷應留存評估紀錄，無疾病惡化方可繼續使用。(103/4/1、103/9/1、106/11/1)</w:t>
      </w:r>
    </w:p>
    <w:p w:rsidR="00B96EA0" w:rsidRDefault="007D66B8" w:rsidP="005142EB">
      <w:pPr>
        <w:spacing w:line="400" w:lineRule="exact"/>
        <w:ind w:left="283"/>
        <w:rPr>
          <w:rFonts w:ascii="標楷體" w:eastAsia="標楷體" w:hAnsi="標楷體"/>
        </w:rPr>
      </w:pPr>
      <w:r>
        <w:rPr>
          <w:rFonts w:ascii="標楷體" w:eastAsia="標楷體" w:hAnsi="標楷體"/>
        </w:rPr>
        <w:t>9.27.Cetuximab（如Erbitux）：(96/3/1、98/7/1、98/8/1、99/10/1、101/12/1、104/11/1、106/1/1、106/4/1、107/6/1、110/6/1、111/2/1、112/12/1、113/6/1)</w:t>
      </w:r>
    </w:p>
    <w:p w:rsidR="00B96EA0" w:rsidRDefault="007D66B8" w:rsidP="005142EB">
      <w:pPr>
        <w:spacing w:line="400" w:lineRule="exact"/>
        <w:ind w:left="850" w:hanging="341"/>
        <w:rPr>
          <w:rFonts w:ascii="標楷體" w:eastAsia="標楷體" w:hAnsi="標楷體"/>
        </w:rPr>
      </w:pPr>
      <w:r>
        <w:rPr>
          <w:rFonts w:ascii="標楷體" w:eastAsia="標楷體" w:hAnsi="標楷體"/>
        </w:rPr>
        <w:t>1.直腸結腸癌治療部分：</w:t>
      </w:r>
    </w:p>
    <w:p w:rsidR="00B96EA0" w:rsidRDefault="007D66B8" w:rsidP="005142EB">
      <w:pPr>
        <w:spacing w:line="400" w:lineRule="exact"/>
        <w:ind w:left="1049" w:hanging="341"/>
        <w:rPr>
          <w:rFonts w:ascii="標楷體" w:eastAsia="標楷體" w:hAnsi="標楷體"/>
        </w:rPr>
      </w:pPr>
      <w:r>
        <w:rPr>
          <w:rFonts w:ascii="標楷體" w:eastAsia="標楷體" w:hAnsi="標楷體"/>
        </w:rPr>
        <w:t>(1)與FOLFIRI（Folinic acid/ 5-fluorouracil/irinotecan）或FOLFOX（Folinic acid/ 5-fluorouracil/oxaliplatin）合併使用於治療具表皮生長因子受體表現型(EGFR expressing)，RAS基因沒有突變之轉移性直腸結腸癌病患之第一線治療。需檢附All-RAS基因突變分析檢測報告，且需符合全民健康保險藥品給付規定之通則十二。(101/12/1、104/11/1、106/1/1、110/6/1、113/6/1)</w:t>
      </w:r>
    </w:p>
    <w:p w:rsidR="00B96EA0" w:rsidRDefault="007D66B8" w:rsidP="005142EB">
      <w:pPr>
        <w:spacing w:line="400" w:lineRule="exact"/>
        <w:ind w:left="1414" w:hanging="336"/>
        <w:rPr>
          <w:rFonts w:ascii="標楷體" w:eastAsia="標楷體" w:hAnsi="標楷體"/>
        </w:rPr>
      </w:pPr>
      <w:r>
        <w:rPr>
          <w:rFonts w:ascii="標楷體" w:eastAsia="標楷體" w:hAnsi="標楷體"/>
        </w:rPr>
        <w:t>I.本藥品需經事前審查核准後使用，每次申請事前審查之療程以18週為限，再次申請必須提出客觀證據（如：影像學）證實無惡化，才可繼續使用。</w:t>
      </w:r>
    </w:p>
    <w:p w:rsidR="00B96EA0" w:rsidRDefault="007D66B8" w:rsidP="005142EB">
      <w:pPr>
        <w:spacing w:line="400" w:lineRule="exact"/>
        <w:ind w:left="1414" w:hanging="336"/>
        <w:rPr>
          <w:rFonts w:ascii="標楷體" w:eastAsia="標楷體" w:hAnsi="標楷體"/>
        </w:rPr>
      </w:pPr>
      <w:r>
        <w:rPr>
          <w:rFonts w:ascii="標楷體" w:eastAsia="標楷體" w:hAnsi="標楷體"/>
        </w:rPr>
        <w:t>II.Cetuximab與panitumumab二者僅能擇一使用。唯有在無法忍受化療(其副作用)時方可互換，二者使用總療程合併計算，以全部36週為上限。(107/6/1)</w:t>
      </w:r>
    </w:p>
    <w:p w:rsidR="00B96EA0" w:rsidRDefault="007D66B8" w:rsidP="005142EB">
      <w:pPr>
        <w:spacing w:line="400" w:lineRule="exact"/>
        <w:ind w:left="1414" w:hanging="336"/>
        <w:rPr>
          <w:rFonts w:ascii="標楷體" w:eastAsia="標楷體" w:hAnsi="標楷體"/>
        </w:rPr>
      </w:pPr>
      <w:r>
        <w:rPr>
          <w:rFonts w:ascii="標楷體" w:eastAsia="標楷體" w:hAnsi="標楷體"/>
        </w:rPr>
        <w:t>III.本藥品不得與bevacizumab併用。</w:t>
      </w:r>
    </w:p>
    <w:p w:rsidR="00B96EA0" w:rsidRDefault="007D66B8" w:rsidP="005142EB">
      <w:pPr>
        <w:spacing w:line="400" w:lineRule="exact"/>
        <w:ind w:left="1049" w:hanging="341"/>
        <w:rPr>
          <w:rFonts w:ascii="標楷體" w:eastAsia="標楷體" w:hAnsi="標楷體"/>
        </w:rPr>
      </w:pPr>
      <w:r>
        <w:rPr>
          <w:rFonts w:ascii="標楷體" w:eastAsia="標楷體" w:hAnsi="標楷體"/>
        </w:rPr>
        <w:t>(2)與irinotecan合併使用，治療已接受過含5-fluorouracil、irinotecan及oxaliplatin二線以上之細胞毒性治療失敗、具有表皮生長因子受體(EGFR)表現型且K-RAS基因沒有突變的轉移性直腸結腸癌的病患。需檢附All-RAS基因突變分析檢測報告，且需符合全民健康保險藥品給付規定之通則十二。(98/8/1、110/6/1、113/6/1)</w:t>
      </w:r>
    </w:p>
    <w:p w:rsidR="00B96EA0" w:rsidRDefault="007D66B8" w:rsidP="005142EB">
      <w:pPr>
        <w:spacing w:line="400" w:lineRule="exact"/>
        <w:ind w:left="1414" w:hanging="336"/>
        <w:rPr>
          <w:rFonts w:ascii="標楷體" w:eastAsia="標楷體" w:hAnsi="標楷體"/>
        </w:rPr>
      </w:pPr>
      <w:r>
        <w:rPr>
          <w:rFonts w:ascii="標楷體" w:eastAsia="標楷體" w:hAnsi="標楷體"/>
        </w:rPr>
        <w:lastRenderedPageBreak/>
        <w:t>I.本藥品需經事前審查核准後使用，每次申請事前審查之療程以9週為限，再次申請必須提出客觀證據（如：影像學）證實無惡化，才可繼續使用。</w:t>
      </w:r>
    </w:p>
    <w:p w:rsidR="00B96EA0" w:rsidRDefault="007D66B8" w:rsidP="005142EB">
      <w:pPr>
        <w:spacing w:line="400" w:lineRule="exact"/>
        <w:ind w:left="1414" w:hanging="336"/>
      </w:pPr>
      <w:r>
        <w:rPr>
          <w:rFonts w:ascii="標楷體" w:eastAsia="標楷體" w:hAnsi="標楷體"/>
        </w:rPr>
        <w:t>II.使用總療程以18週為上限。</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2.口咽癌、下咽癌及喉癌治療部分：(98/7/1、99/10/1、111/2/1)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(1)限與放射線療法合併使用於局部晚期之口咽癌、下咽癌及喉癌患者，且符合下列條件之一：</w:t>
      </w:r>
    </w:p>
    <w:p w:rsidR="00B96EA0" w:rsidRDefault="007D66B8" w:rsidP="005142EB">
      <w:pPr>
        <w:spacing w:line="400" w:lineRule="exact"/>
        <w:ind w:left="1414" w:hanging="336"/>
      </w:pPr>
      <w:r>
        <w:rPr>
          <w:rFonts w:ascii="標楷體" w:eastAsia="標楷體" w:hAnsi="標楷體"/>
          <w:color w:val="000000"/>
        </w:rPr>
        <w:t>I.</w:t>
      </w:r>
      <w:r>
        <w:t xml:space="preserve"> </w:t>
      </w:r>
      <w:r>
        <w:rPr>
          <w:rFonts w:ascii="標楷體" w:eastAsia="標楷體" w:hAnsi="標楷體"/>
          <w:color w:val="000000"/>
        </w:rPr>
        <w:t>70歲以上(111/2/1)；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II.Ccr＜50mL/min；</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Ⅲ.聽力障礙者(聽力障礙定義為500Hz、1000Hz、2000Hz平均聽力損失大於25分貝)；</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Ⅳ.無法耐受platinum-based化學治療。</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(2)使用總療程以接受8次輸注為上限。</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(3)需經事前審查核准後使用。</w:t>
      </w:r>
    </w:p>
    <w:p w:rsidR="00B96EA0" w:rsidRDefault="007D66B8" w:rsidP="005142EB">
      <w:pPr>
        <w:spacing w:line="400" w:lineRule="exact"/>
        <w:ind w:left="847" w:hanging="283"/>
        <w:rPr>
          <w:rFonts w:ascii="標楷體" w:eastAsia="標楷體" w:hAnsi="標楷體"/>
          <w:color w:val="000000"/>
        </w:rPr>
      </w:pPr>
      <w:r>
        <w:rPr>
          <w:rFonts w:ascii="標楷體" w:eastAsia="標楷體" w:hAnsi="標楷體"/>
          <w:color w:val="000000"/>
        </w:rPr>
        <w:t>3.頭頸癌部分(106/1/1、106/4/1、112/12/1)：</w:t>
      </w:r>
    </w:p>
    <w:p w:rsidR="00B96EA0" w:rsidRDefault="007D66B8" w:rsidP="005142EB">
      <w:pPr>
        <w:spacing w:line="400" w:lineRule="exact"/>
        <w:ind w:left="1118" w:hanging="410"/>
        <w:rPr>
          <w:rFonts w:ascii="標楷體" w:eastAsia="標楷體" w:hAnsi="標楷體"/>
          <w:color w:val="000000"/>
        </w:rPr>
      </w:pPr>
      <w:r>
        <w:rPr>
          <w:rFonts w:ascii="標楷體" w:eastAsia="標楷體" w:hAnsi="標楷體"/>
          <w:color w:val="000000"/>
        </w:rPr>
        <w:t>(1)限無法接受局部治療之復發及/或轉移性頭頸部鱗狀細胞癌，且未曾申報cetuximab之病患使用。</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(2)須經事前審查核准後使用，每位病人使用總療程以18週為限，每9週申請一次，需無疾病惡化情形方得繼續使用。(106/4/1)</w:t>
      </w:r>
    </w:p>
    <w:p w:rsidR="00B96EA0" w:rsidRDefault="007D66B8" w:rsidP="005142EB">
      <w:pPr>
        <w:spacing w:line="400" w:lineRule="exact"/>
        <w:ind w:left="1049" w:hanging="341"/>
      </w:pPr>
      <w:r>
        <w:rPr>
          <w:rFonts w:ascii="標楷體" w:eastAsia="標楷體" w:hAnsi="標楷體"/>
          <w:szCs w:val="24"/>
          <w:lang w:bidi="zh-TW"/>
        </w:rPr>
        <w:t>(3)Cetuximab</w:t>
      </w:r>
      <w:r>
        <w:rPr>
          <w:rFonts w:ascii="標楷體" w:eastAsia="標楷體" w:hAnsi="標楷體"/>
          <w:szCs w:val="24"/>
          <w:lang w:val="zh-TW" w:bidi="zh-TW"/>
        </w:rPr>
        <w:t>與免疫檢查點抑制劑僅能擇一使用，且治療失敗時不可互換。</w:t>
      </w:r>
      <w:r>
        <w:rPr>
          <w:rFonts w:ascii="標楷體" w:eastAsia="標楷體" w:hAnsi="標楷體"/>
          <w:szCs w:val="24"/>
          <w:lang w:bidi="zh-TW"/>
        </w:rPr>
        <w:t>(</w:t>
      </w:r>
      <w:r>
        <w:rPr>
          <w:rFonts w:ascii="標楷體" w:eastAsia="標楷體" w:hAnsi="標楷體"/>
          <w:szCs w:val="24"/>
        </w:rPr>
        <w:t>112/12/1</w:t>
      </w:r>
      <w:r>
        <w:rPr>
          <w:rFonts w:ascii="標楷體" w:eastAsia="標楷體" w:hAnsi="標楷體"/>
          <w:szCs w:val="24"/>
          <w:lang w:bidi="zh-TW"/>
        </w:rPr>
        <w:t>)</w:t>
      </w:r>
    </w:p>
    <w:p w:rsidR="00B96EA0" w:rsidRDefault="007D66B8" w:rsidP="005142EB">
      <w:pPr>
        <w:spacing w:line="400" w:lineRule="exact"/>
        <w:ind w:left="910" w:hanging="579"/>
        <w:rPr>
          <w:rFonts w:ascii="標楷體" w:eastAsia="標楷體" w:hAnsi="標楷體"/>
          <w:color w:val="000000"/>
        </w:rPr>
      </w:pPr>
      <w:bookmarkStart w:id="7" w:name="_Hlk91258567"/>
      <w:r>
        <w:rPr>
          <w:rFonts w:ascii="標楷體" w:eastAsia="標楷體" w:hAnsi="標楷體"/>
          <w:color w:val="000000"/>
        </w:rPr>
        <w:t>9.28.Bortezomib（如Velcade）：（96/6/1、98/2/1、99/3/1、99/9/1、100/10/1、101/6/1、105/5/1、109/4/1、109/6/1、111/1/1、112/4/1）附表九之三</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1.合併其他癌症治療藥品使用於多發性骨髓瘤病人：(99/3/1、100/10/1、101/6/1、109/4/1、109/6/1、111/1/1、112/4/1)</w:t>
      </w:r>
    </w:p>
    <w:p w:rsidR="00B96EA0" w:rsidRDefault="007D66B8" w:rsidP="005142EB">
      <w:pPr>
        <w:spacing w:line="400" w:lineRule="exact"/>
        <w:ind w:left="1134" w:hanging="341"/>
      </w:pPr>
      <w:r>
        <w:rPr>
          <w:rFonts w:ascii="標楷體" w:eastAsia="標楷體" w:hAnsi="標楷體"/>
          <w:color w:val="000000"/>
        </w:rPr>
        <w:t>(1)</w:t>
      </w:r>
      <w:r>
        <w:t xml:space="preserve"> </w:t>
      </w:r>
      <w:r>
        <w:rPr>
          <w:rFonts w:ascii="標楷體" w:eastAsia="標楷體" w:hAnsi="標楷體"/>
          <w:color w:val="000000"/>
        </w:rPr>
        <w:t>每人終生以16個療程為上限。(99/9/1、109/4/1、109/6/1、111/1/1、112/4/1）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(2)需經事前申請後使用，每次申請4個療程。（101/6/1）</w:t>
      </w:r>
    </w:p>
    <w:p w:rsidR="00B96EA0" w:rsidRDefault="007D66B8" w:rsidP="005142EB">
      <w:pPr>
        <w:spacing w:line="400" w:lineRule="exact"/>
        <w:ind w:left="1134" w:hanging="341"/>
      </w:pPr>
      <w:r>
        <w:rPr>
          <w:rFonts w:ascii="標楷體" w:eastAsia="標楷體" w:hAnsi="標楷體"/>
          <w:color w:val="000000"/>
        </w:rPr>
        <w:t>(3)</w:t>
      </w:r>
      <w:r>
        <w:t xml:space="preserve"> </w:t>
      </w:r>
      <w:r>
        <w:rPr>
          <w:rFonts w:ascii="標楷體" w:eastAsia="標楷體" w:hAnsi="標楷體"/>
          <w:color w:val="000000"/>
        </w:rPr>
        <w:t>開始治療時病患須同時符合下列Ⅰ.與Ⅱ.的條件：（112/4/1）</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Ⅰ.骨髓漿細胞(plasma cells)比例≧10%，或是經切片確認且有≧1顆的plasmacytoma。</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Ⅱ.出現下列任一臨床症狀：</w:t>
      </w:r>
    </w:p>
    <w:p w:rsidR="00B96EA0" w:rsidRDefault="007D66B8" w:rsidP="005142EB">
      <w:pPr>
        <w:spacing w:line="400" w:lineRule="exact"/>
        <w:ind w:left="1373" w:hanging="341"/>
      </w:pPr>
      <w:r>
        <w:rPr>
          <w:rFonts w:ascii="新細明體" w:hAnsi="新細明體" w:cs="新細明體"/>
          <w:color w:val="000000"/>
        </w:rPr>
        <w:t>ⅰ</w:t>
      </w:r>
      <w:r>
        <w:rPr>
          <w:rFonts w:ascii="標楷體" w:eastAsia="標楷體" w:hAnsi="標楷體"/>
          <w:color w:val="000000"/>
        </w:rPr>
        <w:t>.腎功能不全：serum creatinine＞2.0mg/dL或estimated GFR (eGFR)＜40 ml/min，且無其他原因可以解釋。</w:t>
      </w:r>
    </w:p>
    <w:p w:rsidR="00B96EA0" w:rsidRDefault="007D66B8" w:rsidP="005142EB">
      <w:pPr>
        <w:spacing w:line="400" w:lineRule="exact"/>
        <w:ind w:left="1373" w:hanging="341"/>
      </w:pPr>
      <w:r>
        <w:rPr>
          <w:rFonts w:ascii="新細明體" w:hAnsi="新細明體" w:cs="新細明體"/>
          <w:color w:val="000000"/>
        </w:rPr>
        <w:t>ⅱ</w:t>
      </w:r>
      <w:r>
        <w:rPr>
          <w:rFonts w:ascii="標楷體" w:eastAsia="標楷體" w:hAnsi="標楷體"/>
          <w:color w:val="000000"/>
        </w:rPr>
        <w:t>.高血鈣(corrected serum calcium＞11.0 mg/dL 或 2.75 mmol/L)。</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iii.貧血(Hemoglobin＜10 gm/dL且無其他原因可以解釋)。</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lastRenderedPageBreak/>
        <w:t>iv.影像檢查確認之osteolytic bone lesion(s)。</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v.骨髓漿細胞(plasma cells)比例≧60%。</w:t>
      </w:r>
    </w:p>
    <w:p w:rsidR="00B96EA0" w:rsidRDefault="007D66B8" w:rsidP="005142EB">
      <w:pPr>
        <w:spacing w:line="400" w:lineRule="exact"/>
        <w:ind w:left="1373" w:hanging="341"/>
        <w:rPr>
          <w:rFonts w:ascii="標楷體" w:eastAsia="標楷體" w:hAnsi="標楷體"/>
          <w:color w:val="000000"/>
        </w:rPr>
      </w:pPr>
      <w:r>
        <w:rPr>
          <w:rFonts w:ascii="標楷體" w:eastAsia="標楷體" w:hAnsi="標楷體"/>
          <w:color w:val="000000"/>
        </w:rPr>
        <w:t>vi.Serum free light-chain ratio≧100。</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(4)使用4個療程後，必須確定藥物使用後paraprotein (M-protein)未上升 (即表示為response或stable status)，或對部分non-secretory type MM病人以骨髓檢查plasma cell之比率為療效依據，方可繼續使用。（101/6/1、109/4/1）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(5)若病患於前線療程符合前項規定(4)之療效而醫師決定可暫時停藥，則後續療程可保留，於疾病復發時，再行申請使用。（101/6/1、109/4/1）</w:t>
      </w:r>
    </w:p>
    <w:p w:rsidR="00B96EA0" w:rsidRDefault="007D66B8" w:rsidP="005142EB">
      <w:pPr>
        <w:spacing w:line="400" w:lineRule="exact"/>
        <w:ind w:left="1134" w:hanging="341"/>
      </w:pPr>
      <w:r>
        <w:rPr>
          <w:rFonts w:ascii="標楷體" w:eastAsia="標楷體" w:hAnsi="標楷體"/>
          <w:color w:val="000000"/>
        </w:rPr>
        <w:t>(6)</w:t>
      </w:r>
      <w:r>
        <w:t xml:space="preserve"> </w:t>
      </w:r>
      <w:r>
        <w:rPr>
          <w:rFonts w:ascii="標楷體" w:eastAsia="標楷體" w:hAnsi="標楷體"/>
          <w:color w:val="000000"/>
        </w:rPr>
        <w:t>112年3月31日以前已核定用藥之病人，得經事前審查核准後，使用至總療程上限（即終生16個療程）或使用期間發生疾病惡化為止。（112/4/1）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2.被套細胞淋巴瘤（Mantle Cell Lymphoma, MCL）病人：(98/2/1、105/5/1)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(1)每人以8個療程為上限。(99/9/1)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(2)每日最大劑量1.5mg/m2/day；每個療程第1,4,8,11日給藥。</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(3)第一線使用過復發者，不得申請再次使用。(105/5/1)</w:t>
      </w:r>
    </w:p>
    <w:p w:rsidR="00B96EA0" w:rsidRDefault="007D66B8" w:rsidP="005142EB">
      <w:pPr>
        <w:spacing w:line="400" w:lineRule="exact"/>
        <w:ind w:left="1134" w:hanging="341"/>
        <w:rPr>
          <w:rFonts w:ascii="標楷體" w:eastAsia="標楷體" w:hAnsi="標楷體"/>
          <w:color w:val="000000"/>
        </w:rPr>
      </w:pPr>
      <w:r>
        <w:rPr>
          <w:rFonts w:ascii="標楷體" w:eastAsia="標楷體" w:hAnsi="標楷體"/>
          <w:color w:val="000000"/>
        </w:rPr>
        <w:t>(4)需經事前審查核准後使用。</w:t>
      </w:r>
      <w:bookmarkEnd w:id="7"/>
    </w:p>
    <w:p w:rsidR="00B96EA0" w:rsidRDefault="007D66B8" w:rsidP="005142EB">
      <w:pPr>
        <w:spacing w:line="400" w:lineRule="exact"/>
        <w:ind w:left="851" w:hanging="567"/>
      </w:pPr>
      <w:r>
        <w:rPr>
          <w:rFonts w:ascii="標楷體" w:eastAsia="標楷體" w:hAnsi="標楷體"/>
          <w:color w:val="000000"/>
        </w:rPr>
        <w:t>9.29.</w:t>
      </w:r>
      <w:r>
        <w:t xml:space="preserve"> </w:t>
      </w:r>
      <w:r>
        <w:rPr>
          <w:rFonts w:ascii="標楷體" w:eastAsia="標楷體" w:hAnsi="標楷體"/>
          <w:kern w:val="0"/>
          <w:szCs w:val="24"/>
        </w:rPr>
        <w:t>Erlotinib（如Tarceva）：（96/6/1、96/8/1、97/6/1、101/5/1、101/10/1、102/4/1、102/11/1、103/5/1、106/11/1、108/6/1、108/11/1</w:t>
      </w:r>
      <w:r>
        <w:rPr>
          <w:rFonts w:ascii="標楷體" w:eastAsia="標楷體" w:hAnsi="標楷體"/>
        </w:rPr>
        <w:t>、109/4/1、109/6/1、109/10/1、111/2/1</w:t>
      </w:r>
      <w:r>
        <w:rPr>
          <w:rFonts w:ascii="新細明體" w:hAnsi="新細明體"/>
        </w:rPr>
        <w:t>、</w:t>
      </w:r>
      <w:r>
        <w:rPr>
          <w:rFonts w:ascii="標楷體" w:eastAsia="標楷體" w:hAnsi="標楷體"/>
        </w:rPr>
        <w:t>111/4/1</w:t>
      </w:r>
      <w:r>
        <w:rPr>
          <w:rFonts w:ascii="標楷體" w:eastAsia="標楷體" w:hAnsi="標楷體"/>
          <w:color w:val="000000"/>
        </w:rPr>
        <w:t>、113/3/1、113/6/1、113/9/1、113/10/1、114/3/1、114/4/1</w:t>
      </w:r>
      <w:r>
        <w:rPr>
          <w:rFonts w:ascii="標楷體" w:eastAsia="標楷體" w:hAnsi="標楷體"/>
          <w:kern w:val="0"/>
          <w:szCs w:val="24"/>
        </w:rPr>
        <w:t>）</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適用於具有EGFR-TK突變之局部侵犯性或轉移性(即第ⅢB、ⅢC或第Ⅳ期)之肺腺癌病患之第一線治療，需檢附EGFR基因檢測結果報告，且需符合全民健康保險藥品給付規定之通則十二。(102/11/1、108/6/1、108/11/1、113/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(2)已接受4個週期platinum類第一線化學療法後，腫瘤範圍穩定(stable disease，不含partial response或complete response)之局部晚期或轉移性肺腺癌的維持療法。(102/4/1)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(3)先前已使用過platinum類第一線化學治療，或70歲以上接受過第一線化學治療，但仍局部惡化或轉移之腺性非小細胞肺癌之第二線用藥。（97/6/1、111/2/1）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(4)先前已使用過platinum類及docetaxel或paclitaxel化學治療後，但仍局部惡化或轉移之非小細胞肺癌之第三線用藥。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2.Erlotinib與bevacizumab(除Zirabev以外)併用，作為無法手術切除的轉移性（第Ⅳ期）且帶有表皮生長因子受體(EGFR) Exon 21 L858R活性化突變之腦轉移非鱗狀非小細胞肺癌病患的第一線治療。(113/3/1、113/9/1、114/3/1、114/4/1）</w:t>
      </w:r>
    </w:p>
    <w:p w:rsidR="00B96EA0" w:rsidRDefault="007D66B8" w:rsidP="005142EB">
      <w:pPr>
        <w:spacing w:line="400" w:lineRule="exact"/>
        <w:ind w:left="811" w:hanging="245"/>
      </w:pPr>
      <w:r>
        <w:rPr>
          <w:rFonts w:ascii="標楷體" w:eastAsia="標楷體" w:hAnsi="標楷體"/>
          <w:color w:val="000000"/>
        </w:rPr>
        <w:t>3.使用注意事項(106/11/1</w:t>
      </w:r>
      <w:r>
        <w:rPr>
          <w:rFonts w:ascii="標楷體" w:eastAsia="標楷體" w:hAnsi="標楷體"/>
        </w:rPr>
        <w:t>、109/4/1、109/10/1</w:t>
      </w:r>
      <w:r>
        <w:rPr>
          <w:rFonts w:ascii="新細明體" w:hAnsi="新細明體"/>
        </w:rPr>
        <w:t>、</w:t>
      </w:r>
      <w:r>
        <w:rPr>
          <w:rFonts w:ascii="標楷體" w:eastAsia="標楷體" w:hAnsi="標楷體"/>
        </w:rPr>
        <w:t>111/4/1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kern w:val="0"/>
          <w:szCs w:val="24"/>
        </w:rPr>
        <w:t>(1)用於已接受platinum類第一線化學療法後，病情穩定之維持療法：病歷應留存確實患有肺腺癌之病理或細胞檢查報告，並附已接受4個週期platinum類第一線化</w:t>
      </w:r>
      <w:r>
        <w:rPr>
          <w:rFonts w:ascii="標楷體" w:eastAsia="標楷體" w:hAnsi="標楷體"/>
          <w:kern w:val="0"/>
          <w:szCs w:val="24"/>
        </w:rPr>
        <w:lastRenderedPageBreak/>
        <w:t>學療法後，腫瘤範圍穩定(stable disease，不含partial response或complete response)之影像診斷證明（如胸部X光、電腦斷層或其他可作為評估的影像）。(102/4/1、106/11/1)</w:t>
      </w:r>
    </w:p>
    <w:p w:rsidR="00B96EA0" w:rsidRDefault="007D66B8" w:rsidP="005142EB">
      <w:pPr>
        <w:spacing w:line="400" w:lineRule="exact"/>
        <w:ind w:left="1049" w:hanging="341"/>
      </w:pPr>
      <w:r>
        <w:rPr>
          <w:rFonts w:ascii="標楷體" w:eastAsia="標楷體" w:hAnsi="標楷體"/>
          <w:color w:val="000000"/>
        </w:rPr>
        <w:t>(2)</w:t>
      </w:r>
      <w:r>
        <w:rPr>
          <w:rFonts w:ascii="標楷體" w:eastAsia="標楷體" w:hAnsi="標楷體"/>
          <w:kern w:val="0"/>
          <w:szCs w:val="24"/>
        </w:rPr>
        <w:t>用於第二線用藥：病歷應留存確實患有非小細胞肺癌之病理或細胞檢查報告，並附曾經接受platinum類第一線化學治療，或70歲(含)以上接受過第一線化學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用於第三線用藥：病歷應留存確實患有非小細胞肺癌之病理或細胞檢查報告，並附曾經接受第一線及第二線化學藥物如platinum(cisplatin或carboplatin)與taxane(paclitaxel或docetaxel)治療之證明，及目前又有疾病惡化之影像診斷證明（如胸部X光、電腦斷層或其他可作為評估的影像），此影像證明以可測量（measurable）的病灶為優先，如沒有可以測量的病灶，則可評估（evaluable）的病灶亦可採用。（97/6/1、106/11/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(4)每次處方以4週為限，再次處方時需於病歷記錄治療後相關臨床資料，如每4週需追蹤胸部X光或電腦斷層等影像檢查，每8至12週需進行完整療效評估（如胸部X光或電腦斷層）。(101/5/1、106/11/1)</w:t>
      </w:r>
    </w:p>
    <w:p w:rsidR="00B96EA0" w:rsidRDefault="007D66B8" w:rsidP="005142EB">
      <w:pPr>
        <w:spacing w:line="400" w:lineRule="exact"/>
        <w:ind w:left="1049" w:hanging="341"/>
      </w:pPr>
      <w:r>
        <w:rPr>
          <w:rFonts w:ascii="標楷體" w:eastAsia="標楷體" w:hAnsi="標楷體"/>
          <w:color w:val="000000"/>
        </w:rPr>
        <w:t>(5)本藥品與gefitinib及afatinib不得併用。(103/5/1</w:t>
      </w:r>
      <w:r>
        <w:rPr>
          <w:rFonts w:ascii="標楷體" w:eastAsia="標楷體" w:hAnsi="標楷體"/>
        </w:rPr>
        <w:t>、109/4/1</w:t>
      </w:r>
      <w:r>
        <w:rPr>
          <w:rFonts w:ascii="標楷體" w:eastAsia="標楷體" w:hAnsi="標楷體"/>
          <w:color w:val="000000"/>
        </w:rPr>
        <w:t>)</w:t>
      </w:r>
    </w:p>
    <w:p w:rsidR="00B96EA0" w:rsidRDefault="007D66B8" w:rsidP="005142EB">
      <w:pPr>
        <w:spacing w:line="400" w:lineRule="exact"/>
        <w:ind w:left="1049" w:hanging="341"/>
      </w:pPr>
      <w:r>
        <w:rPr>
          <w:rFonts w:ascii="標楷體" w:eastAsia="標楷體" w:hAnsi="標楷體"/>
        </w:rPr>
        <w:t>(6)本藥品於第一線使用時，與osimertinib及dacomitinib僅得擇一使用，除因耐受性不良，不得互換。(109/6/1、109/10/1、111/4/1、113/10/1)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備註1：非小細胞肺癌病患的第二線治療用藥之定義為：病患需先經第一線含鉑化學治療，或70歲(含)以上接受過第一線化學治療後，因疾病惡化，此時所給予之治療即為第二線用藥。（97/6/1）</w:t>
      </w:r>
    </w:p>
    <w:p w:rsidR="00B96EA0" w:rsidRDefault="007D66B8" w:rsidP="005142EB">
      <w:pPr>
        <w:spacing w:line="400" w:lineRule="exact"/>
        <w:ind w:left="1416" w:hanging="816"/>
        <w:rPr>
          <w:rFonts w:ascii="標楷體" w:eastAsia="標楷體" w:hAnsi="標楷體"/>
          <w:color w:val="000000"/>
        </w:rPr>
      </w:pPr>
      <w:r>
        <w:rPr>
          <w:rFonts w:ascii="標楷體" w:eastAsia="標楷體" w:hAnsi="標楷體"/>
          <w:color w:val="000000"/>
        </w:rPr>
        <w:t>備註2：非小細胞肺癌病患的第三線治療用藥之定義為：病患需先經第一線化學藥物治療後，因疾病惡化，再經第二線不同的化學藥物治療之後，若疾病再度惡化，此時所給予之治療即為第三線用藥。</w:t>
      </w:r>
    </w:p>
    <w:p w:rsidR="00B96EA0" w:rsidRDefault="007D66B8" w:rsidP="005142EB">
      <w:pPr>
        <w:spacing w:line="400" w:lineRule="exact"/>
        <w:ind w:left="709" w:hanging="353"/>
        <w:rPr>
          <w:rFonts w:ascii="標楷體" w:eastAsia="標楷體" w:hAnsi="標楷體"/>
          <w:color w:val="000000"/>
        </w:rPr>
      </w:pPr>
      <w:r>
        <w:rPr>
          <w:rFonts w:ascii="標楷體" w:eastAsia="標楷體" w:hAnsi="標楷體"/>
          <w:color w:val="000000"/>
        </w:rPr>
        <w:t>9.30.Dasatinib(如Sprycel)：(98/1/1、102/4/1、104/12/1、110/5/1、113/6/1)</w:t>
      </w:r>
    </w:p>
    <w:p w:rsidR="00B96EA0" w:rsidRDefault="007D66B8" w:rsidP="005142EB">
      <w:pPr>
        <w:spacing w:line="400" w:lineRule="exact"/>
        <w:ind w:left="1063" w:hanging="353"/>
        <w:rPr>
          <w:rFonts w:ascii="標楷體" w:eastAsia="標楷體" w:hAnsi="標楷體"/>
          <w:color w:val="000000"/>
        </w:rPr>
      </w:pPr>
      <w:r>
        <w:rPr>
          <w:rFonts w:ascii="標楷體" w:eastAsia="標楷體" w:hAnsi="標楷體"/>
          <w:color w:val="000000"/>
        </w:rPr>
        <w:t>限用於</w:t>
      </w:r>
    </w:p>
    <w:p w:rsidR="00B96EA0" w:rsidRDefault="007D66B8" w:rsidP="005142EB">
      <w:pPr>
        <w:spacing w:line="400" w:lineRule="exact"/>
        <w:ind w:left="993" w:hanging="353"/>
        <w:rPr>
          <w:rFonts w:ascii="標楷體" w:eastAsia="標楷體" w:hAnsi="標楷體"/>
          <w:color w:val="000000"/>
        </w:rPr>
      </w:pPr>
      <w:r>
        <w:rPr>
          <w:rFonts w:ascii="標楷體" w:eastAsia="標楷體" w:hAnsi="標楷體"/>
          <w:color w:val="000000"/>
        </w:rPr>
        <w:t>1.第一線使用(102/4/1、104/12/1、110/5/1)：</w:t>
      </w:r>
    </w:p>
    <w:p w:rsidR="00B96EA0" w:rsidRDefault="007D66B8" w:rsidP="005142EB">
      <w:pPr>
        <w:spacing w:line="400" w:lineRule="exact"/>
        <w:ind w:left="1063" w:hanging="353"/>
        <w:rPr>
          <w:rFonts w:ascii="標楷體" w:eastAsia="標楷體" w:hAnsi="標楷體"/>
          <w:color w:val="000000"/>
        </w:rPr>
      </w:pPr>
      <w:r>
        <w:rPr>
          <w:rFonts w:ascii="標楷體" w:eastAsia="標楷體" w:hAnsi="標楷體"/>
          <w:color w:val="000000"/>
        </w:rPr>
        <w:lastRenderedPageBreak/>
        <w:t>(1)治療新診斷的費城染色體陽性之慢性期慢性骨髓性白血病的成人。</w:t>
      </w:r>
    </w:p>
    <w:p w:rsidR="00B96EA0" w:rsidRDefault="007D66B8" w:rsidP="005142EB">
      <w:pPr>
        <w:spacing w:line="400" w:lineRule="exact"/>
        <w:ind w:left="1063" w:hanging="353"/>
        <w:rPr>
          <w:rFonts w:ascii="標楷體" w:eastAsia="標楷體" w:hAnsi="標楷體"/>
          <w:color w:val="000000"/>
        </w:rPr>
      </w:pPr>
      <w:r>
        <w:rPr>
          <w:rFonts w:ascii="標楷體" w:eastAsia="標楷體" w:hAnsi="標楷體"/>
          <w:color w:val="000000"/>
        </w:rPr>
        <w:t>(2)併用化療適用於新診斷費城染色體陽性急性淋巴性白血病(Ph+ ALL)之1歲以上兒童病人，無疾病惡化時的維持治療限使用2年。(110/5/1)</w:t>
      </w:r>
    </w:p>
    <w:p w:rsidR="00B96EA0" w:rsidRDefault="007D66B8" w:rsidP="005142EB">
      <w:pPr>
        <w:spacing w:line="400" w:lineRule="exact"/>
        <w:ind w:left="993" w:hanging="353"/>
        <w:rPr>
          <w:rFonts w:ascii="標楷體" w:eastAsia="標楷體" w:hAnsi="標楷體"/>
          <w:color w:val="000000"/>
        </w:rPr>
      </w:pPr>
      <w:r>
        <w:rPr>
          <w:rFonts w:ascii="標楷體" w:eastAsia="標楷體" w:hAnsi="標楷體"/>
          <w:color w:val="000000"/>
        </w:rPr>
        <w:t>2.第二線使用(104/12/1)：</w:t>
      </w:r>
    </w:p>
    <w:p w:rsidR="00B96EA0" w:rsidRDefault="007D66B8" w:rsidP="005142EB">
      <w:pPr>
        <w:spacing w:line="400" w:lineRule="exact"/>
        <w:ind w:left="1063" w:hanging="353"/>
        <w:rPr>
          <w:rFonts w:ascii="標楷體" w:eastAsia="標楷體" w:hAnsi="標楷體"/>
          <w:color w:val="000000"/>
        </w:rPr>
      </w:pPr>
      <w:r>
        <w:rPr>
          <w:rFonts w:ascii="標楷體" w:eastAsia="標楷體" w:hAnsi="標楷體"/>
          <w:color w:val="000000"/>
        </w:rPr>
        <w:t>(1)治療患有慢性、加速或急性期慢性骨髓性白血病，對先前經imatinib 400mg(含)以上治療後有抗藥性或無耐受性的成人。</w:t>
      </w:r>
    </w:p>
    <w:p w:rsidR="00B96EA0" w:rsidRDefault="007D66B8" w:rsidP="005142EB">
      <w:pPr>
        <w:spacing w:line="400" w:lineRule="exact"/>
        <w:ind w:left="1063" w:hanging="353"/>
        <w:rPr>
          <w:rFonts w:ascii="標楷體" w:eastAsia="標楷體" w:hAnsi="標楷體"/>
          <w:color w:val="000000"/>
        </w:rPr>
      </w:pPr>
      <w:r>
        <w:rPr>
          <w:rFonts w:ascii="標楷體" w:eastAsia="標楷體" w:hAnsi="標楷體"/>
          <w:color w:val="000000"/>
        </w:rPr>
        <w:t>(2)治療患有費城染色體陽性急性淋巴性白血病，且對先前經imatinib 400mg(含)以上治療後有抗藥性或無耐受性的成人。</w:t>
      </w:r>
    </w:p>
    <w:p w:rsidR="00B96EA0" w:rsidRDefault="007D66B8" w:rsidP="005142EB">
      <w:pPr>
        <w:spacing w:line="400" w:lineRule="exact"/>
        <w:ind w:left="1063" w:hanging="353"/>
        <w:rPr>
          <w:rFonts w:ascii="標楷體" w:eastAsia="標楷體" w:hAnsi="標楷體"/>
          <w:color w:val="000000"/>
        </w:rPr>
      </w:pPr>
      <w:r>
        <w:rPr>
          <w:rFonts w:ascii="標楷體" w:eastAsia="標楷體" w:hAnsi="標楷體"/>
          <w:color w:val="000000"/>
        </w:rPr>
        <w:t>(3)需檢送病歷及對imatinib耐受性不良或無效的證明(104/12/1)。</w:t>
      </w:r>
    </w:p>
    <w:p w:rsidR="00B96EA0" w:rsidRDefault="007D66B8" w:rsidP="005142EB">
      <w:pPr>
        <w:spacing w:line="400" w:lineRule="exact"/>
        <w:ind w:left="851" w:hanging="211"/>
        <w:rPr>
          <w:rFonts w:ascii="標楷體" w:eastAsia="標楷體" w:hAnsi="標楷體"/>
          <w:color w:val="000000"/>
        </w:rPr>
      </w:pPr>
      <w:r>
        <w:rPr>
          <w:rFonts w:ascii="標楷體" w:eastAsia="標楷體" w:hAnsi="標楷體"/>
          <w:color w:val="000000"/>
        </w:rPr>
        <w:t>3.治療患有慢性期費城染色體陽性慢性骨髓性白血病(Ph+ CML) 之1歲以上的兒童病人。(110/5/1)</w:t>
      </w:r>
    </w:p>
    <w:p w:rsidR="00B96EA0" w:rsidRDefault="007D66B8" w:rsidP="005142EB">
      <w:pPr>
        <w:spacing w:line="400" w:lineRule="exact"/>
        <w:ind w:left="851" w:hanging="211"/>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7D66B8" w:rsidP="005142EB">
      <w:pPr>
        <w:spacing w:line="400" w:lineRule="exact"/>
        <w:ind w:left="709" w:hanging="341"/>
      </w:pPr>
      <w:r>
        <w:rPr>
          <w:rFonts w:ascii="標楷體" w:eastAsia="標楷體" w:hAnsi="標楷體"/>
        </w:rPr>
        <w:t>9.31.</w:t>
      </w:r>
      <w:r>
        <w:t xml:space="preserve"> </w:t>
      </w:r>
      <w:r>
        <w:rPr>
          <w:rFonts w:ascii="標楷體" w:eastAsia="標楷體" w:hAnsi="標楷體"/>
        </w:rPr>
        <w:t>Sunitinib（如Sutent）：（98/2/1、98/5/1、99/1/1、99/2/1、101/5/1、102/1/1、104/12/1、110/12/1、112/3/1）</w:t>
      </w:r>
    </w:p>
    <w:p w:rsidR="00B96EA0" w:rsidRDefault="007D66B8" w:rsidP="005142EB">
      <w:pPr>
        <w:spacing w:line="400" w:lineRule="exact"/>
        <w:ind w:left="993" w:hanging="341"/>
        <w:rPr>
          <w:rFonts w:ascii="標楷體" w:eastAsia="標楷體" w:hAnsi="標楷體"/>
        </w:rPr>
      </w:pPr>
      <w:r>
        <w:rPr>
          <w:rFonts w:ascii="標楷體" w:eastAsia="標楷體" w:hAnsi="標楷體"/>
        </w:rPr>
        <w:t>1.腸胃道間質腫瘤：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(1)限用於以imatinib治療期間出現疾病惡化或對該藥出現不能忍受之腸胃道間質腫瘤(99/2/1)。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(2)若使用本藥品出現疾病惡化或無法忍受其副作用，不得替換使用imatinib治療(99/2/1)。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(3)需經事前審查核准後使用，送審時須檢送病歷及對imatinib耐受性不良或無效之證明。（98/5/1）(99/2/1)</w:t>
      </w:r>
    </w:p>
    <w:p w:rsidR="00B96EA0" w:rsidRDefault="007D66B8" w:rsidP="005142EB">
      <w:pPr>
        <w:spacing w:line="400" w:lineRule="exact"/>
        <w:ind w:left="1049" w:hanging="341"/>
      </w:pPr>
      <w:r>
        <w:rPr>
          <w:rFonts w:ascii="標楷體" w:eastAsia="標楷體" w:hAnsi="標楷體"/>
        </w:rPr>
        <w:t>2.</w:t>
      </w:r>
      <w:r>
        <w:t xml:space="preserve"> </w:t>
      </w:r>
      <w:r>
        <w:rPr>
          <w:rFonts w:ascii="標楷體" w:eastAsia="標楷體" w:hAnsi="標楷體"/>
        </w:rPr>
        <w:t>晚期腎細胞癌：（99/1/1、110/12/1、112/3/1）</w:t>
      </w:r>
    </w:p>
    <w:p w:rsidR="00B96EA0" w:rsidRDefault="007D66B8" w:rsidP="005142EB">
      <w:pPr>
        <w:spacing w:line="400" w:lineRule="exact"/>
        <w:ind w:left="1049" w:hanging="341"/>
      </w:pPr>
      <w:r>
        <w:rPr>
          <w:rFonts w:ascii="標楷體" w:eastAsia="標楷體" w:hAnsi="標楷體"/>
        </w:rPr>
        <w:t>(1)</w:t>
      </w:r>
      <w:r>
        <w:t xml:space="preserve"> </w:t>
      </w:r>
      <w:r>
        <w:rPr>
          <w:rFonts w:ascii="標楷體" w:eastAsia="標楷體" w:hAnsi="標楷體"/>
        </w:rPr>
        <w:t>可用於第一線治療晚期或轉移性腎細胞癌。（112/3/1）</w:t>
      </w:r>
    </w:p>
    <w:p w:rsidR="00B96EA0" w:rsidRDefault="007D66B8" w:rsidP="005142EB">
      <w:pPr>
        <w:spacing w:line="400" w:lineRule="exact"/>
        <w:ind w:left="1049" w:hanging="341"/>
        <w:rPr>
          <w:rFonts w:ascii="標楷體" w:eastAsia="標楷體" w:hAnsi="標楷體"/>
        </w:rPr>
      </w:pPr>
      <w:r>
        <w:rPr>
          <w:rFonts w:ascii="標楷體" w:eastAsia="標楷體" w:hAnsi="標楷體"/>
        </w:rPr>
        <w:t>(2)無效後則不給付temsirolimus。（110/12/1）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(3)需檢送影像資料，每三個月評估一次。(104/12/1)</w:t>
      </w:r>
    </w:p>
    <w:p w:rsidR="00B96EA0" w:rsidRDefault="007D66B8" w:rsidP="005142EB">
      <w:pPr>
        <w:spacing w:line="400" w:lineRule="exact"/>
        <w:ind w:left="1049" w:hanging="341"/>
        <w:rPr>
          <w:rFonts w:ascii="標楷體" w:eastAsia="標楷體" w:hAnsi="標楷體"/>
        </w:rPr>
      </w:pPr>
      <w:r>
        <w:rPr>
          <w:rFonts w:ascii="標楷體" w:eastAsia="標楷體" w:hAnsi="標楷體"/>
        </w:rPr>
        <w:t>(4)病人若對藥物產生耐受性不佳（intolerance），則以原來藥物減量為原則，若嚴重耐受性不佳，可以換其他TKI。</w:t>
      </w:r>
    </w:p>
    <w:p w:rsidR="00B96EA0" w:rsidRDefault="007D66B8" w:rsidP="005142EB">
      <w:pPr>
        <w:spacing w:line="400" w:lineRule="exact"/>
        <w:ind w:left="1049" w:hanging="341"/>
        <w:rPr>
          <w:rFonts w:ascii="標楷體" w:eastAsia="標楷體" w:hAnsi="標楷體"/>
        </w:rPr>
      </w:pPr>
      <w:r>
        <w:rPr>
          <w:rFonts w:ascii="標楷體" w:eastAsia="標楷體" w:hAnsi="標楷體"/>
        </w:rPr>
        <w:t>3.進展性，無法切除或轉移性分化良好之胰臟神經內分泌腫瘤的成人病患，須同時符合下列條件：(101/5/1）</w:t>
      </w:r>
    </w:p>
    <w:p w:rsidR="00B96EA0" w:rsidRDefault="007D66B8" w:rsidP="005142EB">
      <w:pPr>
        <w:spacing w:line="400" w:lineRule="exact"/>
        <w:ind w:left="1049" w:hanging="341"/>
        <w:rPr>
          <w:rFonts w:ascii="標楷體" w:eastAsia="標楷體" w:hAnsi="標楷體"/>
        </w:rPr>
      </w:pPr>
      <w:r>
        <w:rPr>
          <w:rFonts w:ascii="標楷體" w:eastAsia="標楷體" w:hAnsi="標楷體"/>
        </w:rPr>
        <w:t>(1)符合WHO 2010分類方式之G1 or G2胰臟神經內分泌瘤。</w:t>
      </w:r>
    </w:p>
    <w:p w:rsidR="00B96EA0" w:rsidRDefault="007D66B8" w:rsidP="005142EB">
      <w:pPr>
        <w:spacing w:line="400" w:lineRule="exact"/>
        <w:ind w:left="1049" w:hanging="341"/>
        <w:rPr>
          <w:rFonts w:ascii="標楷體" w:eastAsia="標楷體" w:hAnsi="標楷體"/>
        </w:rPr>
      </w:pPr>
      <w:r>
        <w:rPr>
          <w:rFonts w:ascii="標楷體" w:eastAsia="標楷體" w:hAnsi="標楷體"/>
        </w:rPr>
        <w:t>(2)於一年內影像檢查證實有明顯惡化者。</w:t>
      </w:r>
    </w:p>
    <w:p w:rsidR="00B96EA0" w:rsidRDefault="007D66B8" w:rsidP="005142EB">
      <w:pPr>
        <w:spacing w:line="400" w:lineRule="exact"/>
        <w:ind w:left="1049" w:hanging="341"/>
        <w:rPr>
          <w:rFonts w:ascii="標楷體" w:eastAsia="標楷體" w:hAnsi="標楷體"/>
        </w:rPr>
      </w:pPr>
      <w:r>
        <w:rPr>
          <w:rFonts w:ascii="標楷體" w:eastAsia="標楷體" w:hAnsi="標楷體"/>
        </w:rPr>
        <w:t>(3)不可合併使用化學治療或相關標靶藥物。（102/1/1）</w:t>
      </w:r>
    </w:p>
    <w:p w:rsidR="00B96EA0" w:rsidRDefault="007D66B8" w:rsidP="005142EB">
      <w:pPr>
        <w:spacing w:line="400" w:lineRule="exact"/>
        <w:ind w:left="1049" w:hanging="341"/>
      </w:pPr>
      <w:r>
        <w:rPr>
          <w:rFonts w:ascii="標楷體" w:eastAsia="標楷體" w:hAnsi="標楷體"/>
        </w:rPr>
        <w:t>(4)經事前專案審查核准後使用，且需每3個月評估一次。</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9.32.Nilotinib：（98/6/1、99/1/1、101/7/1、113/6/1）附表九之六</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9.32.1.Nilotinib 200mg(如Tasigna 200mg)（98/6/1、99/1/1、104/12/1、113/6/1）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1.限用於治療對imatinib 400MG(含)以上耐受性不良或治療無效的「慢性期或加速期費城染色體(Philadelphia chromosome)陽性的慢性骨髓性白血病(CML)成年患者」。</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2.必須檢附耐受性不良或治療無效的證明。(104/12/1)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3.Nilotinib與dasatinib不得合併使用。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4.1~2項規定內之疾病診斷或追蹤若需依據基因檢測報告，則需符合全民健康保險藥品給付規定之通則十二。(113/6/1)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9.32.2.Nilotinib 150mg(如Tasigna 150mg)：(101/7/1、104/12/1、113/6/1)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1.限用於新確診之慢性期費城染色體陽性的慢性骨髓性白血病。(104/12/1)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2.疾病診斷或追蹤若需依據基因檢測報告，則需符合全民健康保險藥品給付規定之通則十二。(113/6/1)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9.33.Thalidomide（如Thado）：(98/7/1)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治療新診斷多發性骨髓瘤。使用時須和prednisolone及oral melphalan併用，或和骨髓移植併用，或和palmidronate併用於骨髓移植後之治療。</w:t>
      </w:r>
    </w:p>
    <w:p w:rsidR="00B96EA0" w:rsidRDefault="007D66B8" w:rsidP="005142EB">
      <w:pPr>
        <w:spacing w:line="400" w:lineRule="exact"/>
        <w:ind w:left="672" w:hanging="386"/>
      </w:pPr>
      <w:r>
        <w:rPr>
          <w:rFonts w:ascii="標楷體" w:eastAsia="標楷體" w:hAnsi="標楷體"/>
          <w:color w:val="000000"/>
        </w:rPr>
        <w:t>9.34.Sorafenib(如Nexavar)：(98/10/1、100/6/1、101/8/1、104/12/1、105/11/1、106/1/1、107/7/1、108/6/1、108/12/1、109/1/1、112/8/1、114/2/1、114/6/1)</w:t>
      </w:r>
    </w:p>
    <w:p w:rsidR="00B96EA0" w:rsidRDefault="007D66B8" w:rsidP="005142EB">
      <w:pPr>
        <w:spacing w:line="400" w:lineRule="exact"/>
        <w:ind w:left="811" w:hanging="245"/>
      </w:pPr>
      <w:r>
        <w:rPr>
          <w:rFonts w:ascii="標楷體" w:eastAsia="標楷體" w:hAnsi="標楷體"/>
          <w:color w:val="000000"/>
          <w:lang w:val="it-IT"/>
        </w:rPr>
        <w:t>1.</w:t>
      </w:r>
      <w:r>
        <w:rPr>
          <w:rFonts w:ascii="標楷體" w:eastAsia="標楷體" w:hAnsi="標楷體"/>
          <w:color w:val="000000"/>
        </w:rPr>
        <w:t>晚期腎細胞癌部分</w:t>
      </w:r>
      <w:r>
        <w:rPr>
          <w:rFonts w:ascii="標楷體" w:eastAsia="標楷體" w:hAnsi="標楷體"/>
          <w:color w:val="000000"/>
          <w:lang w:val="it-IT"/>
        </w:rPr>
        <w:t>：</w:t>
      </w:r>
    </w:p>
    <w:p w:rsidR="00B96EA0" w:rsidRDefault="007D66B8" w:rsidP="005142EB">
      <w:pPr>
        <w:spacing w:line="400" w:lineRule="exact"/>
        <w:ind w:left="1049" w:hanging="341"/>
      </w:pPr>
      <w:r>
        <w:rPr>
          <w:rFonts w:ascii="標楷體" w:eastAsia="標楷體" w:hAnsi="標楷體"/>
          <w:color w:val="000000"/>
          <w:lang w:val="it-IT"/>
        </w:rPr>
        <w:t>(1)</w:t>
      </w:r>
      <w:r>
        <w:rPr>
          <w:rFonts w:ascii="標楷體" w:eastAsia="標楷體" w:hAnsi="標楷體"/>
          <w:color w:val="000000"/>
        </w:rPr>
        <w:t>晚期腎細胞癌且已接受</w:t>
      </w:r>
      <w:r>
        <w:rPr>
          <w:rFonts w:ascii="標楷體" w:eastAsia="標楷體" w:hAnsi="標楷體"/>
          <w:color w:val="000000"/>
          <w:lang w:val="it-IT"/>
        </w:rPr>
        <w:t>interferon-alpha</w:t>
      </w:r>
      <w:r>
        <w:rPr>
          <w:rFonts w:ascii="標楷體" w:eastAsia="標楷體" w:hAnsi="標楷體"/>
          <w:color w:val="000000"/>
        </w:rPr>
        <w:t>或</w:t>
      </w:r>
      <w:r>
        <w:rPr>
          <w:rFonts w:ascii="標楷體" w:eastAsia="標楷體" w:hAnsi="標楷體"/>
          <w:color w:val="000000"/>
          <w:lang w:val="it-IT"/>
        </w:rPr>
        <w:t>interleukin-2</w:t>
      </w:r>
      <w:r>
        <w:rPr>
          <w:rFonts w:ascii="標楷體" w:eastAsia="標楷體" w:hAnsi="標楷體"/>
          <w:color w:val="000000"/>
        </w:rPr>
        <w:t>治療失敗</w:t>
      </w:r>
      <w:r>
        <w:rPr>
          <w:rFonts w:ascii="標楷體" w:eastAsia="標楷體" w:hAnsi="標楷體"/>
          <w:color w:val="000000"/>
          <w:lang w:val="it-IT"/>
        </w:rPr>
        <w:t>，</w:t>
      </w:r>
      <w:r>
        <w:rPr>
          <w:rFonts w:ascii="標楷體" w:eastAsia="標楷體" w:hAnsi="標楷體"/>
          <w:color w:val="000000"/>
        </w:rPr>
        <w:t>或不適合以上兩種藥物治療之病患。不適合以上兩種藥物治療之病患，須符合cytokine禁忌症者得直接使用sorafenib。但須列舉出所符合之禁忌症及檢附相關證明。(100/6/1)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(3)需檢送影像資料，每3個月評估一次。(104/12/1)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2.晚期肝細胞癌部分：(101/8/1、105/11/1、108/6/1、109/1/1、112/8/1、114/2/1、114/6/1)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Ⅰ.肝外轉移（遠端轉移或肝外淋巴結侵犯）。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Ⅱ.大血管侵犯（腫瘤侵犯主門靜脈或侵犯左/右靜脈第一或第二分支）</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III.經導管動脈化學藥物栓塞治療（Transcatheter arterial chemo embolization,T.A.C.E.）失敗者，需提供患者於12個月內&gt;=3次局部治療之記錄。</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(2)需經事前審查核准後使用，初次申請之療程以3個月為限，之後每3個月評估一次。送審時需檢送影像資料，無疾病惡化方可繼續使用。(101/8/1、114/6/1)</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(4)Sorafenib、lenvatinib、atezolizumab併用bevacizumab、tremelimumab併用durvalumab僅得擇一給付，不得互換。(109/1/1、112/8/1、114/2/1)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lastRenderedPageBreak/>
        <w:t>3.用於放射性碘治療無效之局部晚期或轉移性的進行性(progressive)分化型甲狀腺癌(RAI-RDTC)：(106/1/1)</w:t>
      </w:r>
    </w:p>
    <w:p w:rsidR="00B96EA0" w:rsidRDefault="007D66B8" w:rsidP="005142EB">
      <w:pPr>
        <w:spacing w:line="400" w:lineRule="exact"/>
        <w:ind w:left="1133" w:hanging="425"/>
        <w:rPr>
          <w:rFonts w:ascii="標楷體" w:eastAsia="標楷體" w:hAnsi="標楷體"/>
          <w:color w:val="000000"/>
        </w:rPr>
      </w:pPr>
      <w:r>
        <w:rPr>
          <w:rFonts w:ascii="標楷體" w:eastAsia="標楷體" w:hAnsi="標楷體"/>
          <w:color w:val="000000"/>
        </w:rPr>
        <w:t>(1)放射性碘治療無效之局部晚期或轉移性的進行性(progressive)分化型甲狀腺癌。</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rsidR="00B96EA0" w:rsidRDefault="007D66B8" w:rsidP="005142EB">
      <w:pPr>
        <w:spacing w:line="400" w:lineRule="exact"/>
        <w:ind w:left="1090" w:hanging="384"/>
        <w:rPr>
          <w:rFonts w:ascii="標楷體" w:eastAsia="標楷體" w:hAnsi="標楷體"/>
          <w:color w:val="000000"/>
        </w:rPr>
      </w:pPr>
      <w:r>
        <w:rPr>
          <w:rFonts w:ascii="標楷體" w:eastAsia="標楷體" w:hAnsi="標楷體"/>
          <w:color w:val="000000"/>
        </w:rPr>
        <w:t>(3)Sorafenib與lenvatinib不得合併使用。(107/7/1)</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9.35.carmustine植入劑(如Gliadel Wafer)：(100/2/1)附表八之四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1.作為復發性多形神經膠母細胞瘤病人的手術輔助，且不得與temozolomide併用。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9.36.Everolimus：（100/2/1、102/1/1）附表九之九</w:t>
      </w:r>
    </w:p>
    <w:p w:rsidR="008A162B" w:rsidRPr="00FC226B" w:rsidRDefault="008A162B" w:rsidP="008A162B">
      <w:pPr>
        <w:spacing w:line="400" w:lineRule="exact"/>
        <w:ind w:leftChars="118" w:left="1133" w:hangingChars="354" w:hanging="850"/>
        <w:rPr>
          <w:rFonts w:ascii="標楷體" w:eastAsia="標楷體" w:hAnsi="標楷體"/>
          <w:szCs w:val="24"/>
        </w:rPr>
      </w:pPr>
      <w:r w:rsidRPr="00FC226B">
        <w:rPr>
          <w:rFonts w:ascii="標楷體" w:eastAsia="標楷體" w:hAnsi="標楷體"/>
          <w:szCs w:val="24"/>
        </w:rPr>
        <w:t>9.36.1.Everolimus 5mg及10mg(如Afinitor 5mg及10mg)：（100/2/1、102/1/1、104/9/1、104/12/1、106/3/1、108/10/1、109/4/1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1.治療經VEGF-targeted療法無效後之晚期腎細胞癌患者。</w:t>
      </w:r>
    </w:p>
    <w:p w:rsidR="008A162B" w:rsidRPr="00FC226B" w:rsidRDefault="008A162B" w:rsidP="008A162B">
      <w:pPr>
        <w:spacing w:line="400" w:lineRule="exact"/>
        <w:ind w:left="811" w:hanging="245"/>
        <w:rPr>
          <w:rFonts w:ascii="標楷體" w:eastAsia="標楷體" w:hAnsi="標楷體"/>
          <w:szCs w:val="24"/>
        </w:rPr>
      </w:pPr>
      <w:r w:rsidRPr="00FC226B">
        <w:rPr>
          <w:rFonts w:ascii="標楷體" w:eastAsia="標楷體" w:hAnsi="標楷體"/>
          <w:szCs w:val="24"/>
        </w:rPr>
        <w:t>2.使用於胰臟神經內分泌腫瘤成人病患，需同時符合下列條件：（102/1/1）</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(1)無法切除或轉移的成人胰臟內分泌腫瘤，其分化程度為良好或中度，或WHO 2010年分類為G1、G2者。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(3)不可合併使用化學藥物或其他標靶藥物。</w:t>
      </w:r>
    </w:p>
    <w:p w:rsidR="008A162B" w:rsidRPr="00FC226B" w:rsidRDefault="008A162B" w:rsidP="008A162B">
      <w:pPr>
        <w:spacing w:line="400" w:lineRule="exact"/>
        <w:ind w:left="1116" w:hanging="396"/>
        <w:rPr>
          <w:rFonts w:ascii="標楷體" w:eastAsia="標楷體" w:hAnsi="標楷體"/>
          <w:szCs w:val="24"/>
        </w:rPr>
      </w:pPr>
      <w:r w:rsidRPr="00FC226B">
        <w:rPr>
          <w:rFonts w:ascii="標楷體" w:eastAsia="標楷體" w:hAnsi="標楷體"/>
          <w:szCs w:val="24"/>
        </w:rPr>
        <w:t>(4)除因病人使用本品後，發生嚴重不良反應或耐受不良之情形外，本品與sunitinib不得轉換使用。</w:t>
      </w:r>
    </w:p>
    <w:p w:rsidR="008A162B" w:rsidRPr="00FC226B" w:rsidRDefault="008A162B" w:rsidP="008A162B">
      <w:pPr>
        <w:spacing w:line="400" w:lineRule="exact"/>
        <w:ind w:left="991" w:hanging="425"/>
        <w:rPr>
          <w:szCs w:val="24"/>
        </w:rPr>
      </w:pPr>
      <w:r w:rsidRPr="00FC226B">
        <w:rPr>
          <w:rFonts w:ascii="標楷體" w:eastAsia="標楷體" w:hAnsi="標楷體"/>
          <w:szCs w:val="24"/>
        </w:rPr>
        <w:t>3.使用於無法切除、局部晚期或轉移之胃腸道或肺部來源之非功能性神經內分泌腫瘤成人病患，需同時符合下列條件：（108/10/1）</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(1)腫瘤分化程度為良好者。</w:t>
      </w:r>
    </w:p>
    <w:p w:rsidR="008A162B" w:rsidRPr="00FC226B" w:rsidRDefault="008A162B" w:rsidP="008A162B">
      <w:pPr>
        <w:spacing w:line="400" w:lineRule="exact"/>
        <w:ind w:left="1134" w:hanging="426"/>
        <w:rPr>
          <w:rFonts w:ascii="標楷體" w:eastAsia="標楷體" w:hAnsi="標楷體"/>
          <w:szCs w:val="24"/>
        </w:rPr>
      </w:pPr>
      <w:r w:rsidRPr="00FC226B">
        <w:rPr>
          <w:rFonts w:ascii="標楷體" w:eastAsia="標楷體" w:hAnsi="標楷體"/>
          <w:szCs w:val="24"/>
        </w:rPr>
        <w:t>(2)為進展性腫瘤，即過去12個月影像檢查為持續惡化者（RECIST定義為疾病惡化者）。</w:t>
      </w:r>
    </w:p>
    <w:p w:rsidR="008A162B" w:rsidRPr="00FC226B" w:rsidRDefault="008A162B" w:rsidP="008A162B">
      <w:pPr>
        <w:spacing w:line="400" w:lineRule="exact"/>
        <w:ind w:left="708"/>
        <w:rPr>
          <w:rFonts w:ascii="標楷體" w:eastAsia="標楷體" w:hAnsi="標楷體"/>
          <w:szCs w:val="24"/>
        </w:rPr>
      </w:pPr>
      <w:r w:rsidRPr="00FC226B">
        <w:rPr>
          <w:rFonts w:ascii="標楷體" w:eastAsia="標楷體" w:hAnsi="標楷體"/>
          <w:szCs w:val="24"/>
        </w:rPr>
        <w:t>(3)不可合併使用化學藥物或其他標靶藥物。</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4.與</w:t>
      </w:r>
      <w:r w:rsidRPr="00FC226B">
        <w:rPr>
          <w:rFonts w:ascii="標楷體" w:eastAsia="標楷體" w:hAnsi="標楷體"/>
          <w:szCs w:val="24"/>
        </w:rPr>
        <w:t>exemestane</w:t>
      </w:r>
      <w:r w:rsidRPr="00FC226B">
        <w:rPr>
          <w:rFonts w:ascii="標楷體" w:eastAsia="標楷體" w:hAnsi="標楷體" w:hint="eastAsia"/>
          <w:szCs w:val="24"/>
        </w:rPr>
        <w:t>併用，作為先前已使用過非類固醇類之芳香環酶抑制劑治療無效，而未曾使用</w:t>
      </w:r>
      <w:r w:rsidRPr="00FC226B">
        <w:rPr>
          <w:rFonts w:ascii="標楷體" w:eastAsia="標楷體" w:hAnsi="標楷體"/>
          <w:szCs w:val="24"/>
        </w:rPr>
        <w:t>exemestane</w:t>
      </w:r>
      <w:r w:rsidRPr="00FC226B">
        <w:rPr>
          <w:rFonts w:ascii="標楷體" w:eastAsia="標楷體" w:hAnsi="標楷體" w:hint="eastAsia"/>
          <w:szCs w:val="24"/>
        </w:rPr>
        <w:t>之荷爾蒙接受體陽性、</w:t>
      </w:r>
      <w:r w:rsidRPr="00FC226B">
        <w:rPr>
          <w:rFonts w:ascii="標楷體" w:eastAsia="標楷體" w:hAnsi="標楷體"/>
          <w:szCs w:val="24"/>
        </w:rPr>
        <w:t>HER2</w:t>
      </w:r>
      <w:r w:rsidRPr="00FC226B">
        <w:rPr>
          <w:rFonts w:ascii="標楷體" w:eastAsia="標楷體" w:hAnsi="標楷體" w:hint="eastAsia"/>
          <w:szCs w:val="24"/>
        </w:rPr>
        <w:t>受體陰性且尚未出現器官轉移危急症狀</w:t>
      </w:r>
      <w:r w:rsidRPr="00FC226B">
        <w:rPr>
          <w:rFonts w:ascii="標楷體" w:eastAsia="標楷體" w:hAnsi="標楷體"/>
          <w:szCs w:val="24"/>
        </w:rPr>
        <w:t xml:space="preserve"> (visceral crisis)</w:t>
      </w:r>
      <w:r w:rsidRPr="00FC226B">
        <w:rPr>
          <w:rFonts w:ascii="標楷體" w:eastAsia="標楷體" w:hAnsi="標楷體" w:hint="eastAsia"/>
          <w:szCs w:val="24"/>
        </w:rPr>
        <w:t>之轉移性乳癌病人的治療。本品與</w:t>
      </w:r>
      <w:r w:rsidRPr="00FC226B">
        <w:rPr>
          <w:rFonts w:ascii="標楷體" w:eastAsia="標楷體" w:hAnsi="標楷體"/>
          <w:szCs w:val="24"/>
        </w:rPr>
        <w:t>tucidinostat</w:t>
      </w:r>
      <w:r w:rsidRPr="00FC226B">
        <w:rPr>
          <w:rFonts w:ascii="標楷體" w:eastAsia="標楷體" w:hAnsi="標楷體" w:hint="eastAsia"/>
          <w:szCs w:val="24"/>
        </w:rPr>
        <w:t>僅得擇一使用，除因耐受性不良，不得互換；且使用本品無效後，不得申請</w:t>
      </w:r>
      <w:r w:rsidRPr="00FC226B">
        <w:rPr>
          <w:rFonts w:ascii="標楷體" w:eastAsia="標楷體" w:hAnsi="標楷體"/>
          <w:szCs w:val="24"/>
        </w:rPr>
        <w:t xml:space="preserve"> CDK4/6 </w:t>
      </w:r>
      <w:r w:rsidRPr="00FC226B">
        <w:rPr>
          <w:rFonts w:ascii="標楷體" w:eastAsia="標楷體" w:hAnsi="標楷體" w:hint="eastAsia"/>
          <w:szCs w:val="24"/>
        </w:rPr>
        <w:t>抑制劑藥品（</w:t>
      </w:r>
      <w:r w:rsidRPr="00FC226B">
        <w:rPr>
          <w:rFonts w:ascii="標楷體" w:eastAsia="標楷體" w:hAnsi="標楷體"/>
          <w:szCs w:val="24"/>
        </w:rPr>
        <w:t>104/9/1</w:t>
      </w:r>
      <w:r w:rsidRPr="00FC226B">
        <w:rPr>
          <w:rFonts w:ascii="標楷體" w:eastAsia="標楷體" w:hAnsi="標楷體" w:hint="eastAsia"/>
          <w:szCs w:val="24"/>
        </w:rPr>
        <w:t>、</w:t>
      </w:r>
      <w:r w:rsidRPr="00FC226B">
        <w:rPr>
          <w:rFonts w:ascii="標楷體" w:eastAsia="標楷體" w:hAnsi="標楷體"/>
          <w:szCs w:val="24"/>
        </w:rPr>
        <w:t>109/4/1</w:t>
      </w:r>
      <w:r w:rsidRPr="00FC226B">
        <w:rPr>
          <w:rFonts w:ascii="標楷體" w:eastAsia="標楷體" w:hAnsi="標楷體" w:hint="eastAsia"/>
          <w:szCs w:val="24"/>
        </w:rPr>
        <w:t>、114/12/1</w:t>
      </w:r>
      <w:r w:rsidRPr="00FC226B">
        <w:rPr>
          <w:rFonts w:ascii="標楷體" w:eastAsia="標楷體" w:hAnsi="標楷體"/>
          <w:szCs w:val="24"/>
        </w:rPr>
        <w:t>）</w:t>
      </w:r>
    </w:p>
    <w:p w:rsidR="008A162B" w:rsidRPr="00FC226B" w:rsidRDefault="008A162B" w:rsidP="008A162B">
      <w:pPr>
        <w:spacing w:line="400" w:lineRule="exact"/>
        <w:ind w:leftChars="235" w:left="850" w:hangingChars="119" w:hanging="286"/>
        <w:rPr>
          <w:rFonts w:ascii="標楷體" w:eastAsia="標楷體" w:hAnsi="標楷體"/>
          <w:szCs w:val="24"/>
        </w:rPr>
      </w:pPr>
      <w:r w:rsidRPr="00FC226B">
        <w:rPr>
          <w:rFonts w:ascii="標楷體" w:eastAsia="標楷體" w:hAnsi="標楷體" w:hint="eastAsia"/>
          <w:szCs w:val="24"/>
        </w:rPr>
        <w:t>5.除晚期腎細胞癌之外，其他疾病需經事前審查核准後使用，每次申請之療程以3個月為限。初次申請時需檢送病理報告及影像報告，之後每3個月申請一次，再次申請時需檢附影像資料及前次治療結果評估資料證實無惡化，才可繼續使用。(104/12/1、108/10/1)</w:t>
      </w:r>
    </w:p>
    <w:p w:rsidR="00B96EA0" w:rsidRDefault="008A162B" w:rsidP="008A162B">
      <w:pPr>
        <w:spacing w:line="400" w:lineRule="exact"/>
        <w:ind w:left="811" w:hanging="245"/>
      </w:pPr>
      <w:r w:rsidRPr="00FC226B">
        <w:rPr>
          <w:rFonts w:ascii="標楷體" w:eastAsia="標楷體" w:hAnsi="標楷體" w:hint="eastAsia"/>
          <w:szCs w:val="24"/>
        </w:rPr>
        <w:lastRenderedPageBreak/>
        <w:t>6.限每日最大劑量為10mg。（108/10/1）</w:t>
      </w:r>
    </w:p>
    <w:p w:rsidR="00B96EA0" w:rsidRDefault="007D66B8" w:rsidP="005142EB">
      <w:pPr>
        <w:spacing w:line="400" w:lineRule="exact"/>
        <w:ind w:left="672" w:hanging="386"/>
        <w:rPr>
          <w:rFonts w:ascii="標楷體" w:eastAsia="標楷體" w:hAnsi="標楷體"/>
          <w:szCs w:val="24"/>
        </w:rPr>
      </w:pPr>
      <w:r>
        <w:rPr>
          <w:rFonts w:ascii="標楷體" w:eastAsia="標楷體" w:hAnsi="標楷體"/>
          <w:szCs w:val="24"/>
        </w:rPr>
        <w:t>9.36.2.Everolimus 2.5mg及5mg(如Votubia)：（102/1/1、106/4/1、111/2/1）</w:t>
      </w:r>
    </w:p>
    <w:p w:rsidR="00B96EA0" w:rsidRDefault="007D66B8" w:rsidP="005142EB">
      <w:pPr>
        <w:spacing w:line="400" w:lineRule="exact"/>
        <w:ind w:left="811" w:hanging="245"/>
        <w:rPr>
          <w:rFonts w:ascii="標楷體" w:eastAsia="標楷體" w:hAnsi="標楷體"/>
          <w:szCs w:val="24"/>
        </w:rPr>
      </w:pPr>
      <w:r>
        <w:rPr>
          <w:rFonts w:ascii="標楷體" w:eastAsia="標楷體" w:hAnsi="標楷體"/>
          <w:szCs w:val="24"/>
        </w:rPr>
        <w:t>1.治療患有結節性硬化症(tuberous sclerosis)之腦室管膜下巨細胞星狀瘤(SEGA: subependymal giant cell astrocytoma)：</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(1)限併有水腦症狀或其他顯著神經學症狀，且經神經外科專科醫師評估不適合接受或無法以外科切除手術的患者使用。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(3)申請續用時，除需檢送治療前後之影像資料，且再經神經外科專科醫師評估，其仍不適合接受或無法以外科切除手術者，始得續用。</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(4)用藥後，若病情無法持續改善或疾病已惡化，則不予同意使用。</w:t>
      </w:r>
    </w:p>
    <w:p w:rsidR="00B96EA0" w:rsidRDefault="007D66B8" w:rsidP="005142EB">
      <w:pPr>
        <w:spacing w:line="400" w:lineRule="exact"/>
        <w:ind w:left="809" w:hanging="245"/>
        <w:rPr>
          <w:rFonts w:ascii="標楷體" w:eastAsia="標楷體" w:hAnsi="標楷體"/>
          <w:szCs w:val="24"/>
        </w:rPr>
      </w:pPr>
      <w:r>
        <w:rPr>
          <w:rFonts w:ascii="標楷體" w:eastAsia="標楷體" w:hAnsi="標楷體"/>
          <w:szCs w:val="24"/>
        </w:rPr>
        <w:t>2.結節性硬化症併有腎血管肌脂肪瘤之成年病患，且需符合以下條件(106/4/1、111/2/1)：</w:t>
      </w:r>
    </w:p>
    <w:p w:rsidR="00B96EA0" w:rsidRDefault="007D66B8" w:rsidP="005142EB">
      <w:pPr>
        <w:spacing w:line="400" w:lineRule="exact"/>
        <w:ind w:left="1133" w:hanging="425"/>
      </w:pPr>
      <w:r>
        <w:rPr>
          <w:rFonts w:ascii="標楷體" w:eastAsia="標楷體" w:hAnsi="標楷體"/>
          <w:szCs w:val="24"/>
        </w:rPr>
        <w:t>(1)</w:t>
      </w:r>
      <w:r>
        <w:t xml:space="preserve"> </w:t>
      </w:r>
      <w:r>
        <w:rPr>
          <w:rFonts w:ascii="標楷體" w:eastAsia="標楷體" w:hAnsi="標楷體"/>
          <w:szCs w:val="24"/>
        </w:rPr>
        <w:t>限18歲以上病人，其腎血管肌脂肪瘤最長直徑已達4cm(含)以上且仍有持續進展之證據，且曾有發生臨床上有意義之出血或確認病灶有血管瘤(aneurysm)直徑</w:t>
      </w:r>
      <w:r>
        <w:rPr>
          <w:rFonts w:ascii="Times New Roman" w:eastAsia="標楷體" w:hAnsi="Times New Roman"/>
          <w:szCs w:val="24"/>
        </w:rPr>
        <w:t>≥</w:t>
      </w:r>
      <w:r>
        <w:rPr>
          <w:rFonts w:ascii="標楷體" w:eastAsia="標楷體" w:hAnsi="標楷體"/>
          <w:szCs w:val="24"/>
        </w:rPr>
        <w:t>5mm者，病灶不只一處，且經腎臟或泌尿專科醫師評估無法以外科手術或動脈栓塞治療，或經動脈栓塞治療或外科手術後無效或復發者(111/2/1)。</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(2)需經事前審查核准後使用，每次申請之療程以6個月為限，申請時需檢送影像檢查(CT或MRI)資料。</w:t>
      </w:r>
    </w:p>
    <w:p w:rsidR="00B96EA0" w:rsidRDefault="007D66B8" w:rsidP="005142EB">
      <w:pPr>
        <w:spacing w:line="400" w:lineRule="exact"/>
        <w:ind w:left="1133" w:hanging="425"/>
        <w:rPr>
          <w:rFonts w:ascii="標楷體" w:eastAsia="標楷體" w:hAnsi="標楷體"/>
          <w:szCs w:val="24"/>
        </w:rPr>
      </w:pPr>
      <w:r>
        <w:rPr>
          <w:rFonts w:ascii="標楷體" w:eastAsia="標楷體" w:hAnsi="標楷體"/>
          <w:szCs w:val="24"/>
        </w:rPr>
        <w:t>(3)使用後需每24週評估一次，申請續用時，除檢送治療前之影像資料，需檢送治療後(第24週、48週、72週…等)之影像檢查資料，若腫瘤總體積較治療前降低30%(含)以上，且無新增直徑1公分以上的腫瘤或grade2(含)以上腫瘤出血併發症，始得申請續用。(註：腫瘤出血併發症分級(grading)定義依Common Terminology Criteria for Adverse Events(CTCAE), version4.0.)</w:t>
      </w:r>
    </w:p>
    <w:p w:rsidR="00B96EA0" w:rsidRDefault="007D66B8" w:rsidP="005142EB">
      <w:pPr>
        <w:spacing w:line="400" w:lineRule="exact"/>
        <w:ind w:left="1133" w:hanging="425"/>
      </w:pPr>
      <w:r>
        <w:rPr>
          <w:rFonts w:ascii="標楷體" w:eastAsia="標楷體" w:hAnsi="標楷體"/>
          <w:szCs w:val="24"/>
        </w:rPr>
        <w:t>(4)限每日最大劑量為10mg。</w:t>
      </w:r>
    </w:p>
    <w:p w:rsidR="0011658A" w:rsidRPr="00417740" w:rsidRDefault="0011658A" w:rsidP="0011658A">
      <w:pPr>
        <w:spacing w:line="400" w:lineRule="exact"/>
        <w:ind w:left="824" w:hanging="567"/>
        <w:rPr>
          <w:rFonts w:ascii="標楷體" w:eastAsia="標楷體" w:hAnsi="標楷體"/>
        </w:rPr>
      </w:pPr>
      <w:bookmarkStart w:id="8" w:name="_Hlk209192660"/>
      <w:r w:rsidRPr="00417740">
        <w:rPr>
          <w:rFonts w:ascii="標楷體" w:eastAsia="標楷體" w:hAnsi="標楷體"/>
          <w:color w:val="000000"/>
        </w:rPr>
        <w:t>9.37.</w:t>
      </w:r>
      <w:r w:rsidRPr="00417740">
        <w:rPr>
          <w:rFonts w:ascii="標楷體" w:eastAsia="標楷體" w:hAnsi="標楷體"/>
        </w:rPr>
        <w:t xml:space="preserve"> </w:t>
      </w:r>
      <w:r w:rsidRPr="00417740">
        <w:rPr>
          <w:rFonts w:ascii="標楷體" w:eastAsia="標楷體" w:hAnsi="標楷體"/>
          <w:color w:val="000000"/>
        </w:rPr>
        <w:t>Bevacizumab(如Avastin)：（100/6/1、101/05/1、106/4/1、108/3/1、109/6/1、112/8/1、113/3/1、113/6/1、113/9/1、114/3/1、114/6/1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1.轉移性大腸或直腸癌：</w:t>
      </w:r>
    </w:p>
    <w:p w:rsidR="0011658A" w:rsidRPr="00417740" w:rsidRDefault="0011658A" w:rsidP="0011658A">
      <w:pPr>
        <w:spacing w:line="400" w:lineRule="exact"/>
        <w:ind w:left="1134" w:hanging="425"/>
        <w:rPr>
          <w:rFonts w:ascii="標楷體" w:eastAsia="標楷體" w:hAnsi="標楷體"/>
          <w:color w:val="000000"/>
        </w:rPr>
      </w:pPr>
      <w:r w:rsidRPr="00417740">
        <w:rPr>
          <w:rFonts w:ascii="標楷體" w:eastAsia="標楷體" w:hAnsi="標楷體"/>
          <w:color w:val="000000"/>
        </w:rPr>
        <w:t>(1)Bevacizumab與FOLFIRI（Folinicacid/5-fluorouracil/irinotecan）或FOLFOX（Folinicacid/5-fluorouracil/oxaliplatin）或5-fluorouracil/leucovorin的化學療法合併使用，作為轉移性大腸或直腸癌患者的第一線治療。(108/3/1)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Ⅰ.使用總療程以36週為上限(106/4/1)。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Ⅱ.須經事前審查核准後使用，每次申請事前審查之療程以18週為限，再次申請必須提出客觀證據（如：影像學）證實無惡化，才可繼續使用。(106/4/1)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Ⅲ.本藥品不得與cetuximab、panitumumab併用。(108/3/1、113/3/1)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(2)Bevacizumab(除Zirabev及Abevmy以外)與含有5-</w:t>
      </w:r>
      <w:r w:rsidRPr="00417740">
        <w:rPr>
          <w:rFonts w:ascii="標楷體" w:eastAsia="標楷體" w:hAnsi="標楷體"/>
          <w:color w:val="000000"/>
        </w:rPr>
        <w:lastRenderedPageBreak/>
        <w:t>fluorouracil/leucovorin/oxaliplatin的化學療法合併使用，作為先前接受過以 fluoropyrimidine為基礎的化學療法併用cetuximab或panitumumab無效且未曾接受過bevacizumab治療，RAS基因沒有突變的轉移性大腸或直腸癌病人的第二線治療。(114/3/1)</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Ⅰ.需檢附依全民健康保險醫療服務給付項目及支付標準伴隨式診斷編號30104B規定之認證實驗室檢驗之All-RAS基因突變分析檢測報告。</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Ⅱ.使用總療程以24週為上限。</w:t>
      </w:r>
    </w:p>
    <w:p w:rsidR="0011658A" w:rsidRPr="00417740" w:rsidRDefault="0011658A" w:rsidP="0011658A">
      <w:pPr>
        <w:spacing w:line="400" w:lineRule="exact"/>
        <w:ind w:left="1843" w:hanging="499"/>
        <w:rPr>
          <w:rFonts w:ascii="標楷體" w:eastAsia="標楷體" w:hAnsi="標楷體"/>
          <w:color w:val="000000"/>
        </w:rPr>
      </w:pPr>
      <w:r w:rsidRPr="00417740">
        <w:rPr>
          <w:rFonts w:ascii="標楷體" w:eastAsia="標楷體" w:hAnsi="標楷體"/>
          <w:color w:val="000000"/>
        </w:rPr>
        <w:t>Ⅲ.須經事前審查核准後使用，每次申請事前審查之療程以12週為限，再次申請必須提出客觀證據（如：RECIST criteria）證實無惡化，才可繼續使用。</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Ⅳ.使用劑量：限5mg/kg，每兩週一次。</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2.惡性神經膠質瘤(WHO第4級)-神經膠母細胞瘤：</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(1)單獨使用可用於治療曾接受標準放射線治療且含temozolomide在內之化學藥物治療失敗之多型性神經膠母細胞瘤(Glioblastoma multiforme)復發之成人患者。(101/05/1)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(2)須經事前審查核准後使用，每次申請事前審查之療程以12週為限，再次申請必須提出客觀證據（如：影像學）證實無惡化，才可繼續使用。</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3.卵巢上皮細胞、輸卵管或原發性腹膜癌：(109/6/1、113/3/1、113/9/1、114/3/1、114/6/1</w:t>
      </w:r>
      <w:r w:rsidRPr="00417740">
        <w:rPr>
          <w:rFonts w:ascii="標楷體" w:eastAsia="標楷體" w:hAnsi="標楷體" w:hint="eastAsia"/>
          <w:color w:val="000000"/>
        </w:rPr>
        <w:t>、114/8/1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133" w:hanging="425"/>
        <w:rPr>
          <w:rFonts w:ascii="標楷體" w:eastAsia="標楷體" w:hAnsi="標楷體"/>
        </w:rPr>
      </w:pPr>
      <w:r w:rsidRPr="00417740">
        <w:rPr>
          <w:rFonts w:ascii="標楷體" w:eastAsia="標楷體" w:hAnsi="標楷體"/>
          <w:color w:val="000000"/>
        </w:rPr>
        <w:t>(1)</w:t>
      </w:r>
      <w:r w:rsidRPr="00417740">
        <w:rPr>
          <w:rFonts w:ascii="標楷體" w:eastAsia="標楷體" w:hAnsi="標楷體"/>
        </w:rPr>
        <w:t xml:space="preserve"> </w:t>
      </w:r>
      <w:r w:rsidRPr="00417740">
        <w:rPr>
          <w:rFonts w:ascii="標楷體" w:eastAsia="標楷體" w:hAnsi="標楷體"/>
          <w:color w:val="000000"/>
        </w:rPr>
        <w:t>Bevacizumab（除Zirabev以外）與carboplatin 及paclitaxel合併使用，接著單獨使用bevacizumab（除Zirabev以外）治療，作為第四期卵巢上皮細胞、輸卵管或原發性腹膜癌病人接受初次手術切除後之第一線治療之維持治療。(113/3/1、113/9/1、114/3/1、114/4/1、114/6/1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Ⅰ.初次申請為手術後一個月後起與化學治療併用5個療程。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Ⅱ.第二次申請時為接續單獨使用bevacizumab維持性治療9個療程。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Ⅲ.第三次申請時為接續單獨使用bevacizumab維持性治療8個療程。</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Ⅳ.每人以總共給付22個療程為上限。若病情惡化或停藥後再復發即不得再次申請。</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(2)Bevacizumab與carboplatin 及paclitaxel合併使用，作為曾接受過第一線含鉑類藥物(Platinum-based)化學治療間隔6-12個月內再復發之治療。接著單獨使用bevacizumab治療，作為含鉑藥物具感受性之治療。</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Ⅰ.若前曾申請bevacizumab 使用於卵巢上皮細胞、輸卵管或原發性腹膜癌作為第一線治療者不可再次使用。(113/3/1)</w:t>
      </w:r>
    </w:p>
    <w:p w:rsidR="0011658A" w:rsidRPr="00417740" w:rsidRDefault="0011658A" w:rsidP="0011658A">
      <w:pPr>
        <w:spacing w:line="400" w:lineRule="exact"/>
        <w:ind w:left="1800" w:hanging="360"/>
        <w:rPr>
          <w:rFonts w:ascii="標楷體" w:eastAsia="標楷體" w:hAnsi="標楷體"/>
          <w:color w:val="000000"/>
        </w:rPr>
      </w:pPr>
      <w:r w:rsidRPr="00417740">
        <w:rPr>
          <w:rFonts w:ascii="標楷體" w:eastAsia="標楷體" w:hAnsi="標楷體"/>
          <w:color w:val="000000"/>
        </w:rPr>
        <w:t>Ⅱ.初次申請為5個療程，後續每次申請為5個療程，總申請療程以15個療程為上限。(113/3/1)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(3)Bevacizumab(限使用Alymsys、Abevmy、Vegzelma或Mvasi)與olaparib併用適</w:t>
      </w:r>
      <w:r w:rsidRPr="00417740">
        <w:rPr>
          <w:rFonts w:ascii="標楷體" w:eastAsia="標楷體" w:hAnsi="標楷體"/>
          <w:color w:val="000000"/>
        </w:rPr>
        <w:lastRenderedPageBreak/>
        <w:t>用於晚期高度惡性上皮卵巢癌、輸卵管腫瘤或原發性腹膜癌，且對第一線含鉑化療合併bevacizumab有反應（完全反應或部分反應）之成年病人做為維持治療，患者需符合olaparib給付規定，限用兩年。bevacizumab以15個月的療程為上限。(114/6/1、114/8/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(4)須經事前審查核准後使用，再次申請必須提出客觀證據（如：影像學）證實無惡化，才可繼續使用。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(5)FIGO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Pr>
          <w:rFonts w:ascii="標楷體" w:eastAsia="標楷體" w:hAnsi="標楷體" w:hint="eastAsia"/>
          <w:color w:val="000000"/>
        </w:rPr>
        <w:t>、114/10/1</w:t>
      </w:r>
      <w:r w:rsidRPr="00417740">
        <w:rPr>
          <w:rFonts w:ascii="標楷體" w:eastAsia="標楷體" w:hAnsi="標楷體"/>
          <w:color w:val="000000"/>
        </w:rPr>
        <w:t>)</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4.持續性、復發性或轉移性之子宮頸癌：(109/6/1、113/3/1)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(1)Bevacizumab與cisplatin及paclitaxel合併使用，可用於持續性、復發性或轉移性之子宮頸癌。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(2)Bevacizumab與paclitaxel及topotecan合併使用，作為無法接受含鉑類藥物治療患者之持續性、復發性或轉移性之子宮頸癌。</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(3)須經事前審查核准後使用，每次申請事前審查之療程以15週為限，再次申請必須提出客觀證據（如：影像學）證實無惡化，才可繼續使用。(113/3/1)</w:t>
      </w:r>
    </w:p>
    <w:p w:rsidR="0011658A" w:rsidRPr="00417740" w:rsidRDefault="0011658A" w:rsidP="0011658A">
      <w:pPr>
        <w:spacing w:line="400" w:lineRule="exact"/>
        <w:ind w:left="709" w:hanging="245"/>
        <w:rPr>
          <w:rFonts w:ascii="標楷體" w:eastAsia="標楷體" w:hAnsi="標楷體"/>
          <w:color w:val="000000"/>
        </w:rPr>
      </w:pPr>
      <w:r w:rsidRPr="00417740">
        <w:rPr>
          <w:rFonts w:ascii="標楷體" w:eastAsia="標楷體" w:hAnsi="標楷體"/>
          <w:color w:val="000000"/>
        </w:rPr>
        <w:t>5.晚期、轉移性或復發性非鱗狀非小細胞肺癌(除Zirabev及Abevmy以外)：(113/3/1、113/6/1、113/9/1、114/3/1)</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(1)Bevacizumab與 erlotinib併用，作為無法手術切除的轉移性(第Ⅳ期)且帶有表皮生長因子受體(EGFR) Exon 21 L858R 活化性突變之腦轉移非鱗狀非小細胞肺癌病患的第一線治療。</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(2)須經事前審查核准後使用：</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Ⅰ.每次申請之療程以 12 週為限。</w:t>
      </w:r>
    </w:p>
    <w:p w:rsidR="0011658A" w:rsidRPr="00417740" w:rsidRDefault="0011658A" w:rsidP="0011658A">
      <w:pPr>
        <w:spacing w:line="400" w:lineRule="exact"/>
        <w:ind w:left="1654" w:hanging="336"/>
        <w:rPr>
          <w:rFonts w:ascii="標楷體" w:eastAsia="標楷體" w:hAnsi="標楷體"/>
        </w:rPr>
      </w:pPr>
      <w:r w:rsidRPr="00417740">
        <w:rPr>
          <w:rFonts w:ascii="標楷體" w:eastAsia="標楷體" w:hAnsi="標楷體"/>
          <w:color w:val="000000"/>
        </w:rPr>
        <w:t>Ⅱ.初次申請時需檢附表皮生長因子受體(EGFR) Exon 21 L858R 活化性突變檢測報告，且需符合全民健康保險藥品給付規定之通則十二。</w:t>
      </w:r>
    </w:p>
    <w:p w:rsidR="0011658A" w:rsidRPr="00417740" w:rsidRDefault="0011658A" w:rsidP="0011658A">
      <w:pPr>
        <w:spacing w:line="400" w:lineRule="exact"/>
        <w:ind w:left="1654" w:hanging="336"/>
        <w:rPr>
          <w:rFonts w:ascii="標楷體" w:eastAsia="標楷體" w:hAnsi="標楷體"/>
          <w:color w:val="000000"/>
        </w:rPr>
      </w:pPr>
      <w:r w:rsidRPr="00417740">
        <w:rPr>
          <w:rFonts w:ascii="標楷體" w:eastAsia="標楷體" w:hAnsi="標楷體"/>
          <w:color w:val="000000"/>
        </w:rPr>
        <w:t>Ⅲ.再次申請必須提出客觀證據（如：影像學）證實無惡化，才可繼續使用。</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(3)Bevacizumab併用erlotinib於第一線治療時，該治療組合與gefitinib、afatinib 僅得擇一使用，除因耐受性不良，不得互換。</w:t>
      </w:r>
    </w:p>
    <w:p w:rsidR="0011658A" w:rsidRPr="00417740" w:rsidRDefault="0011658A" w:rsidP="0011658A">
      <w:pPr>
        <w:spacing w:line="400" w:lineRule="exact"/>
        <w:ind w:left="1133" w:hanging="425"/>
        <w:rPr>
          <w:rFonts w:ascii="標楷體" w:eastAsia="標楷體" w:hAnsi="標楷體"/>
          <w:color w:val="000000"/>
        </w:rPr>
      </w:pPr>
      <w:r w:rsidRPr="00417740">
        <w:rPr>
          <w:rFonts w:ascii="標楷體" w:eastAsia="標楷體" w:hAnsi="標楷體"/>
          <w:color w:val="000000"/>
        </w:rPr>
        <w:t>(4)使用劑量：限7.5mg/kg，每三週1次。</w:t>
      </w:r>
    </w:p>
    <w:p w:rsidR="0011658A" w:rsidRPr="00417740" w:rsidRDefault="0011658A" w:rsidP="00301C39">
      <w:pPr>
        <w:spacing w:line="400" w:lineRule="exact"/>
        <w:ind w:left="851" w:hanging="245"/>
        <w:rPr>
          <w:rFonts w:ascii="標楷體" w:eastAsia="標楷體" w:hAnsi="標楷體"/>
          <w:color w:val="000000"/>
        </w:rPr>
      </w:pPr>
      <w:r w:rsidRPr="00417740">
        <w:rPr>
          <w:rFonts w:ascii="標楷體" w:eastAsia="標楷體" w:hAnsi="標楷體"/>
          <w:color w:val="000000"/>
        </w:rPr>
        <w:t>6.與atezolizumab併用適用於未曾使用過全身性治療用藥之轉移性或無法手術切除且不適合局部治療或局部治療失敗之Child-Pugh A class晚期肝細胞癌，患者需符合atezolizumab之藥品給付規定。(112/8/1)</w:t>
      </w:r>
    </w:p>
    <w:p w:rsidR="00B96EA0" w:rsidRDefault="0011658A" w:rsidP="0011658A">
      <w:pPr>
        <w:spacing w:line="400" w:lineRule="exact"/>
        <w:ind w:left="851" w:hanging="245"/>
      </w:pPr>
      <w:r w:rsidRPr="00417740">
        <w:rPr>
          <w:rFonts w:ascii="標楷體" w:eastAsia="標楷體" w:hAnsi="標楷體"/>
          <w:color w:val="000000"/>
        </w:rPr>
        <w:t>7.</w:t>
      </w:r>
      <w:r w:rsidRPr="00DB43BE">
        <w:rPr>
          <w:rFonts w:ascii="標楷體" w:eastAsia="標楷體" w:hAnsi="標楷體"/>
          <w:color w:val="000000"/>
        </w:rPr>
        <w:t xml:space="preserve"> </w:t>
      </w:r>
      <w:r w:rsidRPr="00417740">
        <w:rPr>
          <w:rFonts w:ascii="標楷體" w:eastAsia="標楷體" w:hAnsi="標楷體"/>
          <w:color w:val="000000"/>
        </w:rPr>
        <w:t>Bevacizumab(限使用Alymsys、Avastin、Abevmy、Vegzelma或Mvasi)與atezolizumab及carboplatin、paclitaxel併用於轉移性非鱗狀非小細胞肺癌第一</w:t>
      </w:r>
      <w:r w:rsidRPr="00417740">
        <w:rPr>
          <w:rFonts w:ascii="標楷體" w:eastAsia="標楷體" w:hAnsi="標楷體"/>
          <w:color w:val="000000"/>
        </w:rPr>
        <w:lastRenderedPageBreak/>
        <w:t>線治療，患者需符合免疫檢查點抑制劑之藥品給付規定。(114/6/1、114/8/1)</w:t>
      </w:r>
      <w:bookmarkEnd w:id="8"/>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9.38.Temsirolimus(如Torisel)：（101/1/1）附表九之十一</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1.需經事前審查核准後使用，每次給付3個月藥量，送審時需檢送影像資料，每3個月評估一次。</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(1)治療不限細胞型的高風險晚期腎細胞癌。</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(2)需具有下列六個風險因子中至少3個以上因子：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I.距離初次診斷出腎細胞癌之時間未達一年</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w:t>
      </w:r>
      <w:r>
        <w:rPr>
          <w:rFonts w:ascii="標楷體" w:eastAsia="標楷體" w:hAnsi="標楷體"/>
          <w:color w:val="000000"/>
        </w:rPr>
        <w:tab/>
        <w:t>Karnofsky Performance scale介於60至70之間</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III.血色素低於正常值12gm/dL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IV.矯正後血鈣值超過10mg/dL</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w:t>
      </w:r>
      <w:r>
        <w:rPr>
          <w:rFonts w:ascii="標楷體" w:eastAsia="標楷體" w:hAnsi="標楷體"/>
          <w:color w:val="000000"/>
        </w:rPr>
        <w:tab/>
        <w:t>乳酸脫氫酶(lactate dehydrogenase)超過1.5倍正常值上限</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VI.超過一個以上的器官有轉移病灶。</w:t>
      </w:r>
    </w:p>
    <w:p w:rsidR="00B96EA0" w:rsidRDefault="007D66B8" w:rsidP="005142EB">
      <w:pPr>
        <w:spacing w:line="400" w:lineRule="exact"/>
        <w:ind w:left="1049" w:hanging="341"/>
        <w:rPr>
          <w:rFonts w:ascii="標楷體" w:eastAsia="標楷體" w:hAnsi="標楷體"/>
          <w:color w:val="000000"/>
        </w:rPr>
      </w:pPr>
      <w:r>
        <w:rPr>
          <w:rFonts w:ascii="標楷體" w:eastAsia="標楷體" w:hAnsi="標楷體"/>
          <w:color w:val="000000"/>
        </w:rPr>
        <w:t>(3)無效後則不給付其他酪胺酸激酶阻斷劑TKI。</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2.病人若對藥物產生耐受性不佳（intolerance），則以原來藥物減量為原則，若嚴重耐受性不佳，可以換其他酪胺酸激酶阻斷劑（tyrosine kinase inhibitor, TKI）。</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9.39.Flutamide；buserelin：（90/8/1、101/7/1）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1.晚期（包括T3、淋巴腺轉移、器官轉移）之腫瘤。</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2.攝護腺癌病人接受根除性攝護腺切除手術治療後，PSA逐漸升高有局部復發或遠處轉移之情況。</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3.癌症臨床期別為T2、T3，準備接受根除性攝護腺切除手術治療或其他定效治療，包括irradiation之前為求tumor volume reduction，作為neoadjuvant治療之目的。</w:t>
      </w:r>
    </w:p>
    <w:p w:rsidR="00B96EA0" w:rsidRDefault="007D66B8" w:rsidP="005142EB">
      <w:pPr>
        <w:spacing w:line="400" w:lineRule="exact"/>
        <w:ind w:left="672" w:hanging="386"/>
        <w:rPr>
          <w:rFonts w:ascii="標楷體" w:eastAsia="標楷體" w:hAnsi="標楷體"/>
          <w:color w:val="000000"/>
        </w:rPr>
      </w:pPr>
      <w:r>
        <w:rPr>
          <w:rFonts w:ascii="標楷體" w:eastAsia="標楷體" w:hAnsi="標楷體"/>
          <w:color w:val="000000"/>
        </w:rPr>
        <w:t>9.40.Bicalutamide：（89/10/1、101/7/1）</w:t>
      </w:r>
    </w:p>
    <w:p w:rsidR="00B96EA0" w:rsidRDefault="007D66B8" w:rsidP="005142EB">
      <w:pPr>
        <w:spacing w:line="400" w:lineRule="exact"/>
        <w:ind w:left="798" w:hanging="1"/>
        <w:rPr>
          <w:rFonts w:ascii="標楷體" w:eastAsia="標楷體" w:hAnsi="標楷體"/>
          <w:color w:val="000000"/>
        </w:rPr>
      </w:pPr>
      <w:r>
        <w:rPr>
          <w:rFonts w:ascii="標楷體" w:eastAsia="標楷體" w:hAnsi="標楷體"/>
          <w:color w:val="000000"/>
        </w:rPr>
        <w:t>限用於與LHRH類似劑療法或手術去勢療法併用於進展性攝護腺癌。</w:t>
      </w:r>
    </w:p>
    <w:p w:rsidR="00B96EA0" w:rsidRDefault="007D66B8" w:rsidP="005142EB">
      <w:pPr>
        <w:spacing w:line="400" w:lineRule="exact"/>
        <w:ind w:left="851" w:hanging="598"/>
        <w:rPr>
          <w:rFonts w:ascii="標楷體" w:eastAsia="標楷體" w:hAnsi="標楷體"/>
          <w:color w:val="000000"/>
        </w:rPr>
      </w:pPr>
      <w:r>
        <w:rPr>
          <w:rFonts w:ascii="標楷體" w:eastAsia="標楷體" w:hAnsi="標楷體"/>
          <w:color w:val="000000"/>
        </w:rPr>
        <w:t>9.41.Pazopanib（如Votrient）：（101/8/1、104/4/1、106/3/1、110/12/1、112/10/1）附表九之十三</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1.腎細胞癌：（106/3/1、110/12/1）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(1)可用於第一線治療晚期或轉移性腎細胞癌，其病理上為亮細胞癌(clear cell renal carcinoma)。</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(2)本品使用無效後，不得申請使用temsirolimus。（110/12/1）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(3)需檢送影像資料，每三個月評估一次。(106/3/1)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(4)病人若對藥物產生耐受性不佳（intolerance），則以原來藥物減量為原則，若嚴重耐受性不佳，可以換其他TKI。</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2.軟組織肉瘤：（104/4/1、112/10/1）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(1)用於治療先前曾接受化療失敗的晚期軟組織肉瘤(STS)患者。其病情若能接受手術治療者，須先經手術治療。</w:t>
      </w:r>
    </w:p>
    <w:p w:rsidR="00B96EA0" w:rsidRDefault="007D66B8" w:rsidP="005142EB">
      <w:pPr>
        <w:spacing w:line="400" w:lineRule="exact"/>
        <w:ind w:left="993" w:hanging="367"/>
      </w:pPr>
      <w:r>
        <w:rPr>
          <w:rFonts w:ascii="標楷體" w:eastAsia="標楷體" w:hAnsi="標楷體"/>
          <w:color w:val="000000"/>
        </w:rPr>
        <w:lastRenderedPageBreak/>
        <w:t>(2)須排除胃腸道基質瘤、脂肪惡性肉瘤、橫紋肌惡性肉瘤、軟骨惡性肉瘤、骨性惡性肉瘤、依文氏(Ewing</w:t>
      </w:r>
      <w:r>
        <w:rPr>
          <w:rFonts w:eastAsia="標楷體" w:cs="Calibri"/>
          <w:color w:val="000000"/>
        </w:rPr>
        <w:t>’</w:t>
      </w:r>
      <w:r>
        <w:rPr>
          <w:rFonts w:ascii="標楷體" w:eastAsia="標楷體" w:hAnsi="標楷體"/>
          <w:color w:val="000000"/>
        </w:rPr>
        <w:t>s sarcoma)惡性肉瘤、原發性神經外胚層腫瘤(primitive neuroectodermal tumor)或突起性表皮纖維惡性腫瘤(dermatofibrosarcoma protuberance)的患者。（104/4/1、112/10/1）</w:t>
      </w:r>
    </w:p>
    <w:p w:rsidR="00B96EA0" w:rsidRDefault="007D66B8" w:rsidP="005142EB">
      <w:pPr>
        <w:spacing w:line="400" w:lineRule="exact"/>
        <w:ind w:left="993" w:hanging="367"/>
        <w:rPr>
          <w:rFonts w:ascii="標楷體" w:eastAsia="標楷體" w:hAnsi="標楷體"/>
          <w:color w:val="000000"/>
        </w:rPr>
      </w:pPr>
      <w:r>
        <w:rPr>
          <w:rFonts w:ascii="標楷體" w:eastAsia="標楷體" w:hAnsi="標楷體"/>
          <w:color w:val="000000"/>
        </w:rPr>
        <w:t>(3)須經事前審查核准後使用，每次申請療程以三個月為限，每三個月需再次申請。(須檢附影像學報告)</w:t>
      </w:r>
    </w:p>
    <w:p w:rsidR="00B96EA0" w:rsidRDefault="007D66B8" w:rsidP="005142EB">
      <w:pPr>
        <w:spacing w:line="400" w:lineRule="exact"/>
        <w:ind w:left="672" w:hanging="386"/>
      </w:pPr>
      <w:r>
        <w:rPr>
          <w:rFonts w:ascii="標楷體" w:eastAsia="標楷體" w:hAnsi="標楷體"/>
          <w:bCs/>
          <w:color w:val="000000"/>
        </w:rPr>
        <w:t>9.42.Bendamustine（如Innomustine）</w:t>
      </w:r>
      <w:r>
        <w:rPr>
          <w:rFonts w:ascii="新細明體" w:hAnsi="新細明體"/>
          <w:bCs/>
          <w:color w:val="000000"/>
        </w:rPr>
        <w:t>：</w:t>
      </w:r>
      <w:r>
        <w:rPr>
          <w:rFonts w:ascii="標楷體" w:eastAsia="標楷體" w:hAnsi="標楷體"/>
          <w:bCs/>
          <w:color w:val="000000"/>
        </w:rPr>
        <w:t>(101/10/1、103/2/1、108/10/1、113/2/1)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1.以本品作為第一線治療，限用於Binet C級之慢性淋巴性白血病病人(CLL)或Binet B級併有免疫性症候(如自體免疫性溶血、免疫性血小板低下紫瘢症等)相關疾病之CLL病人。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2.用於B-細胞慢性淋巴性白血病（CLL）病患Binet B及C之第二線治療，在經歷至少一種標準內容的烷化基藥劑（alkylating agent）治療方法無效，或治療後雖有效但隨後疾病又繼續惡化進展的病人。</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3.曾接受至少一種化療之和緩性非何杰金氏淋巴瘤，六個月內曾以rituximab治療失敗之單一治療。(103/2/1)</w:t>
      </w:r>
    </w:p>
    <w:p w:rsidR="00B96EA0" w:rsidRDefault="007D66B8" w:rsidP="005142EB">
      <w:pPr>
        <w:spacing w:line="400" w:lineRule="exact"/>
        <w:ind w:left="811" w:hanging="245"/>
      </w:pPr>
      <w:r>
        <w:rPr>
          <w:rFonts w:ascii="標楷體" w:eastAsia="標楷體" w:hAnsi="標楷體"/>
          <w:bCs/>
          <w:color w:val="000000"/>
        </w:rPr>
        <w:t>4.</w:t>
      </w:r>
      <w:r>
        <w:t xml:space="preserve"> </w:t>
      </w:r>
      <w:r>
        <w:rPr>
          <w:rFonts w:ascii="標楷體" w:eastAsia="標楷體" w:hAnsi="標楷體"/>
          <w:bCs/>
          <w:color w:val="000000"/>
        </w:rPr>
        <w:t>合併rituximab適用於先前未曾接受治療的CD20陽性、第III/IV期和緩性非何杰金氏淋巴瘤。(108/10/1)</w:t>
      </w:r>
    </w:p>
    <w:p w:rsidR="00B96EA0" w:rsidRDefault="007D66B8" w:rsidP="005142EB">
      <w:pPr>
        <w:spacing w:line="400" w:lineRule="exact"/>
        <w:ind w:left="811" w:hanging="245"/>
      </w:pPr>
      <w:r>
        <w:rPr>
          <w:rFonts w:ascii="標楷體" w:eastAsia="標楷體" w:hAnsi="標楷體"/>
          <w:bCs/>
          <w:color w:val="000000"/>
        </w:rPr>
        <w:t>5.</w:t>
      </w:r>
      <w:r>
        <w:t xml:space="preserve"> </w:t>
      </w:r>
      <w:r>
        <w:rPr>
          <w:rFonts w:ascii="標楷體" w:eastAsia="標楷體" w:hAnsi="標楷體"/>
          <w:bCs/>
          <w:color w:val="000000"/>
        </w:rPr>
        <w:t>合併rituximab用於先前未曾接受治療且不適合自體幹細胞移植的第III/IV期被套細胞淋巴瘤。(108/10/1)</w:t>
      </w:r>
    </w:p>
    <w:p w:rsidR="00B96EA0" w:rsidRDefault="007D66B8" w:rsidP="005142EB">
      <w:pPr>
        <w:spacing w:line="400" w:lineRule="exact"/>
        <w:ind w:left="811" w:hanging="245"/>
      </w:pPr>
      <w:r>
        <w:rPr>
          <w:rFonts w:ascii="標楷體" w:eastAsia="標楷體" w:hAnsi="標楷體"/>
          <w:bCs/>
          <w:color w:val="000000"/>
        </w:rPr>
        <w:t>6.</w:t>
      </w:r>
      <w:r>
        <w:rPr>
          <w:rFonts w:ascii="標楷體" w:eastAsia="標楷體" w:hAnsi="標楷體"/>
          <w:szCs w:val="24"/>
        </w:rPr>
        <w:t>可與polatuzumab vedotin和rituximab併用，適用於第三線治療復發型(relapsed)或難治型(refractory)且未曾接受及不適合接受造血幹細胞移植的瀰漫性大型B細胞淋巴瘤（DLBCL）成年病人，患者需符合polatuzumab vedotin之藥品給付規定。(113/2/1)</w:t>
      </w:r>
    </w:p>
    <w:p w:rsidR="00B96EA0" w:rsidRDefault="007D66B8" w:rsidP="005142EB">
      <w:pPr>
        <w:spacing w:line="400" w:lineRule="exact"/>
        <w:ind w:left="811" w:hanging="245"/>
        <w:rPr>
          <w:rFonts w:ascii="標楷體" w:eastAsia="標楷體" w:hAnsi="標楷體"/>
          <w:bCs/>
          <w:color w:val="000000"/>
        </w:rPr>
      </w:pPr>
      <w:r>
        <w:rPr>
          <w:rFonts w:ascii="標楷體" w:eastAsia="標楷體" w:hAnsi="標楷體"/>
          <w:bCs/>
          <w:color w:val="000000"/>
        </w:rPr>
        <w:t>7.不得與fludarabine合併使用。(103/2/1)</w:t>
      </w:r>
    </w:p>
    <w:p w:rsidR="00B96EA0" w:rsidRDefault="007D66B8" w:rsidP="005142EB">
      <w:pPr>
        <w:spacing w:line="400" w:lineRule="exact"/>
        <w:ind w:left="811" w:hanging="245"/>
      </w:pPr>
      <w:r>
        <w:rPr>
          <w:rFonts w:ascii="標楷體" w:eastAsia="標楷體" w:hAnsi="標楷體"/>
          <w:bCs/>
          <w:color w:val="000000"/>
        </w:rPr>
        <w:t>8.須經事前審查核准後使用，每次申請最多六個（月）療程</w:t>
      </w:r>
      <w:r>
        <w:rPr>
          <w:rFonts w:ascii="標楷體" w:eastAsia="標楷體" w:hAnsi="標楷體"/>
          <w:szCs w:val="24"/>
        </w:rPr>
        <w:t>；若為依前述第6項與polatuzumab vedotin和rituximab併用時</w:t>
      </w:r>
      <w:r>
        <w:rPr>
          <w:rFonts w:ascii="新細明體" w:hAnsi="新細明體"/>
          <w:szCs w:val="24"/>
        </w:rPr>
        <w:t>，</w:t>
      </w:r>
      <w:r>
        <w:rPr>
          <w:rFonts w:ascii="標楷體" w:eastAsia="標楷體" w:hAnsi="標楷體"/>
          <w:szCs w:val="24"/>
        </w:rPr>
        <w:t>每次申請最多3個療程</w:t>
      </w:r>
      <w:r>
        <w:rPr>
          <w:rFonts w:ascii="新細明體" w:hAnsi="新細明體"/>
          <w:szCs w:val="24"/>
        </w:rPr>
        <w:t>，</w:t>
      </w:r>
      <w:r>
        <w:rPr>
          <w:rFonts w:ascii="標楷體" w:eastAsia="標楷體" w:hAnsi="標楷體"/>
          <w:szCs w:val="24"/>
        </w:rPr>
        <w:t>且最多給付6個療程</w:t>
      </w:r>
      <w:r>
        <w:rPr>
          <w:rFonts w:ascii="新細明體" w:hAnsi="新細明體"/>
          <w:szCs w:val="24"/>
        </w:rPr>
        <w:t>。</w:t>
      </w:r>
      <w:r>
        <w:rPr>
          <w:rFonts w:ascii="標楷體" w:eastAsia="標楷體" w:hAnsi="標楷體"/>
          <w:szCs w:val="24"/>
        </w:rPr>
        <w:t>(101/10/1、113/2/1)</w:t>
      </w:r>
      <w:r>
        <w:rPr>
          <w:rFonts w:ascii="標楷體" w:eastAsia="標楷體" w:hAnsi="標楷體"/>
          <w:bCs/>
          <w:color w:val="000000"/>
          <w:szCs w:val="24"/>
        </w:rPr>
        <w:t>。</w:t>
      </w:r>
    </w:p>
    <w:p w:rsidR="00892228" w:rsidRPr="00133CA0" w:rsidRDefault="00892228" w:rsidP="00892228">
      <w:pPr>
        <w:spacing w:line="400" w:lineRule="exact"/>
        <w:rPr>
          <w:rFonts w:ascii="標楷體" w:eastAsia="標楷體" w:hAnsi="標楷體"/>
          <w:color w:val="000000"/>
          <w:szCs w:val="24"/>
        </w:rPr>
      </w:pPr>
      <w:r w:rsidRPr="00133CA0">
        <w:rPr>
          <w:rFonts w:ascii="標楷體" w:eastAsia="標楷體" w:hAnsi="標楷體"/>
          <w:color w:val="000000"/>
          <w:szCs w:val="24"/>
        </w:rPr>
        <w:t>9.43.Lenalidomide(如Revlimid)</w:t>
      </w:r>
      <w:r w:rsidRPr="00133CA0">
        <w:rPr>
          <w:rFonts w:ascii="標楷體" w:eastAsia="標楷體" w:hAnsi="標楷體" w:hint="eastAsia"/>
          <w:color w:val="000000"/>
          <w:szCs w:val="24"/>
        </w:rPr>
        <w:t>：（</w:t>
      </w:r>
      <w:r w:rsidRPr="00133CA0">
        <w:rPr>
          <w:rFonts w:ascii="標楷體" w:eastAsia="標楷體" w:hAnsi="標楷體"/>
          <w:color w:val="000000"/>
          <w:szCs w:val="24"/>
        </w:rPr>
        <w:t>101/12/1</w:t>
      </w:r>
      <w:r w:rsidRPr="00133CA0">
        <w:rPr>
          <w:rFonts w:ascii="標楷體" w:eastAsia="標楷體" w:hAnsi="標楷體" w:hint="eastAsia"/>
          <w:color w:val="000000"/>
          <w:szCs w:val="24"/>
        </w:rPr>
        <w:t>、</w:t>
      </w:r>
      <w:r w:rsidRPr="00133CA0">
        <w:rPr>
          <w:rFonts w:ascii="標楷體" w:eastAsia="標楷體" w:hAnsi="標楷體"/>
          <w:color w:val="000000"/>
          <w:szCs w:val="24"/>
        </w:rPr>
        <w:t>106/10/1</w:t>
      </w:r>
      <w:r w:rsidRPr="00133CA0">
        <w:rPr>
          <w:rFonts w:ascii="標楷體" w:eastAsia="標楷體" w:hAnsi="標楷體" w:hint="eastAsia"/>
          <w:color w:val="000000"/>
          <w:szCs w:val="24"/>
        </w:rPr>
        <w:t>、</w:t>
      </w:r>
      <w:r w:rsidRPr="00133CA0">
        <w:rPr>
          <w:rFonts w:ascii="標楷體" w:eastAsia="標楷體" w:hAnsi="標楷體"/>
          <w:color w:val="000000"/>
          <w:szCs w:val="24"/>
        </w:rPr>
        <w:t>109/2/1</w:t>
      </w:r>
      <w:r w:rsidRPr="00133CA0">
        <w:rPr>
          <w:rFonts w:ascii="標楷體" w:eastAsia="標楷體" w:hAnsi="標楷體" w:hint="eastAsia"/>
          <w:color w:val="000000"/>
          <w:szCs w:val="24"/>
        </w:rPr>
        <w:t>、</w:t>
      </w:r>
      <w:r w:rsidRPr="00133CA0">
        <w:rPr>
          <w:rFonts w:ascii="標楷體" w:eastAsia="標楷體" w:hAnsi="標楷體"/>
          <w:color w:val="000000"/>
          <w:szCs w:val="24"/>
        </w:rPr>
        <w:t>109/8/1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、114</w:t>
      </w:r>
      <w:r w:rsidRPr="00133CA0">
        <w:rPr>
          <w:rFonts w:ascii="標楷體" w:eastAsia="標楷體" w:hAnsi="標楷體"/>
          <w:szCs w:val="24"/>
        </w:rPr>
        <w:t>/</w:t>
      </w:r>
      <w:r w:rsidRPr="00133CA0">
        <w:rPr>
          <w:rFonts w:ascii="標楷體" w:eastAsia="標楷體" w:hAnsi="標楷體" w:hint="eastAsia"/>
          <w:szCs w:val="24"/>
        </w:rPr>
        <w:t>10</w:t>
      </w:r>
      <w:r w:rsidRPr="00133CA0">
        <w:rPr>
          <w:rFonts w:ascii="標楷體" w:eastAsia="標楷體" w:hAnsi="標楷體"/>
          <w:szCs w:val="24"/>
        </w:rPr>
        <w:t>/1</w:t>
      </w:r>
      <w:r w:rsidRPr="00133CA0">
        <w:rPr>
          <w:rFonts w:ascii="標楷體" w:eastAsia="標楷體" w:hAnsi="標楷體" w:hint="eastAsia"/>
          <w:color w:val="000000"/>
          <w:szCs w:val="24"/>
        </w:rPr>
        <w:t>）</w:t>
      </w:r>
    </w:p>
    <w:p w:rsidR="00892228" w:rsidRPr="00133CA0" w:rsidRDefault="00892228" w:rsidP="00892228">
      <w:pPr>
        <w:spacing w:line="400" w:lineRule="exact"/>
        <w:ind w:leftChars="118" w:left="283"/>
        <w:rPr>
          <w:rFonts w:ascii="標楷體" w:eastAsia="標楷體" w:hAnsi="標楷體"/>
          <w:color w:val="000000"/>
          <w:szCs w:val="24"/>
        </w:rPr>
      </w:pPr>
      <w:r w:rsidRPr="00133CA0">
        <w:rPr>
          <w:rFonts w:ascii="標楷體" w:eastAsia="標楷體" w:hAnsi="標楷體" w:hint="eastAsia"/>
          <w:color w:val="000000"/>
          <w:szCs w:val="24"/>
        </w:rPr>
        <w:t>1.多發性骨髓瘤：</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(1)先前尚未接受過任何治療且不適用造血幹細胞移植的多發性骨髓瘤患者可使用</w:t>
      </w:r>
      <w:r w:rsidRPr="00133CA0">
        <w:rPr>
          <w:rFonts w:ascii="標楷體" w:eastAsia="標楷體" w:hAnsi="標楷體"/>
          <w:color w:val="000000"/>
          <w:szCs w:val="24"/>
        </w:rPr>
        <w:t>lenalidomide</w:t>
      </w:r>
      <w:r w:rsidRPr="00133CA0">
        <w:rPr>
          <w:rFonts w:ascii="標楷體" w:eastAsia="標楷體" w:hAnsi="標楷體" w:hint="eastAsia"/>
          <w:color w:val="000000"/>
          <w:szCs w:val="24"/>
        </w:rPr>
        <w:t>併用</w:t>
      </w:r>
      <w:r w:rsidRPr="00133CA0">
        <w:rPr>
          <w:rFonts w:ascii="標楷體" w:eastAsia="標楷體" w:hAnsi="標楷體"/>
          <w:color w:val="000000"/>
          <w:szCs w:val="24"/>
        </w:rPr>
        <w:t>dexamethasone</w:t>
      </w:r>
      <w:r w:rsidRPr="00133CA0">
        <w:rPr>
          <w:rFonts w:ascii="標楷體" w:eastAsia="標楷體" w:hAnsi="標楷體" w:hint="eastAsia"/>
          <w:color w:val="000000"/>
          <w:szCs w:val="24"/>
        </w:rPr>
        <w:t>作為第一線治療。開始治療時病患須同時符合下列I與Ⅱ的條件：（</w:t>
      </w:r>
      <w:r w:rsidRPr="00133CA0">
        <w:rPr>
          <w:rFonts w:ascii="標楷體" w:eastAsia="標楷體" w:hAnsi="標楷體"/>
          <w:color w:val="000000"/>
          <w:szCs w:val="24"/>
        </w:rPr>
        <w:t>109/2/1</w:t>
      </w:r>
      <w:r w:rsidRPr="00133CA0">
        <w:rPr>
          <w:rFonts w:ascii="標楷體" w:eastAsia="標楷體" w:hAnsi="標楷體" w:hint="eastAsia"/>
          <w:color w:val="000000"/>
          <w:szCs w:val="24"/>
        </w:rPr>
        <w:t>、</w:t>
      </w:r>
      <w:r w:rsidRPr="00133CA0">
        <w:rPr>
          <w:rFonts w:ascii="標楷體" w:eastAsia="標楷體" w:hAnsi="標楷體"/>
          <w:color w:val="000000"/>
          <w:szCs w:val="24"/>
        </w:rPr>
        <w:t>109/8/1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Ⅰ.</w:t>
      </w:r>
      <w:r w:rsidRPr="00133CA0">
        <w:rPr>
          <w:rFonts w:ascii="標楷體" w:eastAsia="標楷體" w:hAnsi="標楷體"/>
          <w:szCs w:val="24"/>
        </w:rPr>
        <w:t>骨髓漿細胞(plasma cells)比例≧10%，或是經切片確認且有≧1顆的plasmacytoma。（112/4/1）</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Ⅱ.</w:t>
      </w:r>
      <w:r w:rsidRPr="00133CA0">
        <w:rPr>
          <w:rFonts w:ascii="標楷體" w:eastAsia="標楷體" w:hAnsi="標楷體"/>
          <w:szCs w:val="24"/>
        </w:rPr>
        <w:t>出現下列任一臨床症狀：（112/4/1）</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lastRenderedPageBreak/>
        <w:t>ⅰ</w:t>
      </w:r>
      <w:r w:rsidRPr="00133CA0">
        <w:rPr>
          <w:rFonts w:ascii="標楷體" w:eastAsia="標楷體" w:hAnsi="標楷體" w:hint="eastAsia"/>
          <w:color w:val="000000"/>
          <w:szCs w:val="24"/>
        </w:rPr>
        <w:t>.</w:t>
      </w:r>
      <w:r w:rsidRPr="00133CA0">
        <w:rPr>
          <w:rFonts w:ascii="標楷體" w:eastAsia="標楷體" w:hAnsi="標楷體"/>
          <w:szCs w:val="24"/>
        </w:rPr>
        <w:t>腎功能不全：serum creatinine＞2.0mg/dL或estimated GFR (eGFR)＜40 ml/min，且無其他原因可以解釋。</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t>ⅱ.</w:t>
      </w:r>
      <w:r w:rsidRPr="00133CA0">
        <w:rPr>
          <w:rFonts w:ascii="標楷體" w:eastAsia="標楷體" w:hAnsi="標楷體"/>
          <w:szCs w:val="24"/>
        </w:rPr>
        <w:t>高血鈣(corrected serum calcium＞11.0 mg/dL或2.75 mmol/L)。</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t>ⅲ.</w:t>
      </w:r>
      <w:r w:rsidRPr="00133CA0">
        <w:rPr>
          <w:rFonts w:ascii="標楷體" w:eastAsia="標楷體" w:hAnsi="標楷體"/>
          <w:szCs w:val="24"/>
        </w:rPr>
        <w:t>貧血(Hemoglobin＜10 gm/dL 且無其他原因可以解釋)。</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color w:val="000000"/>
          <w:szCs w:val="24"/>
        </w:rPr>
        <w:t>ⅳ.</w:t>
      </w:r>
      <w:r w:rsidRPr="00133CA0">
        <w:rPr>
          <w:rFonts w:ascii="標楷體" w:eastAsia="標楷體" w:hAnsi="標楷體"/>
          <w:szCs w:val="24"/>
        </w:rPr>
        <w:t>影像檢查確認之osteolytic bone lesion(s)。</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szCs w:val="24"/>
        </w:rPr>
        <w:t>ⅴ</w:t>
      </w:r>
      <w:r w:rsidRPr="00133CA0">
        <w:rPr>
          <w:rFonts w:ascii="標楷體" w:eastAsia="標楷體" w:hAnsi="標楷體" w:hint="eastAsia"/>
          <w:szCs w:val="24"/>
        </w:rPr>
        <w:t>.</w:t>
      </w:r>
      <w:r w:rsidRPr="00133CA0">
        <w:rPr>
          <w:rFonts w:ascii="標楷體" w:eastAsia="標楷體" w:hAnsi="標楷體"/>
          <w:szCs w:val="24"/>
        </w:rPr>
        <w:t>骨髓漿細胞(plasma cells)比例≧60%</w:t>
      </w:r>
    </w:p>
    <w:p w:rsidR="00892228" w:rsidRPr="00133CA0" w:rsidRDefault="00892228" w:rsidP="00892228">
      <w:pPr>
        <w:spacing w:line="400" w:lineRule="exact"/>
        <w:ind w:leftChars="300" w:left="1080" w:hangingChars="150" w:hanging="360"/>
        <w:rPr>
          <w:rFonts w:ascii="標楷體" w:eastAsia="標楷體" w:hAnsi="標楷體"/>
          <w:color w:val="000000"/>
          <w:szCs w:val="24"/>
        </w:rPr>
      </w:pPr>
      <w:r w:rsidRPr="00133CA0">
        <w:rPr>
          <w:rFonts w:ascii="新細明體" w:hAnsi="新細明體" w:hint="eastAsia"/>
          <w:szCs w:val="24"/>
        </w:rPr>
        <w:t>ⅵ.</w:t>
      </w:r>
      <w:r w:rsidRPr="00133CA0">
        <w:rPr>
          <w:rFonts w:ascii="標楷體" w:eastAsia="標楷體" w:hAnsi="標楷體"/>
          <w:szCs w:val="24"/>
        </w:rPr>
        <w:t>Serum free light-chain ratio≧100。</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Ⅲ.</w:t>
      </w:r>
      <w:r w:rsidRPr="00133CA0">
        <w:rPr>
          <w:rFonts w:ascii="標楷體" w:eastAsia="標楷體" w:hAnsi="標楷體"/>
          <w:color w:val="000000"/>
          <w:szCs w:val="24"/>
        </w:rPr>
        <w:t>每4個療程重新申請時，須重新評估是否適合接受造血幹細胞移植。若經重新評估為已適合接受造血幹細胞移植者，即須停止Rd之治療。（112/4/1）</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(2)與</w:t>
      </w:r>
      <w:r w:rsidRPr="00133CA0">
        <w:rPr>
          <w:rFonts w:ascii="標楷體" w:eastAsia="標楷體" w:hAnsi="標楷體"/>
          <w:color w:val="000000"/>
          <w:szCs w:val="24"/>
        </w:rPr>
        <w:t>dexamethasone</w:t>
      </w:r>
      <w:r w:rsidRPr="00133CA0">
        <w:rPr>
          <w:rFonts w:ascii="標楷體" w:eastAsia="標楷體" w:hAnsi="標楷體" w:hint="eastAsia"/>
          <w:color w:val="000000"/>
          <w:szCs w:val="24"/>
        </w:rPr>
        <w:t>合併使用於先前已接受至少一種治療失敗之多發性骨髓瘤患者，且需同時符合下列I與Ⅱ的條件：（</w:t>
      </w:r>
      <w:r w:rsidRPr="00133CA0">
        <w:rPr>
          <w:rFonts w:ascii="標楷體" w:eastAsia="標楷體" w:hAnsi="標楷體"/>
          <w:color w:val="000000"/>
          <w:szCs w:val="24"/>
        </w:rPr>
        <w:t>101/12/1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Ⅰ.</w:t>
      </w:r>
      <w:r w:rsidRPr="00133CA0">
        <w:rPr>
          <w:rFonts w:ascii="標楷體" w:eastAsia="標楷體" w:hAnsi="標楷體"/>
          <w:color w:val="000000"/>
          <w:szCs w:val="24"/>
        </w:rPr>
        <w:t>具有下列任一疾病惡化的指標： 病患開始治療前須在連續2次評估中均符合同一指標 (但若為plamacytoma 體積增加，或是新產生的bone lesion(s)或新plasmacytoma，則僅需1次評估)：（112/4/1）</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ⅰ</w:t>
      </w:r>
      <w:r w:rsidRPr="00133CA0">
        <w:rPr>
          <w:rFonts w:ascii="標楷體" w:eastAsia="標楷體" w:hAnsi="標楷體"/>
          <w:szCs w:val="24"/>
        </w:rPr>
        <w:t>.若前一線治療中M component 最低值≧5 g/dL，血清M蛋白需增加≧1 g/dL；若前一線治療中M component最低值＜5 g/dL，血清M蛋白需增加≧0.5g/dL。</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ⅱ.</w:t>
      </w:r>
      <w:r w:rsidRPr="00133CA0">
        <w:rPr>
          <w:rFonts w:ascii="標楷體" w:eastAsia="標楷體" w:hAnsi="標楷體"/>
          <w:szCs w:val="24"/>
        </w:rPr>
        <w:t>Urine M-protein需增加≧0.2 gm/24Hr，且需較前一線治療中的最低值增加≧25%。</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ⅲ</w:t>
      </w:r>
      <w:r w:rsidRPr="00133CA0">
        <w:rPr>
          <w:rFonts w:ascii="標楷體" w:eastAsia="標楷體" w:hAnsi="標楷體" w:hint="eastAsia"/>
          <w:szCs w:val="24"/>
        </w:rPr>
        <w:t>.</w:t>
      </w:r>
      <w:r w:rsidRPr="00133CA0">
        <w:rPr>
          <w:rFonts w:ascii="標楷體" w:eastAsia="標楷體" w:hAnsi="標楷體"/>
          <w:szCs w:val="24"/>
        </w:rPr>
        <w:t>在non-secretary myeloma 病患，骨髓漿細胞 (plasma cells)之比例絕對值增加≧10%，且需較前一線治療中的最低值增加≧25%。</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ⅳ</w:t>
      </w:r>
      <w:r w:rsidRPr="00133CA0">
        <w:rPr>
          <w:rFonts w:ascii="標楷體" w:eastAsia="標楷體" w:hAnsi="標楷體" w:hint="eastAsia"/>
          <w:szCs w:val="24"/>
        </w:rPr>
        <w:t>.</w:t>
      </w:r>
      <w:r w:rsidRPr="00133CA0">
        <w:rPr>
          <w:rFonts w:ascii="標楷體" w:eastAsia="標楷體" w:hAnsi="標楷體"/>
          <w:szCs w:val="24"/>
        </w:rPr>
        <w:t>新產生的bone lesion(s)或plasmacytoma；且須經病理切片證實。</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ⅴ</w:t>
      </w:r>
      <w:r w:rsidRPr="00133CA0">
        <w:rPr>
          <w:rFonts w:ascii="標楷體" w:eastAsia="標楷體" w:hAnsi="標楷體" w:hint="eastAsia"/>
          <w:szCs w:val="24"/>
        </w:rPr>
        <w:t>.</w:t>
      </w:r>
      <w:r w:rsidRPr="00133CA0">
        <w:rPr>
          <w:rFonts w:ascii="標楷體" w:eastAsia="標楷體" w:hAnsi="標楷體"/>
          <w:szCs w:val="24"/>
        </w:rPr>
        <w:t>Plasmacytoma體積增加≧50%。</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ⅵ</w:t>
      </w:r>
      <w:r w:rsidRPr="00133CA0">
        <w:rPr>
          <w:rFonts w:ascii="標楷體" w:eastAsia="標楷體" w:hAnsi="標楷體" w:hint="eastAsia"/>
          <w:szCs w:val="24"/>
        </w:rPr>
        <w:t>.</w:t>
      </w:r>
      <w:r w:rsidRPr="00133CA0">
        <w:rPr>
          <w:rFonts w:ascii="標楷體" w:eastAsia="標楷體" w:hAnsi="標楷體"/>
          <w:szCs w:val="24"/>
        </w:rPr>
        <w:t>周邊血液中漿細胞比例≧20%或漿細胞絕對值≧2000 cells/μL。</w:t>
      </w:r>
    </w:p>
    <w:p w:rsidR="00892228" w:rsidRPr="00133CA0" w:rsidRDefault="00892228" w:rsidP="00892228">
      <w:pPr>
        <w:spacing w:line="400" w:lineRule="exact"/>
        <w:ind w:leftChars="263" w:left="991" w:hangingChars="150" w:hanging="360"/>
        <w:rPr>
          <w:rFonts w:ascii="標楷體" w:eastAsia="標楷體" w:hAnsi="標楷體"/>
          <w:color w:val="000000"/>
          <w:szCs w:val="24"/>
        </w:rPr>
      </w:pPr>
      <w:r w:rsidRPr="00133CA0">
        <w:rPr>
          <w:rFonts w:ascii="標楷體" w:eastAsia="標楷體" w:hAnsi="標楷體" w:hint="eastAsia"/>
          <w:color w:val="000000"/>
          <w:szCs w:val="24"/>
        </w:rPr>
        <w:t>Ⅱ.</w:t>
      </w:r>
      <w:r w:rsidRPr="00133CA0">
        <w:rPr>
          <w:rFonts w:ascii="標楷體" w:eastAsia="標楷體" w:hAnsi="標楷體"/>
          <w:color w:val="000000"/>
          <w:szCs w:val="24"/>
        </w:rPr>
        <w:t>出現下列任一臨床症狀：（112/4/1）</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ⅰ</w:t>
      </w:r>
      <w:r w:rsidRPr="00133CA0">
        <w:rPr>
          <w:rFonts w:ascii="標楷體" w:eastAsia="標楷體" w:hAnsi="標楷體" w:hint="eastAsia"/>
          <w:szCs w:val="24"/>
        </w:rPr>
        <w:t>.</w:t>
      </w:r>
      <w:r w:rsidRPr="00133CA0">
        <w:rPr>
          <w:rFonts w:ascii="標楷體" w:eastAsia="標楷體" w:hAnsi="標楷體"/>
          <w:szCs w:val="24"/>
        </w:rPr>
        <w:t>新產生的bone lesion(s)或plasmacytoma；且須經病理切片證實。</w:t>
      </w:r>
    </w:p>
    <w:p w:rsidR="00892228" w:rsidRPr="00133CA0" w:rsidRDefault="00892228" w:rsidP="00892228">
      <w:pPr>
        <w:spacing w:line="400" w:lineRule="exact"/>
        <w:ind w:leftChars="381" w:left="1274" w:hangingChars="150" w:hanging="360"/>
        <w:rPr>
          <w:rFonts w:ascii="標楷體" w:eastAsia="標楷體" w:hAnsi="標楷體"/>
          <w:szCs w:val="24"/>
        </w:rPr>
      </w:pPr>
      <w:r w:rsidRPr="00133CA0">
        <w:rPr>
          <w:rFonts w:ascii="新細明體" w:hAnsi="新細明體" w:hint="eastAsia"/>
          <w:szCs w:val="24"/>
        </w:rPr>
        <w:t>ⅱ.</w:t>
      </w:r>
      <w:r w:rsidRPr="00133CA0">
        <w:rPr>
          <w:rFonts w:ascii="標楷體" w:eastAsia="標楷體" w:hAnsi="標楷體"/>
          <w:szCs w:val="24"/>
        </w:rPr>
        <w:t>Plasmacytoma 體積增加≧50%。</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t>ⅲ</w:t>
      </w:r>
      <w:r w:rsidRPr="00133CA0">
        <w:rPr>
          <w:rFonts w:ascii="標楷體" w:eastAsia="標楷體" w:hAnsi="標楷體" w:hint="eastAsia"/>
          <w:szCs w:val="24"/>
        </w:rPr>
        <w:t>.</w:t>
      </w:r>
      <w:r w:rsidRPr="00133CA0">
        <w:rPr>
          <w:rFonts w:ascii="標楷體" w:eastAsia="標楷體" w:hAnsi="標楷體"/>
          <w:szCs w:val="24"/>
        </w:rPr>
        <w:t>高血鈣(corrected serum calcium＞11.0 mg/dL 或 2.75 mmol/L)。</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t>ⅳ</w:t>
      </w:r>
      <w:r w:rsidRPr="00133CA0">
        <w:rPr>
          <w:rFonts w:ascii="標楷體" w:eastAsia="標楷體" w:hAnsi="標楷體" w:hint="eastAsia"/>
          <w:szCs w:val="24"/>
        </w:rPr>
        <w:t>.</w:t>
      </w:r>
      <w:r w:rsidRPr="00133CA0">
        <w:rPr>
          <w:rFonts w:ascii="標楷體" w:eastAsia="標楷體" w:hAnsi="標楷體"/>
          <w:szCs w:val="24"/>
        </w:rPr>
        <w:t>貧血(Hemoglobin 下降幅度≧ 2gm/dL且無其他原因可以解釋)。</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t>ⅴ</w:t>
      </w:r>
      <w:r w:rsidRPr="00133CA0">
        <w:rPr>
          <w:rFonts w:ascii="標楷體" w:eastAsia="標楷體" w:hAnsi="標楷體" w:hint="eastAsia"/>
          <w:szCs w:val="24"/>
        </w:rPr>
        <w:t>.</w:t>
      </w:r>
      <w:r w:rsidRPr="00133CA0">
        <w:rPr>
          <w:rFonts w:ascii="標楷體" w:eastAsia="標楷體" w:hAnsi="標楷體"/>
          <w:szCs w:val="24"/>
        </w:rPr>
        <w:t>腎功能惡化(eGFR需下降幅度≧25%)，且無其他原因可以解釋。</w:t>
      </w:r>
    </w:p>
    <w:p w:rsidR="00892228" w:rsidRPr="00133CA0" w:rsidRDefault="00892228" w:rsidP="00892228">
      <w:pPr>
        <w:spacing w:line="400" w:lineRule="exact"/>
        <w:ind w:leftChars="381" w:left="1274" w:hangingChars="150" w:hanging="360"/>
        <w:rPr>
          <w:rFonts w:ascii="標楷體" w:eastAsia="標楷體" w:hAnsi="標楷體"/>
          <w:szCs w:val="24"/>
        </w:rPr>
      </w:pPr>
      <w:r w:rsidRPr="008C204D">
        <w:rPr>
          <w:rFonts w:ascii="新細明體" w:hAnsi="新細明體" w:cs="新細明體" w:hint="eastAsia"/>
          <w:szCs w:val="24"/>
        </w:rPr>
        <w:t>ⅵ</w:t>
      </w:r>
      <w:r w:rsidRPr="00133CA0">
        <w:rPr>
          <w:rFonts w:ascii="標楷體" w:eastAsia="標楷體" w:hAnsi="標楷體" w:hint="eastAsia"/>
          <w:szCs w:val="24"/>
        </w:rPr>
        <w:t>.</w:t>
      </w:r>
      <w:r w:rsidRPr="00133CA0">
        <w:rPr>
          <w:rFonts w:ascii="標楷體" w:eastAsia="標楷體" w:hAnsi="標楷體"/>
          <w:szCs w:val="24"/>
        </w:rPr>
        <w:t>出現其他 end-organ dysfunctions。</w:t>
      </w:r>
    </w:p>
    <w:p w:rsidR="00892228" w:rsidRPr="00133CA0" w:rsidRDefault="00892228" w:rsidP="00892228">
      <w:pPr>
        <w:spacing w:line="400" w:lineRule="exact"/>
        <w:ind w:leftChars="145" w:left="708" w:hangingChars="150" w:hanging="360"/>
        <w:rPr>
          <w:rFonts w:ascii="標楷體" w:eastAsia="標楷體" w:hAnsi="標楷體"/>
          <w:szCs w:val="24"/>
        </w:rPr>
      </w:pPr>
      <w:r w:rsidRPr="00133CA0">
        <w:rPr>
          <w:rFonts w:ascii="標楷體" w:eastAsia="標楷體" w:hAnsi="標楷體" w:hint="eastAsia"/>
          <w:color w:val="000000"/>
          <w:szCs w:val="24"/>
        </w:rPr>
        <w:t>(3)須經事前審查核准後使用，每次申請事前審查之療程以</w:t>
      </w:r>
      <w:r w:rsidRPr="00133CA0">
        <w:rPr>
          <w:rFonts w:ascii="標楷體" w:eastAsia="標楷體" w:hAnsi="標楷體"/>
          <w:color w:val="000000"/>
          <w:szCs w:val="24"/>
        </w:rPr>
        <w:t>4</w:t>
      </w:r>
      <w:r w:rsidRPr="00133CA0">
        <w:rPr>
          <w:rFonts w:ascii="標楷體" w:eastAsia="標楷體" w:hAnsi="標楷體" w:hint="eastAsia"/>
          <w:color w:val="000000"/>
          <w:szCs w:val="24"/>
        </w:rPr>
        <w:t>個療程為限，每</w:t>
      </w:r>
      <w:r w:rsidRPr="00133CA0">
        <w:rPr>
          <w:rFonts w:ascii="標楷體" w:eastAsia="標楷體" w:hAnsi="標楷體"/>
          <w:color w:val="000000"/>
          <w:szCs w:val="24"/>
        </w:rPr>
        <w:t>4</w:t>
      </w:r>
      <w:r w:rsidRPr="00133CA0">
        <w:rPr>
          <w:rFonts w:ascii="標楷體" w:eastAsia="標楷體" w:hAnsi="標楷體" w:hint="eastAsia"/>
          <w:color w:val="000000"/>
          <w:szCs w:val="24"/>
        </w:rPr>
        <w:t>個療程須再次申請。</w:t>
      </w:r>
    </w:p>
    <w:p w:rsidR="00892228" w:rsidRPr="00133CA0" w:rsidRDefault="00892228" w:rsidP="00892228">
      <w:pPr>
        <w:spacing w:line="400" w:lineRule="exact"/>
        <w:ind w:leftChars="200" w:left="840" w:hangingChars="150" w:hanging="360"/>
        <w:rPr>
          <w:rFonts w:ascii="標楷體" w:eastAsia="標楷體" w:hAnsi="標楷體"/>
          <w:szCs w:val="24"/>
        </w:rPr>
      </w:pPr>
      <w:r w:rsidRPr="00133CA0">
        <w:rPr>
          <w:rFonts w:ascii="標楷體" w:eastAsia="標楷體" w:hAnsi="標楷體" w:hint="eastAsia"/>
          <w:szCs w:val="24"/>
        </w:rPr>
        <w:t>Ⅰ.每天限給付</w:t>
      </w:r>
      <w:r w:rsidRPr="00133CA0">
        <w:rPr>
          <w:rFonts w:ascii="標楷體" w:eastAsia="標楷體" w:hAnsi="標楷體"/>
          <w:szCs w:val="24"/>
        </w:rPr>
        <w:t>1</w:t>
      </w:r>
      <w:r w:rsidRPr="00133CA0">
        <w:rPr>
          <w:rFonts w:ascii="標楷體" w:eastAsia="標楷體" w:hAnsi="標楷體" w:hint="eastAsia"/>
          <w:szCs w:val="24"/>
        </w:rPr>
        <w:t>粒。</w:t>
      </w:r>
    </w:p>
    <w:p w:rsidR="00892228" w:rsidRPr="00133CA0" w:rsidRDefault="00892228" w:rsidP="00892228">
      <w:pPr>
        <w:spacing w:line="400" w:lineRule="exact"/>
        <w:ind w:leftChars="200" w:left="840" w:hangingChars="150" w:hanging="360"/>
        <w:rPr>
          <w:rFonts w:ascii="標楷體" w:eastAsia="標楷體" w:hAnsi="標楷體"/>
          <w:szCs w:val="24"/>
        </w:rPr>
      </w:pPr>
      <w:r w:rsidRPr="00133CA0">
        <w:rPr>
          <w:rFonts w:ascii="標楷體" w:eastAsia="標楷體" w:hAnsi="標楷體" w:hint="eastAsia"/>
          <w:szCs w:val="24"/>
        </w:rPr>
        <w:t>Ⅱ.使用</w:t>
      </w:r>
      <w:r w:rsidRPr="00133CA0">
        <w:rPr>
          <w:rFonts w:ascii="標楷體" w:eastAsia="標楷體" w:hAnsi="標楷體"/>
          <w:szCs w:val="24"/>
        </w:rPr>
        <w:t>4</w:t>
      </w:r>
      <w:r w:rsidRPr="00133CA0">
        <w:rPr>
          <w:rFonts w:ascii="標楷體" w:eastAsia="標楷體" w:hAnsi="標楷體" w:hint="eastAsia"/>
          <w:szCs w:val="24"/>
        </w:rPr>
        <w:t>個療程後，必須確定</w:t>
      </w:r>
      <w:r w:rsidRPr="00133CA0">
        <w:rPr>
          <w:rFonts w:ascii="標楷體" w:eastAsia="標楷體" w:hAnsi="標楷體"/>
          <w:szCs w:val="24"/>
        </w:rPr>
        <w:t>paraprotein(M-protein)</w:t>
      </w:r>
      <w:r w:rsidRPr="00133CA0">
        <w:rPr>
          <w:rFonts w:ascii="標楷體" w:eastAsia="標楷體" w:hAnsi="標楷體" w:hint="eastAsia"/>
          <w:szCs w:val="24"/>
        </w:rPr>
        <w:t>未上升</w:t>
      </w:r>
      <w:r w:rsidRPr="00133CA0">
        <w:rPr>
          <w:rFonts w:ascii="標楷體" w:eastAsia="標楷體" w:hAnsi="標楷體"/>
          <w:szCs w:val="24"/>
        </w:rPr>
        <w:t>(</w:t>
      </w:r>
      <w:r w:rsidRPr="00133CA0">
        <w:rPr>
          <w:rFonts w:ascii="標楷體" w:eastAsia="標楷體" w:hAnsi="標楷體" w:hint="eastAsia"/>
          <w:szCs w:val="24"/>
        </w:rPr>
        <w:t>即表示對藥物有反應或為穩定狀態</w:t>
      </w:r>
      <w:r w:rsidRPr="00133CA0">
        <w:rPr>
          <w:rFonts w:ascii="標楷體" w:eastAsia="標楷體" w:hAnsi="標楷體"/>
          <w:szCs w:val="24"/>
        </w:rPr>
        <w:t>)</w:t>
      </w:r>
      <w:r w:rsidRPr="00133CA0">
        <w:rPr>
          <w:rFonts w:ascii="標楷體" w:eastAsia="標楷體" w:hAnsi="標楷體" w:hint="eastAsia"/>
          <w:szCs w:val="24"/>
        </w:rPr>
        <w:t>或對部分</w:t>
      </w:r>
      <w:r w:rsidRPr="00133CA0">
        <w:rPr>
          <w:rFonts w:ascii="標楷體" w:eastAsia="標楷體" w:hAnsi="標楷體"/>
          <w:szCs w:val="24"/>
        </w:rPr>
        <w:t>non-secretory type MM</w:t>
      </w:r>
      <w:r w:rsidRPr="00133CA0">
        <w:rPr>
          <w:rFonts w:ascii="標楷體" w:eastAsia="標楷體" w:hAnsi="標楷體" w:hint="eastAsia"/>
          <w:szCs w:val="24"/>
        </w:rPr>
        <w:t>病人以骨髓檢查</w:t>
      </w:r>
      <w:r w:rsidRPr="00133CA0">
        <w:rPr>
          <w:rFonts w:ascii="標楷體" w:eastAsia="標楷體" w:hAnsi="標楷體"/>
          <w:szCs w:val="24"/>
        </w:rPr>
        <w:t>plasma cell</w:t>
      </w:r>
      <w:r w:rsidRPr="00133CA0">
        <w:rPr>
          <w:rFonts w:ascii="標楷體" w:eastAsia="標楷體" w:hAnsi="標楷體" w:hint="eastAsia"/>
          <w:szCs w:val="24"/>
        </w:rPr>
        <w:t>為療效依據，方可繼續使用。</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lastRenderedPageBreak/>
        <w:t>(4)每人終生至多給付</w:t>
      </w:r>
      <w:r w:rsidRPr="00133CA0">
        <w:rPr>
          <w:rFonts w:ascii="標楷體" w:eastAsia="標楷體" w:hAnsi="標楷體"/>
          <w:color w:val="000000"/>
          <w:szCs w:val="24"/>
        </w:rPr>
        <w:t>24</w:t>
      </w:r>
      <w:r w:rsidRPr="00133CA0">
        <w:rPr>
          <w:rFonts w:ascii="標楷體" w:eastAsia="標楷體" w:hAnsi="標楷體" w:hint="eastAsia"/>
          <w:color w:val="000000"/>
          <w:szCs w:val="24"/>
        </w:rPr>
        <w:t>個療程為限（每療程為</w:t>
      </w:r>
      <w:r w:rsidRPr="00133CA0">
        <w:rPr>
          <w:rFonts w:ascii="標楷體" w:eastAsia="標楷體" w:hAnsi="標楷體"/>
          <w:color w:val="000000"/>
          <w:szCs w:val="24"/>
        </w:rPr>
        <w:t>4</w:t>
      </w:r>
      <w:r w:rsidRPr="00133CA0">
        <w:rPr>
          <w:rFonts w:ascii="標楷體" w:eastAsia="標楷體" w:hAnsi="標楷體" w:hint="eastAsia"/>
          <w:color w:val="000000"/>
          <w:szCs w:val="24"/>
        </w:rPr>
        <w:t>週）。（</w:t>
      </w:r>
      <w:r w:rsidRPr="00133CA0">
        <w:rPr>
          <w:rFonts w:ascii="標楷體" w:eastAsia="標楷體" w:hAnsi="標楷體"/>
          <w:color w:val="000000"/>
          <w:szCs w:val="24"/>
        </w:rPr>
        <w:t>106/10/1</w:t>
      </w:r>
      <w:r w:rsidRPr="00133CA0">
        <w:rPr>
          <w:rFonts w:ascii="標楷體" w:eastAsia="標楷體" w:hAnsi="標楷體" w:hint="eastAsia"/>
          <w:color w:val="000000"/>
          <w:szCs w:val="24"/>
        </w:rPr>
        <w:t>、</w:t>
      </w:r>
      <w:r w:rsidRPr="00133CA0">
        <w:rPr>
          <w:rFonts w:ascii="標楷體" w:eastAsia="標楷體" w:hAnsi="標楷體"/>
          <w:color w:val="000000"/>
          <w:szCs w:val="24"/>
        </w:rPr>
        <w:t>109/2/1</w:t>
      </w:r>
      <w:r w:rsidRPr="00133CA0">
        <w:rPr>
          <w:rFonts w:ascii="標楷體" w:eastAsia="標楷體" w:hAnsi="標楷體" w:hint="eastAsia"/>
          <w:color w:val="000000"/>
          <w:szCs w:val="24"/>
        </w:rPr>
        <w:t>、</w:t>
      </w:r>
      <w:r w:rsidRPr="00133CA0">
        <w:rPr>
          <w:rFonts w:ascii="標楷體" w:eastAsia="標楷體" w:hAnsi="標楷體"/>
          <w:color w:val="000000"/>
          <w:szCs w:val="24"/>
        </w:rPr>
        <w:t>109/8/1</w:t>
      </w:r>
      <w:r w:rsidRPr="00133CA0">
        <w:rPr>
          <w:rFonts w:ascii="標楷體" w:eastAsia="標楷體" w:hAnsi="標楷體" w:hint="eastAsia"/>
          <w:color w:val="000000"/>
          <w:szCs w:val="24"/>
        </w:rPr>
        <w:t>、</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(5)</w:t>
      </w:r>
      <w:r w:rsidRPr="00133CA0">
        <w:rPr>
          <w:rFonts w:ascii="標楷體" w:eastAsia="標楷體" w:hAnsi="標楷體"/>
          <w:color w:val="000000"/>
          <w:szCs w:val="24"/>
        </w:rPr>
        <w:t>112</w:t>
      </w:r>
      <w:r w:rsidRPr="00133CA0">
        <w:rPr>
          <w:rFonts w:ascii="標楷體" w:eastAsia="標楷體" w:hAnsi="標楷體" w:hint="eastAsia"/>
          <w:color w:val="000000"/>
          <w:szCs w:val="24"/>
        </w:rPr>
        <w:t>年</w:t>
      </w:r>
      <w:r w:rsidRPr="00133CA0">
        <w:rPr>
          <w:rFonts w:ascii="標楷體" w:eastAsia="標楷體" w:hAnsi="標楷體"/>
          <w:color w:val="000000"/>
          <w:szCs w:val="24"/>
        </w:rPr>
        <w:t>3</w:t>
      </w:r>
      <w:r w:rsidRPr="00133CA0">
        <w:rPr>
          <w:rFonts w:ascii="標楷體" w:eastAsia="標楷體" w:hAnsi="標楷體" w:hint="eastAsia"/>
          <w:color w:val="000000"/>
          <w:szCs w:val="24"/>
        </w:rPr>
        <w:t>月</w:t>
      </w:r>
      <w:r w:rsidRPr="00133CA0">
        <w:rPr>
          <w:rFonts w:ascii="標楷體" w:eastAsia="標楷體" w:hAnsi="標楷體"/>
          <w:color w:val="000000"/>
          <w:szCs w:val="24"/>
        </w:rPr>
        <w:t>31</w:t>
      </w:r>
      <w:r w:rsidRPr="00133CA0">
        <w:rPr>
          <w:rFonts w:ascii="標楷體" w:eastAsia="標楷體" w:hAnsi="標楷體" w:hint="eastAsia"/>
          <w:color w:val="000000"/>
          <w:szCs w:val="24"/>
        </w:rPr>
        <w:t>日以前已核定用藥之病人，得經事前審查核准後，使用至總療程上限（即終生</w:t>
      </w:r>
      <w:r w:rsidRPr="00133CA0">
        <w:rPr>
          <w:rFonts w:ascii="標楷體" w:eastAsia="標楷體" w:hAnsi="標楷體"/>
          <w:color w:val="000000"/>
          <w:szCs w:val="24"/>
        </w:rPr>
        <w:t>24</w:t>
      </w:r>
      <w:r w:rsidRPr="00133CA0">
        <w:rPr>
          <w:rFonts w:ascii="標楷體" w:eastAsia="標楷體" w:hAnsi="標楷體" w:hint="eastAsia"/>
          <w:color w:val="000000"/>
          <w:szCs w:val="24"/>
        </w:rPr>
        <w:t>個療程）或使用期間發生疾病惡化為止。（</w:t>
      </w:r>
      <w:r w:rsidRPr="00133CA0">
        <w:rPr>
          <w:rFonts w:ascii="標楷體" w:eastAsia="標楷體" w:hAnsi="標楷體"/>
          <w:color w:val="000000"/>
          <w:szCs w:val="24"/>
        </w:rPr>
        <w:t>112/4/1</w:t>
      </w:r>
      <w:r w:rsidRPr="00133CA0">
        <w:rPr>
          <w:rFonts w:ascii="標楷體" w:eastAsia="標楷體" w:hAnsi="標楷體" w:hint="eastAsia"/>
          <w:color w:val="000000"/>
          <w:szCs w:val="24"/>
        </w:rPr>
        <w:t>）</w:t>
      </w:r>
    </w:p>
    <w:p w:rsidR="00892228" w:rsidRPr="00133CA0" w:rsidRDefault="00892228" w:rsidP="00892228">
      <w:pPr>
        <w:spacing w:line="400" w:lineRule="exact"/>
        <w:ind w:leftChars="118" w:left="283"/>
        <w:rPr>
          <w:rFonts w:ascii="標楷體" w:eastAsia="標楷體" w:hAnsi="標楷體"/>
          <w:kern w:val="0"/>
          <w:szCs w:val="24"/>
        </w:rPr>
      </w:pPr>
      <w:r w:rsidRPr="00133CA0">
        <w:rPr>
          <w:rFonts w:ascii="標楷體" w:eastAsia="標楷體" w:hAnsi="標楷體" w:hint="eastAsia"/>
          <w:szCs w:val="24"/>
        </w:rPr>
        <w:t>2.瀰漫性大型</w:t>
      </w:r>
      <w:r w:rsidRPr="00133CA0">
        <w:rPr>
          <w:rFonts w:ascii="標楷體" w:eastAsia="標楷體" w:hAnsi="標楷體"/>
          <w:szCs w:val="24"/>
        </w:rPr>
        <w:t>B</w:t>
      </w:r>
      <w:r w:rsidRPr="00133CA0">
        <w:rPr>
          <w:rFonts w:ascii="標楷體" w:eastAsia="標楷體" w:hAnsi="標楷體" w:hint="eastAsia"/>
          <w:szCs w:val="24"/>
        </w:rPr>
        <w:t>細胞淋巴瘤：</w:t>
      </w:r>
      <w:r w:rsidRPr="00133CA0">
        <w:rPr>
          <w:rFonts w:ascii="標楷體" w:eastAsia="標楷體" w:hAnsi="標楷體"/>
          <w:szCs w:val="24"/>
        </w:rPr>
        <w:t>(</w:t>
      </w:r>
      <w:r w:rsidRPr="00133CA0">
        <w:rPr>
          <w:rFonts w:ascii="標楷體" w:eastAsia="標楷體" w:hAnsi="標楷體" w:hint="eastAsia"/>
          <w:szCs w:val="24"/>
        </w:rPr>
        <w:t>114</w:t>
      </w:r>
      <w:r w:rsidRPr="00133CA0">
        <w:rPr>
          <w:rFonts w:ascii="標楷體" w:eastAsia="標楷體" w:hAnsi="標楷體"/>
          <w:szCs w:val="24"/>
        </w:rPr>
        <w:t>/</w:t>
      </w:r>
      <w:r w:rsidRPr="00133CA0">
        <w:rPr>
          <w:rFonts w:ascii="標楷體" w:eastAsia="標楷體" w:hAnsi="標楷體" w:hint="eastAsia"/>
          <w:szCs w:val="24"/>
        </w:rPr>
        <w:t>10</w:t>
      </w:r>
      <w:r w:rsidRPr="00133CA0">
        <w:rPr>
          <w:rFonts w:ascii="標楷體" w:eastAsia="標楷體" w:hAnsi="標楷體"/>
          <w:szCs w:val="24"/>
        </w:rPr>
        <w:t>/1)</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(1)</w:t>
      </w:r>
      <w:r w:rsidRPr="00133CA0">
        <w:rPr>
          <w:rFonts w:ascii="標楷體" w:eastAsia="標楷體" w:hAnsi="標楷體"/>
          <w:color w:val="000000"/>
          <w:szCs w:val="24"/>
        </w:rPr>
        <w:t>Lenalidomide(</w:t>
      </w:r>
      <w:r w:rsidRPr="00133CA0">
        <w:rPr>
          <w:rFonts w:ascii="標楷體" w:eastAsia="標楷體" w:hAnsi="標楷體" w:hint="eastAsia"/>
          <w:color w:val="000000"/>
          <w:szCs w:val="24"/>
        </w:rPr>
        <w:t>限使用L</w:t>
      </w:r>
      <w:r w:rsidRPr="00133CA0">
        <w:rPr>
          <w:rFonts w:ascii="標楷體" w:eastAsia="標楷體" w:hAnsi="標楷體"/>
          <w:color w:val="000000"/>
          <w:szCs w:val="24"/>
        </w:rPr>
        <w:t>eavdo)</w:t>
      </w:r>
      <w:r w:rsidRPr="00133CA0">
        <w:rPr>
          <w:rFonts w:ascii="標楷體" w:eastAsia="標楷體" w:hAnsi="標楷體" w:hint="eastAsia"/>
          <w:color w:val="000000"/>
          <w:szCs w:val="24"/>
        </w:rPr>
        <w:t xml:space="preserve">與 </w:t>
      </w:r>
      <w:r w:rsidRPr="00133CA0">
        <w:rPr>
          <w:rFonts w:ascii="標楷體" w:eastAsia="標楷體" w:hAnsi="標楷體"/>
          <w:color w:val="000000"/>
          <w:szCs w:val="24"/>
        </w:rPr>
        <w:t>tafasitamab</w:t>
      </w:r>
      <w:r w:rsidRPr="00133CA0">
        <w:rPr>
          <w:rFonts w:ascii="標楷體" w:eastAsia="標楷體" w:hAnsi="標楷體" w:hint="eastAsia"/>
          <w:color w:val="000000"/>
          <w:szCs w:val="24"/>
        </w:rPr>
        <w:t>合併使用於經一線全身治療含</w:t>
      </w:r>
      <w:r w:rsidRPr="00133CA0">
        <w:rPr>
          <w:rFonts w:ascii="標楷體" w:eastAsia="標楷體" w:hAnsi="標楷體"/>
          <w:color w:val="000000"/>
          <w:szCs w:val="24"/>
        </w:rPr>
        <w:t>rituximab</w:t>
      </w:r>
      <w:r w:rsidRPr="00133CA0">
        <w:rPr>
          <w:rFonts w:ascii="標楷體" w:eastAsia="標楷體" w:hAnsi="標楷體" w:hint="eastAsia"/>
          <w:color w:val="000000"/>
          <w:szCs w:val="24"/>
        </w:rPr>
        <w:t>治療復發型，不適合接受造血幹細胞移植瀰漫性大型</w:t>
      </w:r>
      <w:r w:rsidRPr="00133CA0">
        <w:rPr>
          <w:rFonts w:ascii="標楷體" w:eastAsia="標楷體" w:hAnsi="標楷體"/>
          <w:color w:val="000000"/>
          <w:szCs w:val="24"/>
        </w:rPr>
        <w:t>B</w:t>
      </w:r>
      <w:r w:rsidRPr="00133CA0">
        <w:rPr>
          <w:rFonts w:ascii="標楷體" w:eastAsia="標楷體" w:hAnsi="標楷體" w:hint="eastAsia"/>
          <w:color w:val="000000"/>
          <w:szCs w:val="24"/>
        </w:rPr>
        <w:t>細胞淋巴瘤</w:t>
      </w:r>
      <w:r w:rsidRPr="00133CA0">
        <w:rPr>
          <w:rFonts w:ascii="標楷體" w:eastAsia="標楷體" w:hAnsi="標楷體"/>
          <w:color w:val="000000"/>
          <w:szCs w:val="24"/>
        </w:rPr>
        <w:t>(DLBCL)</w:t>
      </w:r>
      <w:r w:rsidRPr="00133CA0">
        <w:rPr>
          <w:rFonts w:ascii="標楷體" w:eastAsia="標楷體" w:hAnsi="標楷體" w:hint="eastAsia"/>
          <w:color w:val="000000"/>
          <w:szCs w:val="24"/>
        </w:rPr>
        <w:t>成人病人，病人須符合</w:t>
      </w:r>
      <w:r w:rsidRPr="00133CA0">
        <w:rPr>
          <w:rFonts w:ascii="標楷體" w:eastAsia="標楷體" w:hAnsi="標楷體"/>
          <w:color w:val="000000"/>
          <w:szCs w:val="24"/>
        </w:rPr>
        <w:t>tafasitamab</w:t>
      </w:r>
      <w:r w:rsidRPr="00133CA0">
        <w:rPr>
          <w:rFonts w:ascii="標楷體" w:eastAsia="標楷體" w:hAnsi="標楷體" w:hint="eastAsia"/>
          <w:color w:val="000000"/>
          <w:szCs w:val="24"/>
        </w:rPr>
        <w:t>之藥品給付規定。</w:t>
      </w:r>
    </w:p>
    <w:p w:rsidR="00892228" w:rsidRPr="00133CA0" w:rsidRDefault="00892228" w:rsidP="00892228">
      <w:pPr>
        <w:spacing w:line="400" w:lineRule="exact"/>
        <w:ind w:leftChars="145" w:left="708" w:hangingChars="150" w:hanging="360"/>
        <w:rPr>
          <w:rFonts w:ascii="標楷體" w:eastAsia="標楷體" w:hAnsi="標楷體"/>
          <w:color w:val="000000"/>
          <w:szCs w:val="24"/>
        </w:rPr>
      </w:pPr>
      <w:r w:rsidRPr="00133CA0">
        <w:rPr>
          <w:rFonts w:ascii="標楷體" w:eastAsia="標楷體" w:hAnsi="標楷體" w:hint="eastAsia"/>
          <w:color w:val="000000"/>
          <w:szCs w:val="24"/>
        </w:rPr>
        <w:t>(2)須經事前審查核准後使用。</w:t>
      </w:r>
    </w:p>
    <w:p w:rsidR="00892228" w:rsidRPr="00133CA0" w:rsidRDefault="00892228" w:rsidP="00892228">
      <w:pPr>
        <w:spacing w:line="400" w:lineRule="exact"/>
        <w:ind w:leftChars="145" w:left="708" w:hangingChars="150" w:hanging="360"/>
        <w:rPr>
          <w:rFonts w:ascii="標楷體" w:eastAsia="標楷體" w:hAnsi="標楷體"/>
          <w:szCs w:val="24"/>
        </w:rPr>
      </w:pPr>
      <w:r w:rsidRPr="008C204D">
        <w:rPr>
          <w:rFonts w:ascii="標楷體" w:eastAsia="標楷體" w:hAnsi="標楷體" w:hint="eastAsia"/>
          <w:color w:val="000000"/>
          <w:szCs w:val="24"/>
        </w:rPr>
        <w:t>Ⅰ.每人至多</w:t>
      </w:r>
      <w:r w:rsidRPr="00133CA0">
        <w:rPr>
          <w:rFonts w:ascii="標楷體" w:eastAsia="標楷體" w:hAnsi="標楷體" w:hint="eastAsia"/>
          <w:szCs w:val="24"/>
        </w:rPr>
        <w:t>給付</w:t>
      </w:r>
      <w:r w:rsidRPr="00133CA0">
        <w:rPr>
          <w:rFonts w:ascii="標楷體" w:eastAsia="標楷體" w:hAnsi="標楷體"/>
          <w:szCs w:val="24"/>
        </w:rPr>
        <w:t>12</w:t>
      </w:r>
      <w:r w:rsidRPr="00133CA0">
        <w:rPr>
          <w:rFonts w:ascii="標楷體" w:eastAsia="標楷體" w:hAnsi="標楷體" w:hint="eastAsia"/>
          <w:szCs w:val="24"/>
        </w:rPr>
        <w:t>個療程。</w:t>
      </w:r>
    </w:p>
    <w:p w:rsidR="00B96EA0" w:rsidRDefault="00892228" w:rsidP="00892228">
      <w:pPr>
        <w:spacing w:line="400" w:lineRule="exact"/>
        <w:ind w:left="811" w:hanging="245"/>
      </w:pPr>
      <w:r w:rsidRPr="00133CA0">
        <w:rPr>
          <w:rFonts w:ascii="標楷體" w:eastAsia="標楷體" w:hAnsi="標楷體" w:hint="eastAsia"/>
          <w:szCs w:val="24"/>
        </w:rPr>
        <w:t>Ⅱ.每天限給付1粒。</w:t>
      </w:r>
    </w:p>
    <w:p w:rsidR="003225F7" w:rsidRDefault="003225F7" w:rsidP="003225F7">
      <w:pPr>
        <w:spacing w:line="400" w:lineRule="exact"/>
        <w:ind w:left="426" w:hanging="245"/>
        <w:rPr>
          <w:rFonts w:ascii="標楷體" w:eastAsia="標楷體" w:hAnsi="標楷體"/>
          <w:color w:val="000000"/>
        </w:rPr>
      </w:pPr>
      <w:r>
        <w:rPr>
          <w:rFonts w:ascii="標楷體" w:eastAsia="標楷體" w:hAnsi="標楷體"/>
          <w:color w:val="000000"/>
        </w:rPr>
        <w:t>9.44.Azacitidine：（102/1/1、111/5/1、111/8/1、112/2/1、112/8/1、114/3/1、114/5/1、114/8/1、114/10/1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1080" w:hanging="840"/>
        <w:rPr>
          <w:rFonts w:ascii="標楷體" w:eastAsia="標楷體" w:hAnsi="標楷體"/>
          <w:color w:val="000000"/>
        </w:rPr>
      </w:pPr>
      <w:r>
        <w:rPr>
          <w:rFonts w:ascii="標楷體" w:eastAsia="標楷體" w:hAnsi="標楷體"/>
          <w:color w:val="000000"/>
        </w:rPr>
        <w:t>9.44.1.Azacitidine 注射劑（如Vidaza）：（102/1/1、111/5/1、111/8/1、112/2/1、112/8/1、114/3/1、114/8/1</w:t>
      </w:r>
      <w:r>
        <w:rPr>
          <w:rFonts w:ascii="標楷體" w:eastAsia="標楷體" w:hAnsi="標楷體" w:hint="eastAsia"/>
          <w:color w:val="000000"/>
        </w:rPr>
        <w:t>、114/12/1</w:t>
      </w:r>
      <w:r>
        <w:rPr>
          <w:rFonts w:ascii="標楷體" w:eastAsia="標楷體" w:hAnsi="標楷體"/>
          <w:color w:val="000000"/>
        </w:rPr>
        <w:t>）</w:t>
      </w:r>
    </w:p>
    <w:p w:rsidR="003225F7" w:rsidRDefault="003225F7" w:rsidP="003225F7">
      <w:pPr>
        <w:spacing w:line="400" w:lineRule="exact"/>
        <w:ind w:left="851" w:hanging="284"/>
        <w:rPr>
          <w:rFonts w:ascii="標楷體" w:eastAsia="標楷體" w:hAnsi="標楷體"/>
        </w:rPr>
      </w:pPr>
      <w:r>
        <w:rPr>
          <w:rFonts w:ascii="標楷體" w:eastAsia="標楷體" w:hAnsi="標楷體"/>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1</w:t>
      </w:r>
      <w:r>
        <w:rPr>
          <w:rFonts w:ascii="標楷體" w:eastAsia="標楷體" w:hAnsi="標楷體"/>
        </w:rPr>
        <w:t>)初次申請時需經事前審查核准後使用，續用不需再事前審查，惟病歷應留存確診之病理或影像診斷證明等報告</w:t>
      </w:r>
      <w:r>
        <w:rPr>
          <w:rFonts w:ascii="標楷體" w:eastAsia="標楷體" w:hAnsi="標楷體" w:hint="eastAsia"/>
        </w:rPr>
        <w:t>(包括每4個月一次骨髓檢查報告以及CBC/DC報告)</w:t>
      </w:r>
      <w:r>
        <w:rPr>
          <w:rFonts w:ascii="標楷體" w:eastAsia="標楷體" w:hAnsi="標楷體"/>
        </w:rPr>
        <w:t>，並記錄治療相關臨床資料</w:t>
      </w:r>
      <w:r>
        <w:rPr>
          <w:rFonts w:ascii="標楷體" w:eastAsia="標楷體" w:hAnsi="標楷體" w:hint="eastAsia"/>
        </w:rPr>
        <w:t>(如每4個月一次臨床療效評估摘要)</w:t>
      </w:r>
      <w:r>
        <w:rPr>
          <w:rFonts w:ascii="標楷體" w:eastAsia="標楷體" w:hAnsi="標楷體"/>
        </w:rPr>
        <w:t>。（111/8/1、112/2/1、112/8/1、114/3/1、114/8/1</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2</w:t>
      </w:r>
      <w:r>
        <w:rPr>
          <w:rFonts w:ascii="標楷體" w:eastAsia="標楷體" w:hAnsi="標楷體"/>
        </w:rPr>
        <w:t>)</w:t>
      </w:r>
      <w:r>
        <w:rPr>
          <w:rFonts w:ascii="標楷體" w:eastAsia="標楷體" w:hAnsi="標楷體" w:hint="eastAsia"/>
        </w:rPr>
        <w:t>使用本藥品之病患，倘疾病惡化至骨髓芽細胞</w:t>
      </w:r>
      <w:r>
        <w:rPr>
          <w:rFonts w:ascii="標楷體" w:eastAsia="標楷體" w:hAnsi="標楷體"/>
        </w:rPr>
        <w:t>（myeloblast）大於30%</w:t>
      </w:r>
      <w:r>
        <w:rPr>
          <w:rFonts w:ascii="標楷體" w:eastAsia="標楷體" w:hAnsi="標楷體" w:hint="eastAsia"/>
        </w:rPr>
        <w:t>即停藥</w:t>
      </w:r>
      <w:r>
        <w:rPr>
          <w:rFonts w:ascii="標楷體" w:eastAsia="標楷體" w:hAnsi="標楷體"/>
        </w:rPr>
        <w:t>。（</w:t>
      </w:r>
      <w:r>
        <w:rPr>
          <w:rFonts w:ascii="標楷體" w:eastAsia="標楷體" w:hAnsi="標楷體" w:hint="eastAsia"/>
        </w:rPr>
        <w:t>102/12/1、114/12/1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w:t>
      </w:r>
      <w:r>
        <w:rPr>
          <w:rFonts w:ascii="標楷體" w:eastAsia="標楷體" w:hAnsi="標楷體" w:hint="eastAsia"/>
        </w:rPr>
        <w:t>3</w:t>
      </w:r>
      <w:r>
        <w:rPr>
          <w:rFonts w:ascii="標楷體" w:eastAsia="標楷體" w:hAnsi="標楷體"/>
        </w:rPr>
        <w:t>)</w:t>
      </w:r>
      <w:r>
        <w:rPr>
          <w:rFonts w:ascii="標楷體" w:eastAsia="標楷體" w:hAnsi="標楷體" w:hint="eastAsia"/>
        </w:rPr>
        <w:t>不得併用v</w:t>
      </w:r>
      <w:r>
        <w:rPr>
          <w:rFonts w:ascii="標楷體" w:eastAsia="標楷體" w:hAnsi="標楷體"/>
        </w:rPr>
        <w:t>enetoclax</w:t>
      </w:r>
      <w:r>
        <w:rPr>
          <w:rFonts w:ascii="標楷體" w:eastAsia="標楷體" w:hAnsi="標楷體" w:hint="eastAsia"/>
        </w:rPr>
        <w:t>或轉換為口服劑型之a</w:t>
      </w:r>
      <w:r>
        <w:rPr>
          <w:rFonts w:ascii="標楷體" w:eastAsia="標楷體" w:hAnsi="標楷體"/>
        </w:rPr>
        <w:t>zacitidine</w:t>
      </w:r>
      <w:r>
        <w:rPr>
          <w:rFonts w:ascii="標楷體" w:eastAsia="標楷體" w:hAnsi="標楷體" w:hint="eastAsia"/>
        </w:rPr>
        <w:t>成分藥品。</w:t>
      </w:r>
      <w:r>
        <w:rPr>
          <w:rFonts w:ascii="標楷體" w:eastAsia="標楷體" w:hAnsi="標楷體"/>
        </w:rPr>
        <w:t>（</w:t>
      </w:r>
      <w:r>
        <w:rPr>
          <w:rFonts w:ascii="標楷體" w:eastAsia="標楷體" w:hAnsi="標楷體" w:hint="eastAsia"/>
        </w:rPr>
        <w:t>114/12/1</w:t>
      </w:r>
      <w:r>
        <w:rPr>
          <w:rFonts w:ascii="標楷體" w:eastAsia="標楷體" w:hAnsi="標楷體"/>
        </w:rPr>
        <w:t>）</w:t>
      </w:r>
    </w:p>
    <w:p w:rsidR="003225F7" w:rsidRDefault="003225F7" w:rsidP="003225F7">
      <w:pPr>
        <w:spacing w:line="400" w:lineRule="exact"/>
        <w:ind w:left="1134" w:hanging="284"/>
        <w:rPr>
          <w:rFonts w:ascii="標楷體" w:eastAsia="標楷體" w:hAnsi="標楷體"/>
        </w:rPr>
      </w:pPr>
      <w:r>
        <w:rPr>
          <w:rFonts w:ascii="標楷體" w:eastAsia="標楷體" w:hAnsi="標楷體"/>
        </w:rPr>
        <w:t>(4)本藥品與decitabine僅能擇一使用，除因耐受性不良，不得互換。若因無法耐受 decitabine而轉換至本藥品時需事前申請。使用本藥品無效後，不得再申請decitabine。（111/5/1）</w:t>
      </w:r>
    </w:p>
    <w:p w:rsidR="003225F7" w:rsidRDefault="003225F7" w:rsidP="003225F7">
      <w:pPr>
        <w:spacing w:line="400" w:lineRule="exact"/>
        <w:ind w:left="851" w:hanging="284"/>
        <w:rPr>
          <w:rFonts w:ascii="標楷體" w:eastAsia="標楷體" w:hAnsi="標楷體"/>
        </w:rPr>
      </w:pPr>
      <w:r>
        <w:rPr>
          <w:rFonts w:ascii="標楷體" w:eastAsia="標楷體" w:hAnsi="標楷體"/>
        </w:rPr>
        <w:t>2.Azacitidine(除Winduza及Azacitidine Lyophilized Inj 100mg"GBC"以外)併用venetoclax，使用於無法接受高強度化學治療之初診斷急性骨髓性白血病(AML)病人。(114/8/1)</w:t>
      </w:r>
    </w:p>
    <w:p w:rsidR="003225F7" w:rsidRDefault="003225F7" w:rsidP="003225F7">
      <w:pPr>
        <w:spacing w:line="400" w:lineRule="exact"/>
        <w:ind w:left="1418" w:hanging="397"/>
        <w:rPr>
          <w:rFonts w:ascii="標楷體" w:eastAsia="標楷體" w:hAnsi="標楷體"/>
        </w:rPr>
      </w:pPr>
      <w:r>
        <w:rPr>
          <w:rFonts w:ascii="標楷體" w:eastAsia="標楷體" w:hAnsi="標楷體"/>
        </w:rPr>
        <w:t>(1)需具有下列I.或Ⅱ.的條件之一：</w:t>
      </w:r>
    </w:p>
    <w:p w:rsidR="003225F7" w:rsidRDefault="003225F7" w:rsidP="003225F7">
      <w:pPr>
        <w:spacing w:line="400" w:lineRule="exact"/>
        <w:ind w:left="1560" w:hanging="244"/>
        <w:rPr>
          <w:rFonts w:ascii="標楷體" w:eastAsia="標楷體" w:hAnsi="標楷體"/>
        </w:rPr>
      </w:pPr>
      <w:r>
        <w:rPr>
          <w:rFonts w:ascii="標楷體" w:eastAsia="標楷體" w:hAnsi="標楷體"/>
        </w:rPr>
        <w:t>I.75歲以上。</w:t>
      </w:r>
    </w:p>
    <w:p w:rsidR="003225F7" w:rsidRDefault="003225F7" w:rsidP="003225F7">
      <w:pPr>
        <w:spacing w:line="400" w:lineRule="exact"/>
        <w:ind w:left="1560" w:hanging="244"/>
        <w:rPr>
          <w:rFonts w:ascii="標楷體" w:eastAsia="標楷體" w:hAnsi="標楷體"/>
        </w:rPr>
      </w:pPr>
      <w:r>
        <w:rPr>
          <w:rFonts w:ascii="標楷體" w:eastAsia="標楷體" w:hAnsi="標楷體"/>
        </w:rPr>
        <w:t>Ⅱ.18歲以上但未滿75歲時，需ECOG performance status為 2 或 3，且符合下列任一條件者：</w:t>
      </w:r>
    </w:p>
    <w:p w:rsidR="003225F7" w:rsidRDefault="003225F7" w:rsidP="003225F7">
      <w:pPr>
        <w:spacing w:line="400" w:lineRule="exact"/>
        <w:ind w:left="1985" w:hanging="244"/>
      </w:pPr>
      <w:r>
        <w:rPr>
          <w:rFonts w:ascii="新細明體" w:hAnsi="新細明體" w:cs="新細明體"/>
        </w:rPr>
        <w:lastRenderedPageBreak/>
        <w:t>ⅰ</w:t>
      </w:r>
      <w:r>
        <w:rPr>
          <w:rFonts w:ascii="標楷體" w:eastAsia="標楷體" w:hAnsi="標楷體"/>
        </w:rPr>
        <w:t>.具有心臟衰竭治療病史，且left ventricle ejection fraction (LVEF)＜50%。</w:t>
      </w:r>
    </w:p>
    <w:p w:rsidR="003225F7" w:rsidRDefault="003225F7" w:rsidP="003225F7">
      <w:pPr>
        <w:spacing w:line="400" w:lineRule="exact"/>
        <w:ind w:left="1985" w:hanging="244"/>
      </w:pPr>
      <w:r>
        <w:rPr>
          <w:rFonts w:ascii="新細明體" w:hAnsi="新細明體" w:cs="新細明體"/>
        </w:rPr>
        <w:t>ⅱ</w:t>
      </w:r>
      <w:r>
        <w:rPr>
          <w:rFonts w:ascii="標楷體" w:eastAsia="標楷體" w:hAnsi="標楷體"/>
        </w:rPr>
        <w:t>.</w:t>
      </w:r>
      <w:r>
        <w:rPr>
          <w:rFonts w:ascii="標楷體" w:eastAsia="標楷體" w:hAnsi="標楷體" w:cs="新細明體"/>
        </w:rPr>
        <w:t>具慢性肺部疾病史，且 DLCO＜65%。</w:t>
      </w:r>
    </w:p>
    <w:p w:rsidR="003225F7" w:rsidRDefault="003225F7" w:rsidP="003225F7">
      <w:pPr>
        <w:spacing w:line="400" w:lineRule="exact"/>
        <w:ind w:left="1985" w:hanging="244"/>
      </w:pPr>
      <w:r>
        <w:rPr>
          <w:rFonts w:ascii="新細明體" w:hAnsi="新細明體" w:cs="新細明體"/>
        </w:rPr>
        <w:t>ⅲ</w:t>
      </w:r>
      <w:r>
        <w:rPr>
          <w:rFonts w:ascii="標楷體" w:eastAsia="標楷體" w:hAnsi="標楷體" w:cs="新細明體"/>
        </w:rPr>
        <w:t>.具</w:t>
      </w:r>
      <w:r>
        <w:rPr>
          <w:rFonts w:ascii="標楷體" w:eastAsia="標楷體" w:hAnsi="標楷體" w:cs="新細明體"/>
          <w:kern w:val="0"/>
          <w:szCs w:val="24"/>
        </w:rPr>
        <w:t>肝功能異常：Bilirubin level 在1.5-3.0倍正常值間。</w:t>
      </w:r>
    </w:p>
    <w:p w:rsidR="003225F7" w:rsidRDefault="003225F7" w:rsidP="003225F7">
      <w:pPr>
        <w:spacing w:line="400" w:lineRule="exact"/>
        <w:ind w:left="1418" w:hanging="397"/>
        <w:rPr>
          <w:rFonts w:ascii="標楷體" w:eastAsia="標楷體" w:hAnsi="標楷體"/>
        </w:rPr>
      </w:pPr>
      <w:r>
        <w:rPr>
          <w:rFonts w:ascii="標楷體" w:eastAsia="標楷體" w:hAnsi="標楷體"/>
        </w:rPr>
        <w:t>(2)需未曾因骨髓化生不良症候群(myelodysplastic syndrome, MDS)接受過azacitidine或decitabine治療者。</w:t>
      </w:r>
    </w:p>
    <w:p w:rsidR="003225F7" w:rsidRDefault="003225F7" w:rsidP="003225F7">
      <w:pPr>
        <w:spacing w:line="400" w:lineRule="exact"/>
        <w:ind w:left="1418" w:hanging="397"/>
        <w:rPr>
          <w:rFonts w:ascii="標楷體" w:eastAsia="標楷體" w:hAnsi="標楷體"/>
        </w:rPr>
      </w:pPr>
      <w:r>
        <w:rPr>
          <w:rFonts w:ascii="標楷體" w:eastAsia="標楷體" w:hAnsi="標楷體"/>
        </w:rPr>
        <w:t>(3)需經事前審查核准後使用，每2個療程需再次申請；再次申請時需檢附療效評估資料，若病情惡化應即停止使用。</w:t>
      </w:r>
    </w:p>
    <w:p w:rsidR="00B07C9A" w:rsidRDefault="003225F7" w:rsidP="003225F7">
      <w:pPr>
        <w:spacing w:line="400" w:lineRule="exact"/>
        <w:ind w:left="1418" w:hanging="397"/>
        <w:rPr>
          <w:rFonts w:ascii="標楷體" w:eastAsia="標楷體" w:hAnsi="標楷體"/>
        </w:rPr>
      </w:pPr>
      <w:r>
        <w:rPr>
          <w:rFonts w:ascii="標楷體" w:eastAsia="標楷體" w:hAnsi="標楷體"/>
        </w:rPr>
        <w:t>(4)最多給付6個療程。</w:t>
      </w:r>
    </w:p>
    <w:p w:rsidR="00B07C9A" w:rsidRPr="004C7F93" w:rsidRDefault="00B07C9A" w:rsidP="00B07C9A">
      <w:pPr>
        <w:spacing w:line="400" w:lineRule="exact"/>
        <w:rPr>
          <w:rFonts w:ascii="標楷體" w:eastAsia="標楷體" w:hAnsi="標楷體"/>
          <w:color w:val="000000"/>
        </w:rPr>
      </w:pPr>
      <w:r>
        <w:rPr>
          <w:rFonts w:ascii="標楷體" w:eastAsia="標楷體" w:hAnsi="標楷體" w:hint="eastAsia"/>
          <w:color w:val="000000"/>
        </w:rPr>
        <w:t xml:space="preserve">  </w:t>
      </w:r>
      <w:r w:rsidRPr="004C7F93">
        <w:rPr>
          <w:rFonts w:ascii="標楷體" w:eastAsia="標楷體" w:hAnsi="標楷體" w:hint="eastAsia"/>
          <w:color w:val="000000"/>
        </w:rPr>
        <w:t>9.44.2.Azacitidine 口服製劑（如Onureg）：(114/5/1、114/10/1）</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1.</w:t>
      </w:r>
      <w:r w:rsidRPr="004C7F93">
        <w:rPr>
          <w:rFonts w:ascii="標楷體" w:eastAsia="標楷體" w:hAnsi="標楷體" w:hint="eastAsia"/>
        </w:rPr>
        <w:tab/>
        <w:t>用於不適合接受造血幹細胞移植(HSCT)之急性骨髓性白血病 (AML)成人病人，作為維持治療，且須同時符合下列條件：</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(1)55歲以上具中度或高度不良風險染色體核型變化(intermediate-risk or poor-risk cytogenetics)之急性骨髓性白血病 (AML)病人。</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(2)在誘導治療後(不論是否接受鞏固治療)，首次達到完全緩解(CR)或完全緩解但血球計數未完全恢復正常 (CRi)。</w:t>
      </w:r>
    </w:p>
    <w:p w:rsidR="00B07C9A" w:rsidRPr="004C7F93" w:rsidRDefault="00B07C9A" w:rsidP="00B07C9A">
      <w:pPr>
        <w:spacing w:line="400" w:lineRule="exact"/>
        <w:ind w:left="1134" w:hanging="397"/>
        <w:rPr>
          <w:rFonts w:ascii="標楷體" w:eastAsia="標楷體" w:hAnsi="標楷體"/>
        </w:rPr>
      </w:pPr>
      <w:r w:rsidRPr="004C7F93">
        <w:rPr>
          <w:rFonts w:ascii="標楷體" w:eastAsia="標楷體" w:hAnsi="標楷體" w:hint="eastAsia"/>
        </w:rPr>
        <w:t>(3)之前未曾接受azacitidine或decitabine藥物治療。</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2.</w:t>
      </w:r>
      <w:r w:rsidRPr="004C7F93">
        <w:rPr>
          <w:rFonts w:ascii="標楷體" w:eastAsia="標楷體" w:hAnsi="標楷體" w:hint="eastAsia"/>
        </w:rPr>
        <w:tab/>
        <w:t>需經事前審查核准後使用，初次申請為3個療程，需檢附染色體檢測結果報告；每3個療程需再次申請，可治療至疾病復發 (定義為周邊血或骨髓觀察到的芽細胞超過5%或新出現髓外侵犯)或無法耐受藥物毒性為止。</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3.</w:t>
      </w:r>
      <w:r w:rsidRPr="004C7F93">
        <w:rPr>
          <w:rFonts w:ascii="標楷體" w:eastAsia="標楷體" w:hAnsi="標楷體" w:hint="eastAsia"/>
        </w:rPr>
        <w:tab/>
        <w:t>每人以24個療程為上限。</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4.</w:t>
      </w:r>
      <w:r w:rsidRPr="004C7F93">
        <w:rPr>
          <w:rFonts w:ascii="標楷體" w:eastAsia="標楷體" w:hAnsi="標楷體" w:hint="eastAsia"/>
        </w:rPr>
        <w:tab/>
        <w:t>不得與midostaurin、venetoclax及gilteritinib等標靶藥品併用。</w:t>
      </w:r>
    </w:p>
    <w:p w:rsidR="00B07C9A" w:rsidRPr="004C7F93"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5.</w:t>
      </w:r>
      <w:r w:rsidRPr="004C7F93">
        <w:rPr>
          <w:rFonts w:ascii="標楷體" w:eastAsia="標楷體" w:hAnsi="標楷體" w:hint="eastAsia"/>
        </w:rPr>
        <w:tab/>
        <w:t>病人接受本藥物治療後，不再給付造血幹細胞移植。</w:t>
      </w:r>
    </w:p>
    <w:p w:rsidR="00B96EA0" w:rsidRDefault="00B07C9A" w:rsidP="00B07C9A">
      <w:pPr>
        <w:spacing w:line="400" w:lineRule="exact"/>
        <w:ind w:left="851" w:hanging="284"/>
        <w:rPr>
          <w:rFonts w:ascii="標楷體" w:eastAsia="標楷體" w:hAnsi="標楷體"/>
        </w:rPr>
      </w:pPr>
      <w:r w:rsidRPr="004C7F93">
        <w:rPr>
          <w:rFonts w:ascii="標楷體" w:eastAsia="標楷體" w:hAnsi="標楷體" w:hint="eastAsia"/>
        </w:rPr>
        <w:t>6.本藥品與quizartinib僅得擇一使用，除因耐受性不良，不得互換。(114/10/1)</w:t>
      </w:r>
    </w:p>
    <w:p w:rsidR="00B96EA0" w:rsidRDefault="007D66B8" w:rsidP="005142EB">
      <w:pPr>
        <w:spacing w:line="400" w:lineRule="exact"/>
        <w:ind w:left="720" w:hanging="480"/>
      </w:pPr>
      <w:r>
        <w:rPr>
          <w:rFonts w:ascii="標楷體" w:eastAsia="標楷體" w:hAnsi="標楷體"/>
          <w:color w:val="000000"/>
        </w:rPr>
        <w:t>9.45.</w:t>
      </w:r>
      <w:r>
        <w:rPr>
          <w:rFonts w:ascii="標楷體" w:eastAsia="標楷體" w:hAnsi="標楷體"/>
          <w:kern w:val="0"/>
          <w:szCs w:val="24"/>
        </w:rPr>
        <w:t>Afatinib（如Giotrif）：(103/5/1、106/11/1、108/6/1、108/11/1</w:t>
      </w:r>
      <w:r>
        <w:rPr>
          <w:rFonts w:ascii="標楷體" w:eastAsia="標楷體" w:hAnsi="標楷體"/>
          <w:kern w:val="0"/>
        </w:rPr>
        <w:t>、109/4/1</w:t>
      </w:r>
      <w:r>
        <w:rPr>
          <w:rFonts w:ascii="標楷體" w:eastAsia="標楷體" w:hAnsi="標楷體"/>
        </w:rPr>
        <w:t>、109/6/1、109/10/1</w:t>
      </w:r>
      <w:r>
        <w:rPr>
          <w:rFonts w:ascii="新細明體" w:hAnsi="新細明體"/>
        </w:rPr>
        <w:t>、</w:t>
      </w:r>
      <w:r>
        <w:rPr>
          <w:rFonts w:ascii="標楷體" w:eastAsia="標楷體" w:hAnsi="標楷體"/>
        </w:rPr>
        <w:t>111/4/1</w:t>
      </w:r>
      <w:r>
        <w:rPr>
          <w:rFonts w:ascii="標楷體" w:eastAsia="標楷體" w:hAnsi="標楷體"/>
          <w:color w:val="000000"/>
        </w:rPr>
        <w:t>、113/3/1、113/6/1、113/10/1</w:t>
      </w:r>
      <w:r>
        <w:rPr>
          <w:rFonts w:ascii="標楷體" w:eastAsia="標楷體" w:hAnsi="標楷體"/>
          <w:kern w:val="0"/>
          <w:szCs w:val="24"/>
        </w:rPr>
        <w:t>)</w:t>
      </w:r>
    </w:p>
    <w:p w:rsidR="00B96EA0" w:rsidRDefault="007D66B8" w:rsidP="005142EB">
      <w:pPr>
        <w:spacing w:line="400" w:lineRule="exact"/>
        <w:ind w:left="796" w:hanging="230"/>
      </w:pPr>
      <w:r>
        <w:rPr>
          <w:rFonts w:ascii="標楷體" w:eastAsia="標楷體" w:hAnsi="標楷體"/>
          <w:color w:val="000000"/>
        </w:rPr>
        <w:t>1.</w:t>
      </w:r>
      <w:r>
        <w:t xml:space="preserve"> </w:t>
      </w:r>
      <w:r>
        <w:rPr>
          <w:rFonts w:ascii="標楷體" w:eastAsia="標楷體" w:hAnsi="標楷體"/>
          <w:color w:val="000000"/>
        </w:rPr>
        <w:t>限單獨使用於：</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(1)具有EGFR-TK基因突變之局部晚期或轉移性(即第ⅢB、ⅢC期或第Ⅳ期)之肺腺癌病患之第一線治療，需檢附EGFR基因檢測結果報告，且需符合全民健康保險藥品給付規定之通則十二。(108/6/1、108/11/1、113/6/1)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(2)先前已使用過第一線含鉑化學治療，但仍惡化的局部晚期或轉移性之鱗狀組織非小細胞肺癌之第二線治療。(108/6/1)</w:t>
      </w:r>
    </w:p>
    <w:p w:rsidR="00B96EA0" w:rsidRDefault="007D66B8" w:rsidP="005142EB">
      <w:pPr>
        <w:spacing w:line="400" w:lineRule="exact"/>
        <w:ind w:left="796" w:hanging="230"/>
      </w:pPr>
      <w:r>
        <w:rPr>
          <w:rFonts w:ascii="標楷體" w:eastAsia="標楷體" w:hAnsi="標楷體"/>
          <w:color w:val="000000"/>
        </w:rPr>
        <w:t>2.使用注意事項(106/11/1、108/6/1</w:t>
      </w:r>
      <w:r>
        <w:rPr>
          <w:rFonts w:ascii="標楷體" w:eastAsia="標楷體" w:hAnsi="標楷體"/>
          <w:kern w:val="0"/>
          <w:szCs w:val="24"/>
        </w:rPr>
        <w:t>、</w:t>
      </w:r>
      <w:r>
        <w:rPr>
          <w:rFonts w:ascii="標楷體" w:eastAsia="標楷體" w:hAnsi="標楷體"/>
          <w:kern w:val="0"/>
        </w:rPr>
        <w:t>109/4/1、109/10/1</w:t>
      </w:r>
      <w:r>
        <w:rPr>
          <w:rFonts w:ascii="新細明體" w:hAnsi="新細明體"/>
          <w:kern w:val="0"/>
        </w:rPr>
        <w:t>、</w:t>
      </w:r>
      <w:r>
        <w:rPr>
          <w:rFonts w:ascii="標楷體" w:eastAsia="標楷體" w:hAnsi="標楷體"/>
          <w:kern w:val="0"/>
        </w:rPr>
        <w:t>111/4/1</w:t>
      </w:r>
      <w:r>
        <w:rPr>
          <w:rFonts w:ascii="新細明體" w:hAnsi="新細明體"/>
          <w:kern w:val="0"/>
        </w:rPr>
        <w:t>、</w:t>
      </w:r>
      <w:r>
        <w:rPr>
          <w:rFonts w:ascii="標楷體" w:eastAsia="標楷體" w:hAnsi="標楷體"/>
          <w:color w:val="000000"/>
        </w:rPr>
        <w:t>113/3/1）</w:t>
      </w:r>
    </w:p>
    <w:p w:rsidR="00B96EA0" w:rsidRDefault="007D66B8" w:rsidP="005142EB">
      <w:pPr>
        <w:spacing w:line="400" w:lineRule="exact"/>
        <w:ind w:left="1046" w:hanging="348"/>
        <w:rPr>
          <w:rFonts w:ascii="標楷體" w:eastAsia="標楷體" w:hAnsi="標楷體"/>
          <w:kern w:val="0"/>
          <w:szCs w:val="24"/>
        </w:rPr>
      </w:pPr>
      <w:r>
        <w:rPr>
          <w:rFonts w:ascii="標楷體" w:eastAsia="標楷體" w:hAnsi="標楷體"/>
          <w:kern w:val="0"/>
          <w:szCs w:val="24"/>
        </w:rPr>
        <w:t>(1)用於具有EGFR-TK基因突變之局部晚期或轉移性肺腺癌之第一線治療：病歷應留存確實患有肺腺癌之病理或細胞檢查報告，及EGFR-TK基因突變檢測報告。</w:t>
      </w:r>
    </w:p>
    <w:p w:rsidR="00B96EA0" w:rsidRDefault="007D66B8" w:rsidP="005142EB">
      <w:pPr>
        <w:spacing w:line="400" w:lineRule="exact"/>
        <w:ind w:left="1046" w:hanging="348"/>
      </w:pPr>
      <w:r>
        <w:rPr>
          <w:rFonts w:ascii="標楷體" w:eastAsia="標楷體" w:hAnsi="標楷體"/>
          <w:kern w:val="0"/>
          <w:szCs w:val="24"/>
        </w:rPr>
        <w:t>(2)用於局部晚期或轉移性之鱗狀組織非小細胞肺癌之第二線治療：病歷應留存曾經</w:t>
      </w:r>
      <w:r>
        <w:rPr>
          <w:rFonts w:ascii="標楷體" w:eastAsia="標楷體" w:hAnsi="標楷體"/>
          <w:kern w:val="0"/>
          <w:szCs w:val="24"/>
        </w:rPr>
        <w:lastRenderedPageBreak/>
        <w:t xml:space="preserve">接受含鉑類化學治療之證明，及目前又有疾病惡化之影像診斷證明(如胸部X光、電腦斷層或其他可作為評估的影像)，此影像證明以可測量(measurable)的病灶為優先，如沒有可以測量的病灶，則可評估(evaluable)的病灶亦可採用。(108/6/1) </w:t>
      </w:r>
      <w:r>
        <w:rPr>
          <w:rFonts w:ascii="標楷體" w:eastAsia="標楷體" w:hAnsi="標楷體"/>
          <w:color w:val="000000"/>
        </w:rPr>
        <w:t xml:space="preserve"> </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(3)每次處方以4週為限，再次處方時需於病歷記錄治療後相關臨床資料，如每4週需追蹤胸部X光或電腦斷層等影像檢查，每8至12週需進行完整療效評估（如胸部X光或電腦斷層）。(106/11/1）</w:t>
      </w:r>
    </w:p>
    <w:p w:rsidR="00B96EA0" w:rsidRDefault="007D66B8" w:rsidP="005142EB">
      <w:pPr>
        <w:spacing w:line="400" w:lineRule="exact"/>
        <w:ind w:left="1046" w:hanging="348"/>
        <w:rPr>
          <w:rFonts w:ascii="標楷體" w:eastAsia="標楷體" w:hAnsi="標楷體"/>
          <w:color w:val="000000"/>
        </w:rPr>
      </w:pPr>
      <w:r>
        <w:rPr>
          <w:rFonts w:ascii="標楷體" w:eastAsia="標楷體" w:hAnsi="標楷體"/>
          <w:color w:val="000000"/>
        </w:rPr>
        <w:t>(4)使用本藥品後，除因耐受性不良，否則不得轉換類似藥理機轉之其他酪胺酸激酶阻斷劑（tyrosine kinase inhibitor, TKI）。</w:t>
      </w:r>
    </w:p>
    <w:p w:rsidR="00B96EA0" w:rsidRDefault="007D66B8" w:rsidP="005142EB">
      <w:pPr>
        <w:spacing w:line="400" w:lineRule="exact"/>
        <w:ind w:left="1046" w:hanging="348"/>
      </w:pPr>
      <w:r>
        <w:rPr>
          <w:rFonts w:ascii="標楷體" w:eastAsia="標楷體" w:hAnsi="標楷體"/>
          <w:color w:val="000000"/>
        </w:rPr>
        <w:t>(5)本藥品與gefitinib及erlotinib不得併用。</w:t>
      </w:r>
      <w:r>
        <w:rPr>
          <w:rFonts w:ascii="標楷體" w:eastAsia="標楷體" w:hAnsi="標楷體"/>
          <w:kern w:val="0"/>
          <w:szCs w:val="24"/>
        </w:rPr>
        <w:t>(</w:t>
      </w:r>
      <w:r>
        <w:rPr>
          <w:rFonts w:ascii="標楷體" w:eastAsia="標楷體" w:hAnsi="標楷體"/>
          <w:kern w:val="0"/>
        </w:rPr>
        <w:t>109/4/1</w:t>
      </w:r>
      <w:r>
        <w:rPr>
          <w:rFonts w:ascii="標楷體" w:eastAsia="標楷體" w:hAnsi="標楷體"/>
          <w:kern w:val="0"/>
          <w:szCs w:val="24"/>
        </w:rPr>
        <w:t>)</w:t>
      </w:r>
    </w:p>
    <w:p w:rsidR="00B96EA0" w:rsidRDefault="007D66B8" w:rsidP="005142EB">
      <w:pPr>
        <w:spacing w:line="400" w:lineRule="exact"/>
        <w:ind w:left="1046" w:hanging="348"/>
      </w:pPr>
      <w:r>
        <w:rPr>
          <w:rFonts w:ascii="標楷體" w:eastAsia="標楷體" w:hAnsi="標楷體"/>
        </w:rPr>
        <w:t>(6)本藥品於第一線使用時，與osimertinib、dacomitinib及bevacizumab併用erlotinib之治療組合僅得擇一使用，除因耐受性不良，不得互換。(109/6/1、109/10/1、111/4/1、113/3/1、113/10/1)</w:t>
      </w:r>
    </w:p>
    <w:p w:rsidR="00B96EA0" w:rsidRDefault="007D66B8" w:rsidP="005142EB">
      <w:pPr>
        <w:spacing w:line="400" w:lineRule="exact"/>
        <w:ind w:left="1414" w:hanging="336"/>
      </w:pPr>
      <w:r>
        <w:rPr>
          <w:rFonts w:ascii="標楷體" w:eastAsia="標楷體" w:hAnsi="標楷體"/>
          <w:color w:val="000000"/>
        </w:rPr>
        <w:t>Ⅰ.如需更換使用osimertinib，必須符合osimertinib第一線使用於具有EGFR Exon 19 Del或Exon 21 L858R基因突變之局部侵犯性或轉移性（即為IIIB、IIIC期或第Ⅳ期）肺腺癌病患之限制。(109/6/1、111/4/1、113/10/1)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Ⅱ.如需更換使用dacomitinib，必須符合dacomitinib第一線使用於具有EGFR-TK Exon 19 Del或Exon 21 L858R點突變，且無腦轉移(non-CNS)之局部侵犯性或轉移性肺腺癌之限制。(109/10/1）</w:t>
      </w:r>
    </w:p>
    <w:p w:rsidR="00B96EA0" w:rsidRDefault="007D66B8" w:rsidP="005142EB">
      <w:pPr>
        <w:spacing w:line="400" w:lineRule="exact"/>
        <w:ind w:left="1414" w:hanging="336"/>
        <w:rPr>
          <w:rFonts w:ascii="標楷體" w:eastAsia="標楷體" w:hAnsi="標楷體"/>
          <w:color w:val="000000"/>
        </w:rPr>
      </w:pPr>
      <w:r>
        <w:rPr>
          <w:rFonts w:ascii="標楷體" w:eastAsia="標楷體" w:hAnsi="標楷體"/>
          <w:color w:val="000000"/>
        </w:rPr>
        <w:t>Ⅲ.如需更換使用bevacizumab併用erlotinib之治療組合，必須符合bevacizumab第一線使用於具有EGFR Exon 21 L858R突變且腦轉移之無法手術切除的轉移性（第Ⅳ期）非鱗狀非小細胞肺癌肺腺癌之限制。(113/3/1)</w:t>
      </w:r>
    </w:p>
    <w:p w:rsidR="00B96EA0" w:rsidRDefault="007D66B8" w:rsidP="005142EB">
      <w:pPr>
        <w:spacing w:line="400" w:lineRule="exact"/>
        <w:ind w:left="566" w:hanging="283"/>
      </w:pPr>
      <w:r>
        <w:rPr>
          <w:rFonts w:ascii="標楷體" w:eastAsia="標楷體" w:hAnsi="標楷體"/>
          <w:color w:val="000000"/>
        </w:rPr>
        <w:t>9.46.Tegafur/gimeracil/oteracil複方製劑(如TS-1）：(103/6/1、105/12/1、109/2/1</w:t>
      </w:r>
      <w:r>
        <w:rPr>
          <w:rFonts w:ascii="標楷體" w:eastAsia="標楷體" w:hAnsi="標楷體"/>
        </w:rPr>
        <w:t>、113/2/1</w:t>
      </w:r>
      <w:r>
        <w:rPr>
          <w:rFonts w:ascii="標楷體" w:eastAsia="標楷體" w:hAnsi="標楷體"/>
          <w:color w:val="000000"/>
        </w:rPr>
        <w:t xml:space="preserve">) </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1.治療局部晚期無法手術切除或轉移性胰臟癌病人。</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2.胃癌(105/12/1)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(1)胃癌術後輔助性化療，用於罹患TNMS tageⅡ(排除T1)、ⅢA或ⅢB胃癌且接受過胃癌根除性手術的成年患者，限用1年。</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(2)需經事前審查核准後使用。</w:t>
      </w:r>
    </w:p>
    <w:p w:rsidR="00B96EA0" w:rsidRDefault="007D66B8" w:rsidP="005142EB">
      <w:pPr>
        <w:spacing w:line="400" w:lineRule="exact"/>
        <w:ind w:left="849" w:hanging="283"/>
        <w:rPr>
          <w:rFonts w:ascii="標楷體" w:eastAsia="標楷體" w:hAnsi="標楷體"/>
          <w:color w:val="000000"/>
        </w:rPr>
      </w:pPr>
      <w:r>
        <w:rPr>
          <w:rFonts w:ascii="標楷體" w:eastAsia="標楷體" w:hAnsi="標楷體"/>
          <w:color w:val="000000"/>
        </w:rPr>
        <w:t>3.非小細胞肺癌(109/2/1)</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(1)曾使用含鉑之化學藥物治療失敗的局部晚期或轉移性之非小細胞肺癌。</w:t>
      </w:r>
    </w:p>
    <w:p w:rsidR="00B96EA0" w:rsidRDefault="007D66B8" w:rsidP="005142EB">
      <w:pPr>
        <w:spacing w:line="400" w:lineRule="exact"/>
        <w:ind w:left="1092" w:hanging="382"/>
        <w:rPr>
          <w:rFonts w:ascii="標楷體" w:eastAsia="標楷體" w:hAnsi="標楷體"/>
          <w:color w:val="000000"/>
        </w:rPr>
      </w:pPr>
      <w:r>
        <w:rPr>
          <w:rFonts w:ascii="標楷體" w:eastAsia="標楷體" w:hAnsi="標楷體"/>
          <w:color w:val="000000"/>
        </w:rPr>
        <w:t>(2)不得與標靶治療、其他化療或免疫檢查點抑制劑併用。</w:t>
      </w:r>
    </w:p>
    <w:p w:rsidR="00B96EA0" w:rsidRDefault="007D66B8" w:rsidP="005142EB">
      <w:pPr>
        <w:spacing w:line="400" w:lineRule="exact"/>
        <w:ind w:left="1092" w:hanging="525"/>
      </w:pPr>
      <w:r>
        <w:rPr>
          <w:rFonts w:ascii="標楷體" w:eastAsia="標楷體" w:hAnsi="標楷體"/>
          <w:color w:val="000000"/>
          <w:szCs w:val="24"/>
        </w:rPr>
        <w:t>4.與gemcitabine合併使用作為晚期或復發之膽道癌第一線治療。(</w:t>
      </w:r>
      <w:r>
        <w:rPr>
          <w:rFonts w:ascii="標楷體" w:eastAsia="標楷體" w:hAnsi="標楷體"/>
          <w:szCs w:val="24"/>
        </w:rPr>
        <w:t>113/2/1</w:t>
      </w:r>
      <w:r>
        <w:rPr>
          <w:rFonts w:ascii="標楷體" w:eastAsia="標楷體" w:hAnsi="標楷體"/>
          <w:color w:val="000000"/>
          <w:szCs w:val="24"/>
        </w:rPr>
        <w:t>)</w:t>
      </w:r>
    </w:p>
    <w:p w:rsidR="00B96EA0" w:rsidRDefault="007D66B8" w:rsidP="005142EB">
      <w:pPr>
        <w:spacing w:line="400" w:lineRule="exact"/>
        <w:ind w:left="566" w:hanging="230"/>
        <w:rPr>
          <w:rFonts w:ascii="標楷體" w:eastAsia="標楷體" w:hAnsi="標楷體"/>
          <w:color w:val="000000"/>
        </w:rPr>
      </w:pPr>
      <w:r>
        <w:rPr>
          <w:rFonts w:ascii="標楷體" w:eastAsia="標楷體" w:hAnsi="標楷體"/>
          <w:color w:val="000000"/>
        </w:rPr>
        <w:t>9.47.Lapatinib（如Tykerb）：（103/9/1、106/11/1、110/2/1、114/2/1）</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1.與capecitabine併用，使用於曾接受anthracycline, taxane以及trastuzumab治療後病況惡化之轉移性乳癌併有腦部轉移，且為HER2過度表現(IHC3+或FISH+)病</w:t>
      </w:r>
      <w:r>
        <w:rPr>
          <w:rFonts w:ascii="標楷體" w:eastAsia="標楷體" w:hAnsi="標楷體"/>
          <w:color w:val="000000"/>
        </w:rPr>
        <w:lastRenderedPageBreak/>
        <w:t>人。</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2.每3個月需進行療效評估，病歷應留存評估紀錄，無疾病惡化方可繼續使用。(106/11/1)</w:t>
      </w:r>
    </w:p>
    <w:p w:rsidR="00B96EA0" w:rsidRDefault="007D66B8" w:rsidP="005142EB">
      <w:pPr>
        <w:spacing w:line="400" w:lineRule="exact"/>
        <w:ind w:left="796" w:hanging="230"/>
      </w:pPr>
      <w:r>
        <w:rPr>
          <w:rFonts w:ascii="標楷體" w:eastAsia="標楷體" w:hAnsi="標楷體"/>
          <w:color w:val="000000"/>
        </w:rPr>
        <w:t>3.</w:t>
      </w:r>
      <w:r>
        <w:t xml:space="preserve"> </w:t>
      </w:r>
      <w:r>
        <w:rPr>
          <w:rFonts w:ascii="標楷體" w:eastAsia="標楷體" w:hAnsi="標楷體"/>
          <w:color w:val="000000"/>
        </w:rPr>
        <w:t>Lapatinib、trastuzumab emtansine和trastuzumab deruxtecan僅能擇一給付，不得互換。(110/2/1、114/2/1)</w:t>
      </w:r>
    </w:p>
    <w:p w:rsidR="00B96EA0" w:rsidRDefault="007D66B8" w:rsidP="005142EB">
      <w:pPr>
        <w:spacing w:line="400" w:lineRule="exact"/>
        <w:ind w:left="708" w:hanging="338"/>
        <w:rPr>
          <w:rFonts w:ascii="標楷體" w:eastAsia="標楷體" w:hAnsi="標楷體"/>
          <w:color w:val="000000"/>
        </w:rPr>
      </w:pPr>
      <w:r>
        <w:rPr>
          <w:rFonts w:ascii="標楷體" w:eastAsia="標楷體" w:hAnsi="標楷體"/>
          <w:color w:val="000000"/>
        </w:rPr>
        <w:t>9.48.Eribulin（如Halaven）：（103/12/1、106/11/1、108/12/1、110/2/1）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1.轉移性乳癌：</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(1)用於治療轉移性乳癌患者且先前曾接受過anthracycline和taxane兩種針對轉移性乳癌之化學治療輔助性治療。</w:t>
      </w:r>
    </w:p>
    <w:p w:rsidR="00B96EA0" w:rsidRDefault="007D66B8" w:rsidP="005142EB">
      <w:pPr>
        <w:spacing w:line="400" w:lineRule="exact"/>
        <w:ind w:left="1232" w:hanging="382"/>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(2)每3個療程需進行療效評估，病歷應留存評估紀錄，無疾病惡化方可繼續使用。(106/11/1)</w:t>
      </w:r>
    </w:p>
    <w:p w:rsidR="00B96EA0" w:rsidRDefault="007D66B8" w:rsidP="005142EB">
      <w:pPr>
        <w:spacing w:line="400" w:lineRule="exact"/>
        <w:ind w:left="1200" w:hanging="353"/>
        <w:rPr>
          <w:rFonts w:ascii="標楷體" w:eastAsia="標楷體" w:hAnsi="標楷體"/>
          <w:color w:val="000000"/>
        </w:rPr>
      </w:pPr>
      <w:r>
        <w:rPr>
          <w:rFonts w:ascii="標楷體" w:eastAsia="標楷體" w:hAnsi="標楷體"/>
          <w:color w:val="000000"/>
        </w:rPr>
        <w:t>(3)Eribulin與ixabepilone用於治療上述之轉移性乳癌患者時，僅得擇一使用，且不得互換（eribulin限用於未曾使用過ixabepilone之病患）。(110/2/1)</w:t>
      </w:r>
    </w:p>
    <w:p w:rsidR="00B96EA0" w:rsidRDefault="007D66B8" w:rsidP="005142EB">
      <w:pPr>
        <w:spacing w:line="400" w:lineRule="exact"/>
        <w:ind w:left="849" w:hanging="338"/>
        <w:rPr>
          <w:rFonts w:ascii="標楷體" w:eastAsia="標楷體" w:hAnsi="標楷體"/>
          <w:color w:val="000000"/>
        </w:rPr>
      </w:pPr>
      <w:r>
        <w:rPr>
          <w:rFonts w:ascii="標楷體" w:eastAsia="標楷體" w:hAnsi="標楷體"/>
          <w:color w:val="000000"/>
        </w:rPr>
        <w:t>2.脂肪肉瘤：(108/12/1)</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(1)限單獨使用於治療無法手術切除或轉移性脂肪肉瘤成人患者，且先前應至少接受一次含anthracycline之全身化療。</w:t>
      </w:r>
    </w:p>
    <w:p w:rsidR="00B96EA0" w:rsidRDefault="007D66B8" w:rsidP="005142EB">
      <w:pPr>
        <w:spacing w:line="400" w:lineRule="exact"/>
        <w:ind w:left="1188" w:hanging="338"/>
        <w:rPr>
          <w:rFonts w:ascii="標楷體" w:eastAsia="標楷體" w:hAnsi="標楷體"/>
          <w:color w:val="000000"/>
        </w:rPr>
      </w:pPr>
      <w:r>
        <w:rPr>
          <w:rFonts w:ascii="標楷體" w:eastAsia="標楷體" w:hAnsi="標楷體"/>
          <w:color w:val="000000"/>
        </w:rPr>
        <w:t>(2)須經事前審查核准後使用，每次申請以3個療程為限，再次申請時應檢附前次治療結果評估資料證實無惡化，才可繼續使用。</w:t>
      </w:r>
    </w:p>
    <w:p w:rsidR="00B96EA0" w:rsidRDefault="007D66B8" w:rsidP="005142EB">
      <w:pPr>
        <w:snapToGrid w:val="0"/>
        <w:spacing w:line="400" w:lineRule="exact"/>
        <w:ind w:left="425"/>
      </w:pPr>
      <w:bookmarkStart w:id="9" w:name="_Hlk96441645"/>
      <w:r>
        <w:rPr>
          <w:rFonts w:ascii="標楷體" w:eastAsia="標楷體" w:hAnsi="標楷體"/>
          <w:color w:val="000000"/>
          <w:szCs w:val="24"/>
        </w:rPr>
        <w:t>9.49.</w:t>
      </w:r>
      <w:r>
        <w:t xml:space="preserve"> </w:t>
      </w:r>
      <w:r>
        <w:rPr>
          <w:rFonts w:ascii="標楷體" w:eastAsia="標楷體" w:hAnsi="標楷體"/>
          <w:color w:val="000000"/>
          <w:szCs w:val="24"/>
        </w:rPr>
        <w:t>Abiraterone(如Zytiga）：（103/12/1、105/9/1、106/9/1、108/3/1、109/5/1、109/10/1、110/2/1、110/3/1、110/11/1、111/3/1、112/9/1、113/8/1、113/9/1、114/6/1）</w:t>
      </w:r>
    </w:p>
    <w:bookmarkEnd w:id="9"/>
    <w:p w:rsidR="00B96EA0" w:rsidRDefault="007D66B8" w:rsidP="005142EB">
      <w:pPr>
        <w:snapToGrid w:val="0"/>
        <w:spacing w:line="400" w:lineRule="exact"/>
        <w:ind w:left="851" w:hanging="280"/>
      </w:pPr>
      <w:r>
        <w:rPr>
          <w:rFonts w:ascii="標楷體" w:eastAsia="標楷體" w:hAnsi="標楷體"/>
          <w:color w:val="000000"/>
          <w:szCs w:val="24"/>
        </w:rPr>
        <w:t>1.與雄性素去除療法及prednisone或prednisolone併用，治療新診斷高風險轉移性的去勢敏感性前列腺癌(mCSPC)的成年男性(ECOG分數須</w:t>
      </w:r>
      <w:r>
        <w:rPr>
          <w:rFonts w:ascii="標楷體" w:eastAsia="標楷體" w:hAnsi="標楷體" w:cs="新細明體"/>
          <w:color w:val="000000"/>
          <w:szCs w:val="24"/>
        </w:rPr>
        <w:t>≦</w:t>
      </w:r>
      <w:r>
        <w:rPr>
          <w:rFonts w:ascii="標楷體" w:eastAsia="標楷體" w:hAnsi="標楷體"/>
          <w:color w:val="000000"/>
          <w:szCs w:val="24"/>
        </w:rPr>
        <w:t>1)。高風險需符合下列三項條件中至少兩項：(109/5/1</w:t>
      </w:r>
      <w:r>
        <w:rPr>
          <w:rFonts w:ascii="標楷體" w:eastAsia="標楷體" w:hAnsi="標楷體"/>
          <w:szCs w:val="24"/>
        </w:rPr>
        <w:t>、110/2/1、113/8/1）</w:t>
      </w:r>
    </w:p>
    <w:p w:rsidR="00B96EA0" w:rsidRDefault="007D66B8" w:rsidP="005142EB">
      <w:pPr>
        <w:snapToGrid w:val="0"/>
        <w:spacing w:line="400" w:lineRule="exact"/>
        <w:ind w:left="851"/>
      </w:pPr>
      <w:r>
        <w:rPr>
          <w:rFonts w:ascii="標楷體" w:eastAsia="標楷體" w:hAnsi="標楷體"/>
          <w:color w:val="000000"/>
          <w:szCs w:val="24"/>
        </w:rPr>
        <w:t>(1)葛里森分數(Gleason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(2)骨骼掃描出現三個(含)以上病灶且至少其中一處以上為非脊柱及非骨盆腔轉移；(109/5/1、113/8/1）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(3)出現內臟轉移。</w:t>
      </w:r>
    </w:p>
    <w:p w:rsidR="00B96EA0" w:rsidRDefault="007D66B8" w:rsidP="005142EB">
      <w:pPr>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2.與prednisone或prednisolone併用，治療藥物或手術去勢抗性的轉移性前列腺癌(mCRPC)，且在雄性素去除療法失敗後屬無症狀或輕度症狀(ECOG分數0或1)，未曾接受化學治療者：（106/9/1）</w:t>
      </w:r>
    </w:p>
    <w:p w:rsidR="00B96EA0" w:rsidRDefault="007D66B8" w:rsidP="005142EB">
      <w:pPr>
        <w:snapToGrid w:val="0"/>
        <w:spacing w:line="400" w:lineRule="exact"/>
        <w:ind w:left="1276"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8時，不得於使用化學治療前使用abiraterone。（106/9/1）</w:t>
      </w:r>
    </w:p>
    <w:p w:rsidR="00B96EA0" w:rsidRDefault="007D66B8" w:rsidP="005142EB">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(2)申請時需另檢附：</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B96EA0" w:rsidRDefault="007D66B8" w:rsidP="005142EB">
      <w:pPr>
        <w:tabs>
          <w:tab w:val="left" w:pos="1701"/>
        </w:tabs>
        <w:snapToGrid w:val="0"/>
        <w:spacing w:line="400" w:lineRule="exact"/>
        <w:ind w:left="1560" w:hanging="420"/>
        <w:rPr>
          <w:rFonts w:ascii="標楷體" w:eastAsia="標楷體" w:hAnsi="標楷體"/>
          <w:color w:val="000000"/>
          <w:szCs w:val="24"/>
        </w:rPr>
      </w:pPr>
      <w:r>
        <w:rPr>
          <w:rFonts w:ascii="標楷體" w:eastAsia="標楷體" w:hAnsi="標楷體"/>
          <w:color w:val="000000"/>
          <w:szCs w:val="24"/>
        </w:rPr>
        <w:lastRenderedPageBreak/>
        <w:t>II.三個月內影像報告證明無臟器轉移。（106/9/1）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3.與prednisone或prednisolone併用，治療藥物或手術去勢抗性的轉移性前列腺癌(ECOG分數須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B96EA0" w:rsidRDefault="007D66B8" w:rsidP="005142EB">
      <w:pPr>
        <w:tabs>
          <w:tab w:val="left" w:pos="851"/>
        </w:tabs>
        <w:snapToGrid w:val="0"/>
        <w:spacing w:line="400" w:lineRule="exact"/>
        <w:ind w:left="851" w:hanging="280"/>
        <w:rPr>
          <w:rFonts w:ascii="標楷體" w:eastAsia="標楷體" w:hAnsi="標楷體"/>
          <w:color w:val="000000"/>
          <w:szCs w:val="24"/>
        </w:rPr>
      </w:pPr>
      <w:r>
        <w:rPr>
          <w:rFonts w:ascii="標楷體" w:eastAsia="標楷體" w:hAnsi="標楷體"/>
          <w:color w:val="000000"/>
          <w:szCs w:val="24"/>
        </w:rPr>
        <w:t>4.與olaparib及prednisone或prednisolone，用於具germline或 somatic BRCA 1/2致病性或疑似致病性突變之成人病人，患者需符合olaparib藥品給付規定。(114/6/1)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5.前述1、2、3項須經事前審查核准後使用，每3個月需再次申請。（111/3/1）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B96EA0" w:rsidRDefault="007D66B8" w:rsidP="005142EB">
      <w:pPr>
        <w:tabs>
          <w:tab w:val="left" w:pos="851"/>
        </w:tabs>
        <w:snapToGrid w:val="0"/>
        <w:spacing w:line="400" w:lineRule="exact"/>
        <w:ind w:left="1276" w:hanging="420"/>
      </w:pPr>
      <w:r>
        <w:rPr>
          <w:rFonts w:ascii="標楷體" w:eastAsia="標楷體" w:hAnsi="標楷體"/>
          <w:color w:val="000000"/>
          <w:szCs w:val="24"/>
        </w:rPr>
        <w:t>(4)用於治療新診斷高風險轉移性的去勢敏感性前列腺癌(mCSPC)的成年男性，總療程以36個月為上限（惟Ateron總療程以24個月為上限）。(109/5/1、110/2/1、113/8/1、113/9/1）</w:t>
      </w:r>
    </w:p>
    <w:p w:rsidR="00B96EA0" w:rsidRDefault="007D66B8" w:rsidP="005142EB">
      <w:pPr>
        <w:tabs>
          <w:tab w:val="left" w:pos="851"/>
        </w:tabs>
        <w:snapToGrid w:val="0"/>
        <w:spacing w:line="400" w:lineRule="exact"/>
        <w:ind w:left="1276" w:hanging="420"/>
        <w:rPr>
          <w:rFonts w:ascii="標楷體" w:eastAsia="標楷體" w:hAnsi="標楷體"/>
          <w:color w:val="000000"/>
          <w:szCs w:val="24"/>
        </w:rPr>
      </w:pPr>
      <w:r>
        <w:rPr>
          <w:rFonts w:ascii="標楷體" w:eastAsia="標楷體" w:hAnsi="標楷體"/>
          <w:color w:val="000000"/>
          <w:szCs w:val="24"/>
        </w:rPr>
        <w:t>(5)去勢抗性前列腺癌(CRPC)病患若於化學治療前先使用過abiraterone，當化學治療失敗後不得再申請使用abiraterone。（106/9/1）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6.不論病人處於轉移或非轉移的狀態下，新型荷爾蒙藥品(abiraterone、apalutamide、darolutamide和enzalutamide)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7D66B8" w:rsidP="005142EB">
      <w:pPr>
        <w:tabs>
          <w:tab w:val="left" w:pos="851"/>
        </w:tabs>
        <w:snapToGrid w:val="0"/>
        <w:spacing w:line="400" w:lineRule="exact"/>
        <w:ind w:left="851" w:hanging="280"/>
      </w:pPr>
      <w:r>
        <w:rPr>
          <w:rFonts w:ascii="標楷體" w:eastAsia="標楷體" w:hAnsi="標楷體"/>
          <w:color w:val="000000"/>
          <w:szCs w:val="24"/>
        </w:rPr>
        <w:t>7.本品與radium-223 dichloride不得合併使用。(108/3/1)</w:t>
      </w:r>
    </w:p>
    <w:p w:rsidR="00B96EA0" w:rsidRDefault="007D66B8" w:rsidP="005142EB">
      <w:pPr>
        <w:spacing w:line="400" w:lineRule="exact"/>
        <w:ind w:left="283"/>
        <w:rPr>
          <w:rFonts w:ascii="標楷體" w:eastAsia="標楷體" w:hAnsi="標楷體"/>
        </w:rPr>
      </w:pPr>
      <w:r>
        <w:rPr>
          <w:rFonts w:ascii="標楷體" w:eastAsia="標楷體" w:hAnsi="標楷體"/>
        </w:rPr>
        <w:t>9.50.Crizotinib (如Xalkori)：(104/9/1、106/11/1、107/5/1、108/7/1、108/9/1、108/12/1、110/7/1、111/2/1、111/8/1、112/11/1、113/6/1、113/9/1)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適用於ALK陽性之晚期非小細胞肺癌第一線治療，且於113年9月1日前經審核同意用藥，後續評估符合續用申請條件者。(106/11/1、111/8/1、113/9/1)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單獨使用於ROS-1陽性之晚期非小細胞肺癌患者。(108/9/1)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初次申請時需檢具確實患有非小細胞肺癌之病理或細胞檢查報告，及ALK突變檢測報告，或ROS-1突變檢測報告，且需符合全民健康保險藥品給付規定之通則十二。(107/5/1、108/9/1、111/2/1、113/6/1)</w:t>
      </w:r>
    </w:p>
    <w:p w:rsidR="00B96EA0" w:rsidRDefault="007D66B8" w:rsidP="005142EB">
      <w:pPr>
        <w:pStyle w:val="a9"/>
        <w:numPr>
          <w:ilvl w:val="1"/>
          <w:numId w:val="1"/>
        </w:numPr>
        <w:suppressAutoHyphens w:val="0"/>
        <w:spacing w:line="400" w:lineRule="exact"/>
        <w:ind w:left="991"/>
        <w:textAlignment w:val="auto"/>
        <w:rPr>
          <w:rFonts w:ascii="標楷體" w:eastAsia="標楷體" w:hAnsi="標楷體"/>
        </w:rPr>
      </w:pPr>
      <w:r>
        <w:rPr>
          <w:rFonts w:ascii="標楷體" w:eastAsia="標楷體" w:hAnsi="標楷體"/>
        </w:rPr>
        <w:t>再次申請時需附上治療後相關臨床資料，如給藥4週後，需追蹤胸部X光或電腦斷層等影像檢查評估療效，往後每4週做胸部X光檢查，每3個月需追蹤其作為評估藥</w:t>
      </w:r>
      <w:r>
        <w:rPr>
          <w:rFonts w:ascii="標楷體" w:eastAsia="標楷體" w:hAnsi="標楷體"/>
        </w:rPr>
        <w:lastRenderedPageBreak/>
        <w:t>效的影像(如胸部X光或電腦斷層)，若病情惡化即不得再次申請。(108/12/1、112/11/1)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Crizotinib與ceritinib、alectinib、brigatinib、lorlatinib用於ALK陽性之晚期非小細胞肺癌第一線治療時，僅得擇一使用，除因病人使用後，發生嚴重不良反應或耐受不良之情形外，不得互換。(108/7/1、108/12/1、111/8/1、112/11/1)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Crizotinib與entrectinib用於ROS-1陽性之晚期非小細胞肺癌時，僅得擇一使用，除因病人使用後，發生嚴重不良反應或耐受不良之情形外，不得互換。(110/7/1)</w:t>
      </w:r>
    </w:p>
    <w:p w:rsidR="00B96EA0" w:rsidRDefault="007D66B8" w:rsidP="005142EB">
      <w:pPr>
        <w:pStyle w:val="a9"/>
        <w:numPr>
          <w:ilvl w:val="0"/>
          <w:numId w:val="1"/>
        </w:numPr>
        <w:suppressAutoHyphens w:val="0"/>
        <w:spacing w:line="400" w:lineRule="exact"/>
        <w:ind w:left="991"/>
        <w:textAlignment w:val="auto"/>
        <w:rPr>
          <w:rFonts w:ascii="標楷體" w:eastAsia="標楷體" w:hAnsi="標楷體"/>
        </w:rPr>
      </w:pPr>
      <w:r>
        <w:rPr>
          <w:rFonts w:ascii="標楷體" w:eastAsia="標楷體" w:hAnsi="標楷體"/>
        </w:rPr>
        <w:t>每日最大劑量限500mg。(108/9/1)</w:t>
      </w:r>
    </w:p>
    <w:p w:rsidR="00B96EA0" w:rsidRDefault="007D66B8" w:rsidP="005142EB">
      <w:pPr>
        <w:spacing w:line="400" w:lineRule="exact"/>
        <w:ind w:left="851" w:hanging="635"/>
        <w:rPr>
          <w:rFonts w:ascii="標楷體" w:eastAsia="標楷體" w:hAnsi="標楷體"/>
          <w:color w:val="000000"/>
        </w:rPr>
      </w:pPr>
      <w:bookmarkStart w:id="10" w:name="_Hlk75427389"/>
      <w:r>
        <w:rPr>
          <w:rFonts w:ascii="標楷體" w:eastAsia="標楷體" w:hAnsi="標楷體"/>
          <w:color w:val="000000"/>
        </w:rPr>
        <w:t>9.51.Regorafenib（如Stivarga）：（104/9/1、105/8/1、107/12/1、108/6/1、110/5/1、110/6/1、113/6/1）</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1.轉移性大腸直腸癌(mCRC)：</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(1)用於治療先前曾接受下列療法的轉移性大腸直腸癌(mCRC)患者，療法包括fluoropyrimidine、oxaliplatin、irinotecan為基礎的化療，和抗血管內皮生長因子(anti-VEGF)等療法；若K-ras為原生型(wild type)，則需再加上接受過抗表皮生長因子受體(anti-EGFR)療法。需檢附All-RAS基因突變分析檢測結果報告，且需符合全民健康保險藥品給付規定之通則十二。（110/6/1、113/6/1）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(2)須經事前審查核准後使用，每次申請事前審查之療程以8週為限，再次申請必須提出客觀證據（如：影像學）證實無惡化，才可繼續使用。</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2.胃腸道間質瘤(GIST) (105/8/1）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(1)先前曾接受imatinib與sunitinib治療的局部晚期、無法切除或轉移性的胃腸道間質瘤患者。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(2)需經事前審查核准後使用，每次申請之療程以3個月為限，送審時需檢送影像資料，每3個月評估一次。</w:t>
      </w:r>
    </w:p>
    <w:p w:rsidR="00B96EA0" w:rsidRDefault="007D66B8" w:rsidP="005142EB">
      <w:pPr>
        <w:spacing w:line="400" w:lineRule="exact"/>
        <w:ind w:left="966" w:hanging="351"/>
        <w:rPr>
          <w:rFonts w:ascii="標楷體" w:eastAsia="標楷體" w:hAnsi="標楷體"/>
          <w:color w:val="000000"/>
        </w:rPr>
      </w:pPr>
      <w:r>
        <w:rPr>
          <w:rFonts w:ascii="標楷體" w:eastAsia="標楷體" w:hAnsi="標楷體"/>
          <w:color w:val="000000"/>
        </w:rPr>
        <w:t>3.肝細胞癌(HCC)：(108/6/1、110/5/1)</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(1)適用於曾接受sorafenib治療失敗後之轉移性或無法手術切除且不適合局部治療或局部治療失敗之Child-Pugh A class晚期肝細胞癌成人患者。</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(3)每日至多處方4粒。</w:t>
      </w:r>
    </w:p>
    <w:p w:rsidR="00B96EA0" w:rsidRDefault="007D66B8" w:rsidP="005142EB">
      <w:pPr>
        <w:spacing w:line="400" w:lineRule="exact"/>
        <w:ind w:left="1134" w:hanging="351"/>
        <w:rPr>
          <w:rFonts w:ascii="標楷體" w:eastAsia="標楷體" w:hAnsi="標楷體"/>
          <w:color w:val="000000"/>
        </w:rPr>
      </w:pPr>
      <w:r>
        <w:rPr>
          <w:rFonts w:ascii="標楷體" w:eastAsia="標楷體" w:hAnsi="標楷體"/>
          <w:color w:val="000000"/>
        </w:rPr>
        <w:t>(4)Regorafenib與ramucirumab、nivolumab僅能擇一使用，不得互換。(110/5/1)</w:t>
      </w:r>
      <w:bookmarkEnd w:id="10"/>
    </w:p>
    <w:p w:rsidR="00B96EA0" w:rsidRDefault="007D66B8" w:rsidP="005142EB">
      <w:pPr>
        <w:tabs>
          <w:tab w:val="left" w:pos="1418"/>
        </w:tabs>
        <w:spacing w:line="400" w:lineRule="exact"/>
        <w:ind w:left="849" w:hanging="566"/>
        <w:rPr>
          <w:rFonts w:ascii="標楷體" w:eastAsia="標楷體" w:hAnsi="標楷體"/>
          <w:color w:val="000000"/>
        </w:rPr>
      </w:pPr>
      <w:r>
        <w:rPr>
          <w:rFonts w:ascii="標楷體" w:eastAsia="標楷體" w:hAnsi="標楷體"/>
          <w:color w:val="000000"/>
        </w:rPr>
        <w:t>9.52.Vemurafenib(如Zelboraf)：(104/11/1、110/3/1、113/6/1）</w:t>
      </w:r>
    </w:p>
    <w:p w:rsidR="00B96EA0" w:rsidRDefault="007D66B8" w:rsidP="005142EB">
      <w:pPr>
        <w:spacing w:line="400" w:lineRule="exact"/>
        <w:ind w:left="849" w:hanging="283"/>
      </w:pPr>
      <w:r>
        <w:rPr>
          <w:rFonts w:ascii="標楷體" w:eastAsia="標楷體" w:hAnsi="標楷體"/>
          <w:color w:val="000000"/>
        </w:rPr>
        <w:t>1.</w:t>
      </w:r>
      <w:r>
        <w:t xml:space="preserve"> </w:t>
      </w:r>
      <w:r>
        <w:rPr>
          <w:rFonts w:ascii="標楷體" w:eastAsia="標楷體" w:hAnsi="標楷體"/>
          <w:color w:val="000000"/>
        </w:rPr>
        <w:t>用於治療BRAF V600突變陽性ECOG</w:t>
      </w:r>
      <w:r>
        <w:rPr>
          <w:rFonts w:ascii="Times New Roman" w:eastAsia="標楷體" w:hAnsi="Times New Roman"/>
          <w:color w:val="000000"/>
        </w:rPr>
        <w:t>≤</w:t>
      </w:r>
      <w:r>
        <w:rPr>
          <w:rFonts w:ascii="標楷體" w:eastAsia="標楷體" w:hAnsi="標楷體"/>
          <w:color w:val="000000"/>
        </w:rPr>
        <w:t>2且罹患無法切除(第ⅢC期)或轉移性(第Ⅳ期)黑色素瘤之病人。需檢附BRAF V600基因突變分析檢測報告，且需符合全民健康保險藥品給付規定之通則十二。(113/6/1)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2.需經事前審查核准後使用，每次申請療程以三個月為限，如發現病情惡化應停止使</w:t>
      </w:r>
      <w:r>
        <w:rPr>
          <w:rFonts w:ascii="標楷體" w:eastAsia="標楷體" w:hAnsi="標楷體"/>
          <w:color w:val="000000"/>
        </w:rPr>
        <w:lastRenderedPageBreak/>
        <w:t>用。再申請應檢附前次治療結果評估資料。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3.本品與dabrafenib (併用trametinib) 僅能擇一使用，除因耐受性不良，不得互換。(110/3/1）</w:t>
      </w:r>
    </w:p>
    <w:p w:rsidR="00B96EA0" w:rsidRDefault="007D66B8" w:rsidP="005142EB">
      <w:pPr>
        <w:spacing w:line="400" w:lineRule="exact"/>
        <w:ind w:left="283"/>
        <w:rPr>
          <w:rFonts w:ascii="標楷體" w:eastAsia="標楷體" w:hAnsi="標楷體"/>
          <w:color w:val="000000"/>
        </w:rPr>
      </w:pPr>
      <w:bookmarkStart w:id="11" w:name="_Hlk70328576"/>
      <w:r>
        <w:rPr>
          <w:rFonts w:ascii="標楷體" w:eastAsia="標楷體" w:hAnsi="標楷體"/>
          <w:color w:val="000000"/>
        </w:rPr>
        <w:t>9.53.Panitumumab（如Vectibix）：(105/4/1、107/6/1、110/6/1、113/6/1)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1.與FOLFOX（folinicacid/ 5-fluorouracil/oxaliplatin）或FOLFIRI（folinic acid/ 5-fluorouracil/irinotecan）合併使用於治療K-RAS基因及N-RAS基因沒有突變之轉移性直腸結腸癌病患之第一線治療。需檢附All-RAS基因突變分析檢測報告，且需符合全民健康保險藥品給付規定之通則十二。(98/8/1、110/6/1、113/6/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2.本藥品需經事前審查核准後使用，每次申請事前審查之療程以18週為限，再次申請必須提出客觀證據(如：影像學)證實無惡化，才可繼續使用。</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3.Panitumumab與cetuximab二者僅能擇一使用，唯有在無法忍受化療(其副作用)時方可互換。二者使用總療程合併計算，以全部36週為上限。(107/6/1)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4.本藥品不得與bevacizumab併用。(107/6/1)</w:t>
      </w:r>
      <w:bookmarkEnd w:id="11"/>
    </w:p>
    <w:p w:rsidR="002203D3" w:rsidRDefault="002203D3" w:rsidP="002203D3">
      <w:pPr>
        <w:tabs>
          <w:tab w:val="left" w:pos="1418"/>
        </w:tabs>
        <w:snapToGrid w:val="0"/>
        <w:spacing w:line="400" w:lineRule="exact"/>
        <w:ind w:left="763" w:hanging="480"/>
      </w:pPr>
      <w:bookmarkStart w:id="12" w:name="_Hlk209192279"/>
      <w:r>
        <w:rPr>
          <w:rFonts w:ascii="標楷體" w:eastAsia="標楷體" w:hAnsi="標楷體"/>
          <w:color w:val="000000"/>
          <w:szCs w:val="24"/>
        </w:rPr>
        <w:t>9.54.</w:t>
      </w:r>
      <w:r>
        <w:t xml:space="preserve"> </w:t>
      </w:r>
      <w:r>
        <w:rPr>
          <w:rFonts w:ascii="標楷體" w:eastAsia="標楷體" w:hAnsi="標楷體"/>
          <w:color w:val="000000"/>
          <w:szCs w:val="24"/>
        </w:rPr>
        <w:t>Enzalutamide（如Xtandi）：（105/9/1、106/9/1、108/3/1、109/10/1、110/3/1、110/11/1、111/3/1、112/9/1、113/8/1、114/6/1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color w:val="000000"/>
          <w:szCs w:val="24"/>
        </w:rPr>
        <w:t>）</w:t>
      </w:r>
    </w:p>
    <w:p w:rsidR="002203D3" w:rsidRDefault="002203D3" w:rsidP="002203D3">
      <w:pPr>
        <w:snapToGrid w:val="0"/>
        <w:spacing w:line="400" w:lineRule="exact"/>
        <w:ind w:left="851" w:hanging="278"/>
        <w:rPr>
          <w:rFonts w:ascii="標楷體" w:eastAsia="標楷體" w:hAnsi="標楷體"/>
          <w:color w:val="000000"/>
          <w:szCs w:val="24"/>
        </w:rPr>
      </w:pPr>
      <w:r>
        <w:rPr>
          <w:rFonts w:ascii="標楷體" w:eastAsia="標楷體" w:hAnsi="標楷體"/>
          <w:color w:val="000000"/>
          <w:szCs w:val="24"/>
        </w:rPr>
        <w:t>1.治療高風險非轉移性去勢抗性前列腺癌(high risk nmCRPC)的成年男性。(112/9/1)</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(1)須經事前審查核准後使用。</w:t>
      </w:r>
    </w:p>
    <w:p w:rsidR="002203D3" w:rsidRDefault="002203D3" w:rsidP="002203D3">
      <w:pPr>
        <w:snapToGrid w:val="0"/>
        <w:spacing w:line="400" w:lineRule="exact"/>
        <w:ind w:left="1320" w:hanging="480"/>
        <w:rPr>
          <w:rFonts w:ascii="標楷體" w:eastAsia="標楷體" w:hAnsi="標楷體"/>
          <w:color w:val="000000"/>
          <w:szCs w:val="24"/>
        </w:rPr>
      </w:pPr>
      <w:r>
        <w:rPr>
          <w:rFonts w:ascii="標楷體" w:eastAsia="標楷體" w:hAnsi="標楷體"/>
          <w:color w:val="000000"/>
          <w:szCs w:val="24"/>
        </w:rPr>
        <w:t>(2)初次申請時需檢附病理報告、使用雄性素去除療法紀錄，系列PSA和睪固酮數據，三個月內影像報告證明無遠端轉移。</w:t>
      </w:r>
    </w:p>
    <w:p w:rsidR="002203D3" w:rsidRDefault="002203D3" w:rsidP="002203D3">
      <w:pPr>
        <w:snapToGrid w:val="0"/>
        <w:spacing w:line="400" w:lineRule="exact"/>
        <w:ind w:left="851"/>
        <w:rPr>
          <w:rFonts w:ascii="標楷體" w:eastAsia="標楷體" w:hAnsi="標楷體"/>
          <w:color w:val="000000"/>
          <w:szCs w:val="24"/>
        </w:rPr>
      </w:pPr>
      <w:r>
        <w:rPr>
          <w:rFonts w:ascii="標楷體" w:eastAsia="標楷體" w:hAnsi="標楷體"/>
          <w:color w:val="000000"/>
          <w:szCs w:val="24"/>
        </w:rPr>
        <w:t>(3)ECOG分數須≦1。</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(4)PSA doubling time≦10個月，PSA倍增之時間，應依線性回歸模型計算，且其參數取得需基於下列原則：</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2203D3" w:rsidRDefault="002203D3" w:rsidP="002203D3">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rsidR="002203D3" w:rsidRDefault="002203D3" w:rsidP="002203D3">
      <w:pPr>
        <w:snapToGrid w:val="0"/>
        <w:spacing w:line="400" w:lineRule="exact"/>
        <w:ind w:left="1200" w:hanging="360"/>
        <w:rPr>
          <w:rFonts w:ascii="標楷體" w:eastAsia="標楷體" w:hAnsi="標楷體"/>
          <w:color w:val="000000"/>
          <w:szCs w:val="24"/>
        </w:rPr>
      </w:pPr>
      <w:r>
        <w:rPr>
          <w:rFonts w:ascii="標楷體" w:eastAsia="標楷體" w:hAnsi="標楷體"/>
          <w:color w:val="000000"/>
          <w:szCs w:val="24"/>
        </w:rPr>
        <w:t>(5)每3個月需再次申請，申請之療程以3個月為限。再次申請時，有 PSA progression 者，需檢附影像學報告，若影像學報告證實轉移，則需停藥;無PSA progression 者，則每6個月需檢附影像學報告，若影像學報告證實轉移，則需停藥。</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註：</w:t>
      </w:r>
    </w:p>
    <w:p w:rsidR="002203D3" w:rsidRDefault="002203D3" w:rsidP="002203D3">
      <w:pPr>
        <w:tabs>
          <w:tab w:val="left" w:leader="underscore" w:pos="567"/>
        </w:tabs>
        <w:snapToGrid w:val="0"/>
        <w:spacing w:line="400" w:lineRule="exact"/>
        <w:ind w:left="960"/>
        <w:rPr>
          <w:rFonts w:ascii="標楷體" w:eastAsia="標楷體" w:hAnsi="標楷體"/>
          <w:szCs w:val="24"/>
        </w:rPr>
      </w:pPr>
      <w:r>
        <w:rPr>
          <w:rFonts w:ascii="標楷體" w:eastAsia="標楷體" w:hAnsi="標楷體"/>
          <w:szCs w:val="24"/>
        </w:rPr>
        <w:t>PSA progression 定義為:PSA下降達最低值(nadir)後，出現 PSA 值上升較 nadir≧25%，且PSA≧2 ng/mL，並於至少3週後，再次抽血確認PSA值有上升趨勢。</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lastRenderedPageBreak/>
        <w:t>2.治療高風險轉移性的去勢敏感性前列腺癌(mCSPC)，且與雄性素去除療法併用，總療程以36個月為上限。高</w:t>
      </w:r>
      <w:r>
        <w:rPr>
          <w:rFonts w:ascii="標楷體" w:eastAsia="標楷體" w:hAnsi="標楷體"/>
          <w:szCs w:val="24"/>
        </w:rPr>
        <w:t>風險需符合下列三項條件中至少兩項：（111/3/1、113/8/1</w:t>
      </w:r>
      <w:r>
        <w:rPr>
          <w:rFonts w:ascii="標楷體" w:eastAsia="標楷體" w:hAnsi="標楷體" w:hint="eastAsia"/>
          <w:color w:val="000000"/>
          <w:szCs w:val="24"/>
        </w:rPr>
        <w:t>、</w:t>
      </w:r>
      <w:r w:rsidRPr="007F3316">
        <w:rPr>
          <w:rFonts w:ascii="標楷體" w:eastAsia="標楷體" w:hAnsi="標楷體" w:hint="eastAsia"/>
          <w:color w:val="000000"/>
          <w:szCs w:val="24"/>
        </w:rPr>
        <w:t>114/10/1</w:t>
      </w:r>
      <w:r>
        <w:rPr>
          <w:rFonts w:ascii="標楷體" w:eastAsia="標楷體" w:hAnsi="標楷體"/>
          <w:szCs w:val="24"/>
        </w:rPr>
        <w:t>）</w:t>
      </w:r>
    </w:p>
    <w:p w:rsidR="002203D3" w:rsidRDefault="002203D3" w:rsidP="002203D3">
      <w:pPr>
        <w:tabs>
          <w:tab w:val="left" w:pos="567"/>
        </w:tabs>
        <w:snapToGrid w:val="0"/>
        <w:spacing w:line="400" w:lineRule="exact"/>
        <w:ind w:left="1274" w:hanging="420"/>
      </w:pPr>
      <w:r>
        <w:rPr>
          <w:rFonts w:ascii="標楷體" w:eastAsia="標楷體" w:hAnsi="標楷體"/>
          <w:szCs w:val="24"/>
        </w:rPr>
        <w:t>(1)葛里森分數(Gleason score)</w:t>
      </w:r>
      <w:r>
        <w:rPr>
          <w:rFonts w:ascii="標楷體" w:eastAsia="標楷體" w:hAnsi="標楷體" w:cs="新細明體"/>
          <w:szCs w:val="24"/>
        </w:rPr>
        <w:t>≧</w:t>
      </w:r>
      <w:r>
        <w:rPr>
          <w:rFonts w:ascii="標楷體" w:eastAsia="標楷體" w:hAnsi="標楷體"/>
          <w:szCs w:val="24"/>
        </w:rPr>
        <w:t>8。</w:t>
      </w:r>
    </w:p>
    <w:p w:rsidR="002203D3" w:rsidRDefault="002203D3" w:rsidP="002203D3">
      <w:pPr>
        <w:tabs>
          <w:tab w:val="left" w:pos="567"/>
        </w:tabs>
        <w:snapToGrid w:val="0"/>
        <w:spacing w:line="400" w:lineRule="exact"/>
        <w:ind w:left="1274" w:hanging="420"/>
      </w:pPr>
      <w:r>
        <w:rPr>
          <w:rFonts w:ascii="標楷體" w:eastAsia="標楷體" w:hAnsi="標楷體"/>
          <w:szCs w:val="24"/>
        </w:rPr>
        <w:t>(2)骨骼掃描出現三個(含)以上病灶且至少其中一處以上為非脊柱及非骨盆腔轉移。（111/3/1、113/8/1）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(3)出現內臟轉移。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3.治療藥物或手術去勢抗性的轉移性前列腺癌(mCRPC)，且在雄性素去除療法失敗後屬無症狀或輕度症狀(ECOG分數0或1)，未曾接受化學治療者：(106/9/1)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(1)若病患先前接受雄性素去除療法時，在小於12個月的時間內演化成去勢抗性前列腺癌(CRPC)，且葛里森分數(Gleason score)</w:t>
      </w:r>
      <w:r>
        <w:rPr>
          <w:rFonts w:ascii="標楷體" w:eastAsia="標楷體" w:hAnsi="標楷體" w:cs="新細明體"/>
          <w:color w:val="000000"/>
          <w:szCs w:val="24"/>
        </w:rPr>
        <w:t>≧</w:t>
      </w:r>
      <w:r>
        <w:rPr>
          <w:rFonts w:ascii="標楷體" w:eastAsia="標楷體" w:hAnsi="標楷體"/>
          <w:color w:val="000000"/>
          <w:szCs w:val="24"/>
        </w:rPr>
        <w:t>8時，不得於使用化學治療前使用enzalutamide。(106/9/1)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(2)申請時需另檢附：(106/9/1)</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I.用藥紀錄(證明未常規使用止痛藥物，屬無症狀或輕度症狀)。</w:t>
      </w:r>
    </w:p>
    <w:p w:rsidR="002203D3" w:rsidRDefault="002203D3" w:rsidP="002203D3">
      <w:pPr>
        <w:tabs>
          <w:tab w:val="left" w:pos="567"/>
        </w:tabs>
        <w:snapToGrid w:val="0"/>
        <w:spacing w:line="400" w:lineRule="exact"/>
        <w:ind w:left="1559" w:hanging="280"/>
        <w:rPr>
          <w:rFonts w:ascii="標楷體" w:eastAsia="標楷體" w:hAnsi="標楷體"/>
          <w:color w:val="000000"/>
          <w:szCs w:val="24"/>
        </w:rPr>
      </w:pPr>
      <w:r>
        <w:rPr>
          <w:rFonts w:ascii="標楷體" w:eastAsia="標楷體" w:hAnsi="標楷體"/>
          <w:color w:val="000000"/>
          <w:szCs w:val="24"/>
        </w:rPr>
        <w:t>II.三個月內影像報告證明無臟器轉移。</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4.治療藥物或手術去勢抗性的轉移性前列腺癌(ECOG分數須</w:t>
      </w:r>
      <w:r>
        <w:rPr>
          <w:rFonts w:ascii="標楷體" w:eastAsia="標楷體" w:hAnsi="標楷體" w:cs="新細明體"/>
          <w:color w:val="000000"/>
          <w:szCs w:val="24"/>
        </w:rPr>
        <w:t>≦</w:t>
      </w:r>
      <w:r>
        <w:rPr>
          <w:rFonts w:ascii="標楷體" w:eastAsia="標楷體" w:hAnsi="標楷體"/>
          <w:color w:val="000000"/>
          <w:szCs w:val="24"/>
        </w:rPr>
        <w:t>2)且已使用過docetaxel 2個療程以上治療無效者。</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5.前述2、3</w:t>
      </w:r>
      <w:r>
        <w:rPr>
          <w:rFonts w:ascii="標楷體" w:eastAsia="標楷體" w:hAnsi="標楷體"/>
          <w:szCs w:val="24"/>
        </w:rPr>
        <w:t>、4</w:t>
      </w:r>
      <w:r>
        <w:rPr>
          <w:rFonts w:ascii="標楷體" w:eastAsia="標楷體" w:hAnsi="標楷體"/>
          <w:color w:val="000000"/>
          <w:szCs w:val="24"/>
        </w:rPr>
        <w:t>項須經事前審查核准後使用，每3個月需再次申請。（111/3/1、112/9/1）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(1)申請時需檢附病理報告、使用雄性素去除療法紀錄及系列PSA和睪固酮數據。(106/9/1)</w:t>
      </w:r>
    </w:p>
    <w:p w:rsidR="002203D3" w:rsidRDefault="002203D3" w:rsidP="002203D3">
      <w:pPr>
        <w:tabs>
          <w:tab w:val="left" w:pos="567"/>
        </w:tabs>
        <w:snapToGrid w:val="0"/>
        <w:spacing w:line="400" w:lineRule="exact"/>
        <w:ind w:left="1274" w:hanging="420"/>
        <w:rPr>
          <w:rFonts w:ascii="標楷體" w:eastAsia="標楷體" w:hAnsi="標楷體"/>
          <w:color w:val="000000"/>
          <w:szCs w:val="24"/>
        </w:rPr>
      </w:pPr>
      <w:r>
        <w:rPr>
          <w:rFonts w:ascii="標楷體" w:eastAsia="標楷體" w:hAnsi="標楷體"/>
          <w:color w:val="000000"/>
          <w:szCs w:val="24"/>
        </w:rPr>
        <w:t>(2)再申請時若PSA值下降未超過治療前的50%以上，則需停藥。(106/9/1、109/10/1)</w:t>
      </w:r>
    </w:p>
    <w:p w:rsidR="002203D3" w:rsidRDefault="002203D3" w:rsidP="002203D3">
      <w:pPr>
        <w:tabs>
          <w:tab w:val="left" w:pos="567"/>
        </w:tabs>
        <w:snapToGrid w:val="0"/>
        <w:spacing w:line="400" w:lineRule="exact"/>
        <w:ind w:left="1274" w:hanging="420"/>
      </w:pPr>
      <w:r>
        <w:rPr>
          <w:rFonts w:ascii="標楷體" w:eastAsia="標楷體" w:hAnsi="標楷體"/>
          <w:color w:val="000000"/>
          <w:szCs w:val="24"/>
        </w:rPr>
        <w:t>(3)下降達最低值後之持續追蹤出現PSA較最低值上升50%以上且PSA</w:t>
      </w:r>
      <w:r>
        <w:rPr>
          <w:rFonts w:ascii="標楷體" w:eastAsia="標楷體" w:hAnsi="標楷體" w:cs="新細明體"/>
          <w:color w:val="000000"/>
          <w:szCs w:val="24"/>
        </w:rPr>
        <w:t>≧</w:t>
      </w:r>
      <w:r>
        <w:rPr>
          <w:rFonts w:ascii="標楷體" w:eastAsia="標楷體" w:hAnsi="標楷體"/>
          <w:color w:val="000000"/>
          <w:szCs w:val="24"/>
        </w:rPr>
        <w:t>2ng/ml，則需停藥，但影像學證據尚無疾病進展者，可以繼續使用。(106/9/1、109/10/1)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6.去勢抗性前列腺癌(CRPC)病患若於化學治療前先使用過enzalutamide，當化學治療失敗後不得再申請使用enzalutamide。(106/9/1)</w:t>
      </w:r>
    </w:p>
    <w:p w:rsidR="002203D3" w:rsidRDefault="002203D3" w:rsidP="002203D3">
      <w:pPr>
        <w:tabs>
          <w:tab w:val="left" w:pos="851"/>
        </w:tabs>
        <w:snapToGrid w:val="0"/>
        <w:spacing w:line="400" w:lineRule="exact"/>
        <w:ind w:left="846" w:hanging="280"/>
      </w:pPr>
      <w:r>
        <w:rPr>
          <w:rFonts w:ascii="標楷體" w:eastAsia="標楷體" w:hAnsi="標楷體"/>
          <w:color w:val="000000"/>
          <w:szCs w:val="24"/>
        </w:rPr>
        <w:t>7.不論病人處於轉移或非轉移的狀態下，新型荷爾蒙藥品(abiraterone、apalutamide、darolutamide和enzalutamide) 及olaparib 與 abiraterone併用，終生僅給付一種治療，且除非出現嚴重不耐受反應導致必須永久停止治療，不得互換。(112/9/1、114/6/1)</w:t>
      </w:r>
    </w:p>
    <w:p w:rsidR="00B96EA0" w:rsidRDefault="002203D3" w:rsidP="002203D3">
      <w:pPr>
        <w:tabs>
          <w:tab w:val="left" w:pos="851"/>
        </w:tabs>
        <w:snapToGrid w:val="0"/>
        <w:spacing w:line="400" w:lineRule="exact"/>
        <w:ind w:left="846" w:hanging="280"/>
      </w:pPr>
      <w:r>
        <w:rPr>
          <w:rFonts w:ascii="標楷體" w:eastAsia="標楷體" w:hAnsi="標楷體"/>
          <w:color w:val="000000"/>
          <w:szCs w:val="24"/>
        </w:rPr>
        <w:t>8.本品與radium-223 dichloride不得合併使用。(108/3/1)</w:t>
      </w:r>
      <w:bookmarkEnd w:id="12"/>
    </w:p>
    <w:p w:rsidR="0007073E" w:rsidRPr="001A2DB7" w:rsidRDefault="0007073E" w:rsidP="0007073E">
      <w:pPr>
        <w:autoSpaceDE w:val="0"/>
        <w:adjustRightInd w:val="0"/>
        <w:spacing w:line="400" w:lineRule="exact"/>
        <w:ind w:left="554" w:hangingChars="231" w:hanging="554"/>
        <w:rPr>
          <w:rFonts w:ascii="標楷體" w:eastAsia="標楷體" w:hAnsi="標楷體"/>
          <w:szCs w:val="24"/>
          <w:u w:val="single"/>
        </w:rPr>
      </w:pPr>
      <w:bookmarkStart w:id="13" w:name="_Hlk209192352"/>
      <w:r w:rsidRPr="001A2DB7">
        <w:rPr>
          <w:rFonts w:ascii="標楷體" w:eastAsia="標楷體" w:hAnsi="標楷體"/>
          <w:color w:val="000000"/>
          <w:kern w:val="0"/>
          <w:szCs w:val="24"/>
        </w:rPr>
        <w:t>9.55.Ruxolitinib(</w:t>
      </w:r>
      <w:r w:rsidRPr="001A2DB7">
        <w:rPr>
          <w:rFonts w:ascii="標楷體" w:eastAsia="標楷體" w:hAnsi="標楷體" w:hint="eastAsia"/>
          <w:color w:val="000000"/>
          <w:kern w:val="0"/>
          <w:szCs w:val="24"/>
        </w:rPr>
        <w:t>如</w:t>
      </w:r>
      <w:r w:rsidRPr="001A2DB7">
        <w:rPr>
          <w:rFonts w:ascii="標楷體" w:eastAsia="標楷體" w:hAnsi="標楷體"/>
          <w:color w:val="000000"/>
          <w:kern w:val="0"/>
          <w:szCs w:val="24"/>
        </w:rPr>
        <w:t>Jakavi)</w:t>
      </w:r>
      <w:r w:rsidRPr="001A2DB7">
        <w:rPr>
          <w:rFonts w:ascii="標楷體" w:eastAsia="標楷體" w:hAnsi="標楷體" w:hint="eastAsia"/>
          <w:kern w:val="0"/>
          <w:szCs w:val="24"/>
        </w:rPr>
        <w:t>：</w:t>
      </w:r>
      <w:r w:rsidRPr="001A2DB7">
        <w:rPr>
          <w:rFonts w:ascii="標楷體" w:eastAsia="標楷體" w:hAnsi="標楷體"/>
          <w:kern w:val="0"/>
          <w:szCs w:val="24"/>
        </w:rPr>
        <w:t>(105/10/1</w:t>
      </w:r>
      <w:r w:rsidRPr="001A2DB7">
        <w:rPr>
          <w:rFonts w:ascii="標楷體" w:eastAsia="標楷體" w:hAnsi="標楷體" w:hint="eastAsia"/>
          <w:kern w:val="0"/>
          <w:szCs w:val="24"/>
        </w:rPr>
        <w:t>、</w:t>
      </w:r>
      <w:r w:rsidRPr="001A2DB7">
        <w:rPr>
          <w:rFonts w:ascii="標楷體" w:eastAsia="標楷體" w:hAnsi="標楷體"/>
          <w:kern w:val="0"/>
          <w:szCs w:val="24"/>
        </w:rPr>
        <w:t>113/3/1</w:t>
      </w:r>
      <w:r w:rsidRPr="001A2DB7">
        <w:rPr>
          <w:rFonts w:ascii="標楷體" w:eastAsia="標楷體" w:hAnsi="標楷體" w:hint="eastAsia"/>
          <w:kern w:val="0"/>
          <w:szCs w:val="24"/>
        </w:rPr>
        <w:t>、</w:t>
      </w:r>
      <w:r w:rsidRPr="001A2DB7">
        <w:rPr>
          <w:rFonts w:ascii="標楷體" w:eastAsia="標楷體" w:hAnsi="標楷體"/>
          <w:kern w:val="0"/>
          <w:szCs w:val="24"/>
        </w:rPr>
        <w:t>113/6/1</w:t>
      </w:r>
      <w:r w:rsidRPr="001A2DB7">
        <w:rPr>
          <w:rFonts w:ascii="標楷體" w:eastAsia="標楷體" w:hAnsi="標楷體" w:hint="eastAsia"/>
          <w:kern w:val="0"/>
          <w:szCs w:val="24"/>
        </w:rPr>
        <w:t>、</w:t>
      </w:r>
      <w:r w:rsidRPr="001A2DB7">
        <w:rPr>
          <w:rFonts w:ascii="標楷體" w:eastAsia="標楷體" w:hAnsi="標楷體"/>
          <w:kern w:val="0"/>
          <w:szCs w:val="24"/>
        </w:rPr>
        <w:t>114/1/1</w:t>
      </w:r>
      <w:r w:rsidRPr="00EB5347">
        <w:rPr>
          <w:rFonts w:ascii="標楷體" w:eastAsia="標楷體" w:hAnsi="標楷體" w:hint="eastAsia"/>
          <w:kern w:val="0"/>
          <w:szCs w:val="24"/>
        </w:rPr>
        <w:t>、114</w:t>
      </w:r>
      <w:r w:rsidRPr="00EB5347">
        <w:rPr>
          <w:rFonts w:ascii="標楷體" w:eastAsia="標楷體" w:hAnsi="標楷體"/>
          <w:szCs w:val="24"/>
        </w:rPr>
        <w:t>/</w:t>
      </w:r>
      <w:r w:rsidRPr="00EB5347">
        <w:rPr>
          <w:rFonts w:ascii="標楷體" w:eastAsia="標楷體" w:hAnsi="標楷體" w:hint="eastAsia"/>
          <w:szCs w:val="24"/>
        </w:rPr>
        <w:t>10</w:t>
      </w:r>
      <w:r w:rsidRPr="00EB5347">
        <w:rPr>
          <w:rFonts w:ascii="標楷體" w:eastAsia="標楷體" w:hAnsi="標楷體"/>
          <w:szCs w:val="24"/>
        </w:rPr>
        <w:t>/1</w:t>
      </w:r>
      <w:r w:rsidRPr="001A2DB7">
        <w:rPr>
          <w:rFonts w:ascii="標楷體" w:eastAsia="標楷體" w:hAnsi="標楷體"/>
          <w:kern w:val="0"/>
          <w:szCs w:val="24"/>
        </w:rPr>
        <w:t>)</w:t>
      </w:r>
    </w:p>
    <w:p w:rsidR="0007073E" w:rsidRPr="001A2DB7" w:rsidRDefault="0007073E" w:rsidP="0007073E">
      <w:pPr>
        <w:autoSpaceDE w:val="0"/>
        <w:adjustRightInd w:val="0"/>
        <w:spacing w:line="400" w:lineRule="exact"/>
        <w:ind w:leftChars="146" w:left="566" w:hangingChars="90" w:hanging="216"/>
        <w:rPr>
          <w:rFonts w:ascii="標楷體" w:eastAsia="標楷體" w:hAnsi="標楷體"/>
          <w:kern w:val="0"/>
          <w:szCs w:val="24"/>
        </w:rPr>
      </w:pPr>
      <w:r w:rsidRPr="001A2DB7">
        <w:rPr>
          <w:rFonts w:ascii="標楷體" w:eastAsia="標楷體" w:hAnsi="標楷體"/>
          <w:kern w:val="0"/>
          <w:szCs w:val="24"/>
        </w:rPr>
        <w:t>1.</w:t>
      </w:r>
      <w:r w:rsidRPr="001A2DB7">
        <w:rPr>
          <w:rFonts w:ascii="標楷體" w:eastAsia="標楷體" w:hAnsi="標楷體" w:hint="eastAsia"/>
          <w:kern w:val="0"/>
          <w:szCs w:val="24"/>
        </w:rPr>
        <w:t>用於治療</w:t>
      </w:r>
      <w:r w:rsidRPr="001A2DB7">
        <w:rPr>
          <w:rFonts w:ascii="標楷體" w:eastAsia="標楷體" w:hAnsi="標楷體"/>
          <w:kern w:val="0"/>
          <w:szCs w:val="24"/>
        </w:rPr>
        <w:t xml:space="preserve">International Working </w:t>
      </w:r>
      <w:r w:rsidRPr="001A2DB7">
        <w:rPr>
          <w:rFonts w:ascii="標楷體" w:eastAsia="標楷體" w:hAnsi="標楷體" w:hint="eastAsia"/>
          <w:kern w:val="0"/>
          <w:szCs w:val="24"/>
        </w:rPr>
        <w:t xml:space="preserve"> </w:t>
      </w:r>
      <w:r w:rsidRPr="001A2DB7">
        <w:rPr>
          <w:rFonts w:ascii="標楷體" w:eastAsia="標楷體" w:hAnsi="標楷體"/>
          <w:kern w:val="0"/>
          <w:szCs w:val="24"/>
        </w:rPr>
        <w:t>Group(IWG) Consensus Criteria</w:t>
      </w:r>
      <w:r w:rsidRPr="001A2DB7">
        <w:rPr>
          <w:rFonts w:ascii="標楷體" w:eastAsia="標楷體" w:hAnsi="標楷體" w:hint="eastAsia"/>
          <w:kern w:val="0"/>
          <w:szCs w:val="24"/>
        </w:rPr>
        <w:t>中度風險</w:t>
      </w:r>
      <w:r w:rsidRPr="001A2DB7">
        <w:rPr>
          <w:rFonts w:ascii="標楷體" w:eastAsia="標楷體" w:hAnsi="標楷體"/>
          <w:kern w:val="0"/>
          <w:szCs w:val="24"/>
        </w:rPr>
        <w:t>-2</w:t>
      </w:r>
      <w:r w:rsidRPr="001A2DB7">
        <w:rPr>
          <w:rFonts w:ascii="標楷體" w:eastAsia="標楷體" w:hAnsi="標楷體" w:hint="eastAsia"/>
          <w:kern w:val="0"/>
          <w:szCs w:val="24"/>
        </w:rPr>
        <w:t>或高風險之骨髓纖維化，包括原發性骨髓纖維化、真性紅血球增多症後骨髓纖維化、或血小板增多症後骨髓纖維化等疾病所造成脾臟腫大</w:t>
      </w:r>
      <w:r w:rsidRPr="001A2DB7">
        <w:rPr>
          <w:rFonts w:ascii="標楷體" w:eastAsia="標楷體" w:hAnsi="標楷體"/>
          <w:kern w:val="0"/>
          <w:szCs w:val="24"/>
        </w:rPr>
        <w:t>(symptomatic splenomegaly)</w:t>
      </w:r>
      <w:r w:rsidRPr="001A2DB7">
        <w:rPr>
          <w:rFonts w:ascii="標楷體" w:eastAsia="標楷體" w:hAnsi="標楷體" w:hint="eastAsia"/>
          <w:kern w:val="0"/>
          <w:szCs w:val="24"/>
        </w:rPr>
        <w:t>及</w:t>
      </w:r>
      <w:r w:rsidRPr="001A2DB7">
        <w:rPr>
          <w:rFonts w:ascii="標楷體" w:eastAsia="標楷體" w:hAnsi="標楷體"/>
          <w:kern w:val="0"/>
          <w:szCs w:val="24"/>
        </w:rPr>
        <w:t>/</w:t>
      </w:r>
      <w:r w:rsidRPr="001A2DB7">
        <w:rPr>
          <w:rFonts w:ascii="標楷體" w:eastAsia="標楷體" w:hAnsi="標楷體" w:hint="eastAsia"/>
          <w:kern w:val="0"/>
          <w:szCs w:val="24"/>
        </w:rPr>
        <w:t>或其</w:t>
      </w:r>
      <w:r w:rsidRPr="001A2DB7">
        <w:rPr>
          <w:rFonts w:ascii="標楷體" w:eastAsia="標楷體" w:hAnsi="標楷體" w:hint="eastAsia"/>
          <w:kern w:val="0"/>
          <w:szCs w:val="24"/>
        </w:rPr>
        <w:lastRenderedPageBreak/>
        <w:t>他相關全身症狀且不適於接受幹細胞移植</w:t>
      </w:r>
      <w:r w:rsidRPr="001A2DB7">
        <w:rPr>
          <w:rFonts w:ascii="標楷體" w:eastAsia="標楷體" w:hAnsi="標楷體" w:hint="eastAsia"/>
          <w:color w:val="000000"/>
          <w:kern w:val="0"/>
          <w:szCs w:val="24"/>
        </w:rPr>
        <w:t>的病人</w:t>
      </w:r>
      <w:r w:rsidRPr="001A2DB7">
        <w:rPr>
          <w:rFonts w:ascii="標楷體" w:eastAsia="標楷體" w:hAnsi="標楷體"/>
          <w:kern w:val="0"/>
          <w:szCs w:val="24"/>
        </w:rPr>
        <w:t>(stem cell transplantation)</w:t>
      </w:r>
      <w:r w:rsidRPr="001A2DB7">
        <w:rPr>
          <w:rFonts w:ascii="標楷體" w:eastAsia="標楷體" w:hAnsi="標楷體" w:hint="eastAsia"/>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(1)</w:t>
      </w:r>
      <w:r w:rsidRPr="001A2DB7">
        <w:rPr>
          <w:rFonts w:ascii="標楷體" w:eastAsia="標楷體" w:hAnsi="標楷體" w:hint="eastAsia"/>
        </w:rPr>
        <w:t>需經事前審查核准後使用，每次申請之療程以</w:t>
      </w:r>
      <w:r w:rsidRPr="001A2DB7">
        <w:rPr>
          <w:rFonts w:ascii="標楷體" w:eastAsia="標楷體" w:hAnsi="標楷體"/>
        </w:rPr>
        <w:t>6</w:t>
      </w:r>
      <w:r w:rsidRPr="001A2DB7">
        <w:rPr>
          <w:rFonts w:ascii="標楷體" w:eastAsia="標楷體" w:hAnsi="標楷體" w:hint="eastAsia"/>
        </w:rPr>
        <w:t>個月為限，送審時需檢送影像資料及症狀改善之病歷紀錄，每</w:t>
      </w:r>
      <w:r w:rsidRPr="001A2DB7">
        <w:rPr>
          <w:rFonts w:ascii="標楷體" w:eastAsia="標楷體" w:hAnsi="標楷體"/>
        </w:rPr>
        <w:t>6</w:t>
      </w:r>
      <w:r w:rsidRPr="001A2DB7">
        <w:rPr>
          <w:rFonts w:ascii="標楷體" w:eastAsia="標楷體" w:hAnsi="標楷體" w:hint="eastAsia"/>
        </w:rPr>
        <w:t>個月評估一次。</w:t>
      </w:r>
    </w:p>
    <w:p w:rsidR="0007073E" w:rsidRPr="001A2DB7" w:rsidRDefault="0007073E" w:rsidP="0007073E">
      <w:pPr>
        <w:autoSpaceDE w:val="0"/>
        <w:adjustRightInd w:val="0"/>
        <w:spacing w:line="400" w:lineRule="exact"/>
        <w:ind w:leftChars="262" w:left="991" w:hangingChars="151" w:hanging="362"/>
        <w:rPr>
          <w:rFonts w:ascii="標楷體" w:eastAsia="標楷體" w:hAnsi="標楷體"/>
          <w:color w:val="000000"/>
          <w:kern w:val="0"/>
          <w:szCs w:val="24"/>
        </w:rPr>
      </w:pPr>
      <w:r w:rsidRPr="001A2DB7">
        <w:rPr>
          <w:rFonts w:ascii="標楷體" w:eastAsia="標楷體" w:hAnsi="標楷體"/>
          <w:color w:val="000000"/>
          <w:kern w:val="0"/>
          <w:szCs w:val="24"/>
        </w:rPr>
        <w:t>(2)</w:t>
      </w:r>
      <w:r w:rsidRPr="001A2DB7">
        <w:rPr>
          <w:rFonts w:ascii="標楷體" w:eastAsia="標楷體" w:hAnsi="標楷體" w:hint="eastAsia"/>
          <w:color w:val="000000"/>
          <w:kern w:val="0"/>
          <w:szCs w:val="24"/>
        </w:rPr>
        <w:t>用藥後第一次評估時，需達到症狀反應</w:t>
      </w:r>
      <w:r w:rsidRPr="001A2DB7">
        <w:rPr>
          <w:rFonts w:ascii="標楷體" w:eastAsia="標楷體" w:hAnsi="標楷體"/>
          <w:color w:val="000000"/>
          <w:kern w:val="0"/>
          <w:szCs w:val="24"/>
        </w:rPr>
        <w:t>(symptom response)</w:t>
      </w:r>
      <w:r w:rsidRPr="001A2DB7">
        <w:rPr>
          <w:rFonts w:ascii="標楷體" w:eastAsia="標楷體" w:hAnsi="標楷體" w:hint="eastAsia"/>
          <w:color w:val="000000"/>
          <w:kern w:val="0"/>
          <w:szCs w:val="24"/>
        </w:rPr>
        <w:t>或脾臟體積無惡化兩者之一，且同時無</w:t>
      </w:r>
      <w:r w:rsidRPr="001A2DB7">
        <w:rPr>
          <w:rFonts w:ascii="標楷體" w:eastAsia="標楷體" w:hAnsi="標楷體"/>
          <w:color w:val="000000"/>
          <w:kern w:val="0"/>
          <w:szCs w:val="24"/>
        </w:rPr>
        <w:t>AML tranformation</w:t>
      </w:r>
      <w:r w:rsidRPr="001A2DB7">
        <w:rPr>
          <w:rFonts w:ascii="標楷體" w:eastAsia="標楷體" w:hAnsi="標楷體" w:hint="eastAsia"/>
          <w:color w:val="000000"/>
          <w:kern w:val="0"/>
          <w:szCs w:val="24"/>
        </w:rPr>
        <w:t>，方得以繼續使用。分別定義如下：</w:t>
      </w:r>
      <w:r w:rsidRPr="001A2DB7">
        <w:rPr>
          <w:rFonts w:ascii="標楷體" w:eastAsia="標楷體" w:hAnsi="標楷體"/>
          <w:color w:val="000000"/>
          <w:kern w:val="0"/>
          <w:szCs w:val="24"/>
        </w:rPr>
        <w:t>(113/6/1)</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症狀反應：</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與治療前基準值相比，需下降超過</w:t>
      </w:r>
      <w:r w:rsidRPr="001A2DB7">
        <w:rPr>
          <w:rFonts w:ascii="標楷體" w:eastAsia="標楷體" w:hAnsi="標楷體"/>
          <w:color w:val="000000"/>
          <w:kern w:val="0"/>
          <w:szCs w:val="24"/>
        </w:rPr>
        <w:t>50%</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脾臟體積無惡化：使用電腦斷層評估，脾臟長度未增加超過治療前基準值之</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07073E">
      <w:pPr>
        <w:autoSpaceDE w:val="0"/>
        <w:adjustRightInd w:val="0"/>
        <w:spacing w:line="400" w:lineRule="exact"/>
        <w:ind w:leftChars="386" w:left="1274" w:hangingChars="145" w:hanging="348"/>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(3)</w:t>
      </w:r>
      <w:r w:rsidRPr="001A2DB7">
        <w:rPr>
          <w:rFonts w:ascii="標楷體" w:eastAsia="標楷體" w:hAnsi="標楷體" w:hint="eastAsia"/>
        </w:rPr>
        <w:t>用藥後第二次及其後的評估，必須顯示無疾病惡化（無症狀惡化且脾臟體積無惡化，並同時無</w:t>
      </w:r>
      <w:r w:rsidRPr="001A2DB7">
        <w:rPr>
          <w:rFonts w:ascii="標楷體" w:eastAsia="標楷體" w:hAnsi="標楷體"/>
        </w:rPr>
        <w:t>AML transformation</w:t>
      </w:r>
      <w:r w:rsidRPr="001A2DB7">
        <w:rPr>
          <w:rFonts w:ascii="標楷體" w:eastAsia="標楷體" w:hAnsi="標楷體" w:hint="eastAsia"/>
        </w:rPr>
        <w:t>），方得以繼續使用。分別定義如下：</w:t>
      </w:r>
      <w:r w:rsidRPr="001A2DB7">
        <w:rPr>
          <w:rFonts w:ascii="標楷體" w:eastAsia="標楷體" w:hAnsi="標楷體"/>
        </w:rPr>
        <w:t>(113/6/1)</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Ⅰ</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無症狀惡化：未出現新症狀，且</w:t>
      </w:r>
      <w:r w:rsidRPr="001A2DB7">
        <w:rPr>
          <w:rFonts w:ascii="標楷體" w:eastAsia="標楷體" w:hAnsi="標楷體"/>
          <w:color w:val="000000"/>
          <w:kern w:val="0"/>
          <w:szCs w:val="24"/>
        </w:rPr>
        <w:t>MPN-SAF-TSS</w:t>
      </w:r>
      <w:r w:rsidRPr="001A2DB7">
        <w:rPr>
          <w:rFonts w:ascii="標楷體" w:eastAsia="標楷體" w:hAnsi="標楷體" w:hint="eastAsia"/>
          <w:color w:val="000000"/>
          <w:kern w:val="0"/>
          <w:szCs w:val="24"/>
        </w:rPr>
        <w:t>分數或</w:t>
      </w:r>
      <w:r w:rsidRPr="001A2DB7">
        <w:rPr>
          <w:rFonts w:ascii="標楷體" w:eastAsia="標楷體" w:hAnsi="標楷體"/>
          <w:color w:val="000000"/>
          <w:kern w:val="0"/>
          <w:szCs w:val="24"/>
        </w:rPr>
        <w:t>MPN-10</w:t>
      </w:r>
      <w:r w:rsidRPr="001A2DB7">
        <w:rPr>
          <w:rFonts w:ascii="標楷體" w:eastAsia="標楷體" w:hAnsi="標楷體" w:hint="eastAsia"/>
          <w:color w:val="000000"/>
          <w:kern w:val="0"/>
          <w:szCs w:val="24"/>
        </w:rPr>
        <w:t>未超過治療前的基準值。</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Ⅱ</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脾臟體積無惡化：使用電腦斷層評估，脾臟長度未增加超過最佳反應</w:t>
      </w:r>
      <w:r w:rsidRPr="001A2DB7">
        <w:rPr>
          <w:rFonts w:ascii="標楷體" w:eastAsia="標楷體" w:hAnsi="標楷體"/>
          <w:color w:val="000000"/>
          <w:kern w:val="0"/>
          <w:szCs w:val="24"/>
        </w:rPr>
        <w:t>(best response)</w:t>
      </w:r>
      <w:r w:rsidRPr="001A2DB7">
        <w:rPr>
          <w:rFonts w:ascii="標楷體" w:eastAsia="標楷體" w:hAnsi="標楷體" w:hint="eastAsia"/>
          <w:color w:val="000000"/>
          <w:kern w:val="0"/>
          <w:szCs w:val="24"/>
        </w:rPr>
        <w:t>時之脾臟長度</w:t>
      </w:r>
      <w:r w:rsidRPr="001A2DB7">
        <w:rPr>
          <w:rFonts w:ascii="標楷體" w:eastAsia="標楷體" w:hAnsi="標楷體"/>
          <w:color w:val="000000"/>
          <w:kern w:val="0"/>
          <w:szCs w:val="24"/>
        </w:rPr>
        <w:t>40%</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或體積增加未達</w:t>
      </w:r>
      <w:r w:rsidRPr="001A2DB7">
        <w:rPr>
          <w:rFonts w:ascii="標楷體" w:eastAsia="標楷體" w:hAnsi="標楷體"/>
          <w:color w:val="000000"/>
          <w:kern w:val="0"/>
          <w:szCs w:val="24"/>
        </w:rPr>
        <w:t>25%</w:t>
      </w:r>
      <w:r w:rsidRPr="001A2DB7">
        <w:rPr>
          <w:rFonts w:ascii="標楷體" w:eastAsia="標楷體" w:hAnsi="標楷體" w:hint="eastAsia"/>
          <w:color w:val="000000"/>
          <w:kern w:val="0"/>
          <w:szCs w:val="24"/>
        </w:rPr>
        <w:t>以上</w:t>
      </w:r>
      <w:r w:rsidRPr="001A2DB7">
        <w:rPr>
          <w:rFonts w:ascii="標楷體" w:eastAsia="標楷體" w:hAnsi="標楷體"/>
          <w:color w:val="000000"/>
          <w:kern w:val="0"/>
          <w:szCs w:val="24"/>
        </w:rPr>
        <w:t>)</w:t>
      </w:r>
      <w:r w:rsidRPr="001A2DB7">
        <w:rPr>
          <w:rFonts w:ascii="標楷體" w:eastAsia="標楷體" w:hAnsi="標楷體" w:hint="eastAsia"/>
          <w:color w:val="000000"/>
          <w:kern w:val="0"/>
          <w:szCs w:val="24"/>
        </w:rPr>
        <w:t>。</w:t>
      </w:r>
    </w:p>
    <w:p w:rsidR="0007073E" w:rsidRPr="001A2DB7" w:rsidRDefault="0007073E" w:rsidP="009D436C">
      <w:pPr>
        <w:autoSpaceDE w:val="0"/>
        <w:adjustRightInd w:val="0"/>
        <w:spacing w:line="400" w:lineRule="exact"/>
        <w:ind w:leftChars="380" w:left="1274" w:hangingChars="151" w:hanging="362"/>
        <w:rPr>
          <w:rFonts w:ascii="標楷體" w:eastAsia="標楷體" w:hAnsi="標楷體"/>
          <w:color w:val="000000"/>
          <w:kern w:val="0"/>
          <w:szCs w:val="24"/>
        </w:rPr>
      </w:pPr>
      <w:r w:rsidRPr="001A2DB7">
        <w:rPr>
          <w:rFonts w:ascii="標楷體" w:eastAsia="標楷體" w:hAnsi="標楷體" w:hint="eastAsia"/>
          <w:color w:val="000000"/>
          <w:kern w:val="0"/>
          <w:szCs w:val="24"/>
        </w:rPr>
        <w:t>Ⅲ</w:t>
      </w:r>
      <w:r w:rsidRPr="001A2DB7">
        <w:rPr>
          <w:rFonts w:ascii="標楷體" w:eastAsia="標楷體" w:hAnsi="標楷體"/>
          <w:color w:val="000000"/>
          <w:kern w:val="0"/>
          <w:szCs w:val="24"/>
        </w:rPr>
        <w:t>.AML transformation</w:t>
      </w:r>
      <w:r w:rsidRPr="001A2DB7">
        <w:rPr>
          <w:rFonts w:ascii="標楷體" w:eastAsia="標楷體" w:hAnsi="標楷體" w:hint="eastAsia"/>
          <w:color w:val="000000"/>
          <w:kern w:val="0"/>
          <w:szCs w:val="24"/>
        </w:rPr>
        <w:t>：骨髓中之芽細胞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或血液中之芽細胞</w:t>
      </w:r>
      <w:r w:rsidRPr="001A2DB7">
        <w:rPr>
          <w:rFonts w:eastAsia="標楷體"/>
          <w:color w:val="000000"/>
          <w:kern w:val="0"/>
          <w:szCs w:val="24"/>
        </w:rPr>
        <w:t>≥</w:t>
      </w:r>
      <w:r w:rsidRPr="001A2DB7">
        <w:rPr>
          <w:rFonts w:ascii="標楷體" w:eastAsia="標楷體" w:hAnsi="標楷體"/>
          <w:color w:val="000000"/>
          <w:kern w:val="0"/>
          <w:szCs w:val="24"/>
        </w:rPr>
        <w:t>20%</w:t>
      </w:r>
      <w:r w:rsidRPr="001A2DB7">
        <w:rPr>
          <w:rFonts w:ascii="標楷體" w:eastAsia="標楷體" w:hAnsi="標楷體" w:hint="eastAsia"/>
          <w:color w:val="000000"/>
          <w:kern w:val="0"/>
          <w:szCs w:val="24"/>
        </w:rPr>
        <w:t>合併芽細胞數值</w:t>
      </w:r>
      <w:r w:rsidRPr="001A2DB7">
        <w:rPr>
          <w:rFonts w:eastAsia="標楷體"/>
          <w:color w:val="000000"/>
          <w:kern w:val="0"/>
          <w:szCs w:val="24"/>
        </w:rPr>
        <w:t>≥</w:t>
      </w:r>
      <w:r w:rsidRPr="001A2DB7">
        <w:rPr>
          <w:rFonts w:ascii="標楷體" w:eastAsia="標楷體" w:hAnsi="標楷體"/>
          <w:color w:val="000000"/>
          <w:kern w:val="0"/>
          <w:szCs w:val="24"/>
        </w:rPr>
        <w:t>1</w:t>
      </w:r>
      <w:r w:rsidRPr="001A2DB7">
        <w:rPr>
          <w:rFonts w:ascii="標楷體" w:eastAsia="標楷體" w:hAnsi="標楷體" w:cs="標楷體"/>
          <w:color w:val="000000"/>
          <w:kern w:val="0"/>
          <w:szCs w:val="24"/>
        </w:rPr>
        <w:t>×</w:t>
      </w:r>
      <w:r w:rsidRPr="001A2DB7">
        <w:rPr>
          <w:rFonts w:ascii="標楷體" w:eastAsia="標楷體" w:hAnsi="標楷體"/>
          <w:color w:val="000000"/>
          <w:kern w:val="0"/>
          <w:szCs w:val="24"/>
        </w:rPr>
        <w:t>10</w:t>
      </w:r>
      <w:r w:rsidRPr="001A2DB7">
        <w:rPr>
          <w:rFonts w:ascii="標楷體" w:eastAsia="標楷體" w:hAnsi="標楷體"/>
          <w:color w:val="000000"/>
          <w:kern w:val="0"/>
          <w:szCs w:val="24"/>
          <w:vertAlign w:val="superscript"/>
        </w:rPr>
        <w:t>9</w:t>
      </w:r>
      <w:r w:rsidRPr="001A2DB7">
        <w:rPr>
          <w:rFonts w:ascii="標楷體" w:eastAsia="標楷體" w:hAnsi="標楷體"/>
          <w:color w:val="000000"/>
          <w:kern w:val="0"/>
          <w:szCs w:val="24"/>
        </w:rPr>
        <w:t>/L</w:t>
      </w:r>
      <w:r w:rsidRPr="001A2DB7">
        <w:rPr>
          <w:rFonts w:ascii="標楷體" w:eastAsia="標楷體" w:hAnsi="標楷體" w:hint="eastAsia"/>
          <w:color w:val="000000"/>
          <w:kern w:val="0"/>
          <w:szCs w:val="24"/>
        </w:rPr>
        <w:t>。</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(4)Jakavi 5mg</w:t>
      </w:r>
      <w:r w:rsidRPr="001A2DB7">
        <w:rPr>
          <w:rFonts w:ascii="標楷體" w:eastAsia="標楷體" w:hAnsi="標楷體" w:hint="eastAsia"/>
        </w:rPr>
        <w:t>每日限最多使用</w:t>
      </w:r>
      <w:r w:rsidRPr="001A2DB7">
        <w:rPr>
          <w:rFonts w:ascii="標楷體" w:eastAsia="標楷體" w:hAnsi="標楷體"/>
        </w:rPr>
        <w:t>4</w:t>
      </w:r>
      <w:r w:rsidRPr="001A2DB7">
        <w:rPr>
          <w:rFonts w:ascii="標楷體" w:eastAsia="標楷體" w:hAnsi="標楷體" w:hint="eastAsia"/>
        </w:rPr>
        <w:t>粒，</w:t>
      </w:r>
      <w:r w:rsidRPr="001A2DB7">
        <w:rPr>
          <w:rFonts w:ascii="標楷體" w:eastAsia="標楷體" w:hAnsi="標楷體"/>
        </w:rPr>
        <w:t>Jakavi 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每日限最多使用</w:t>
      </w:r>
      <w:r w:rsidRPr="001A2DB7">
        <w:rPr>
          <w:rFonts w:ascii="標楷體" w:eastAsia="標楷體" w:hAnsi="標楷體"/>
        </w:rPr>
        <w:t>2</w:t>
      </w:r>
      <w:r w:rsidRPr="001A2DB7">
        <w:rPr>
          <w:rFonts w:ascii="標楷體" w:eastAsia="標楷體" w:hAnsi="標楷體" w:hint="eastAsia"/>
        </w:rPr>
        <w:t>粒，且其</w:t>
      </w:r>
      <w:r w:rsidRPr="001A2DB7">
        <w:rPr>
          <w:rFonts w:ascii="標楷體" w:eastAsia="標楷體" w:hAnsi="標楷體"/>
        </w:rPr>
        <w:t>5mg</w:t>
      </w:r>
      <w:r w:rsidRPr="001A2DB7">
        <w:rPr>
          <w:rFonts w:ascii="標楷體" w:eastAsia="標楷體" w:hAnsi="標楷體" w:hint="eastAsia"/>
        </w:rPr>
        <w:t>不得與</w:t>
      </w:r>
      <w:r w:rsidRPr="001A2DB7">
        <w:rPr>
          <w:rFonts w:ascii="標楷體" w:eastAsia="標楷體" w:hAnsi="標楷體"/>
        </w:rPr>
        <w:t>15mg</w:t>
      </w:r>
      <w:r w:rsidRPr="001A2DB7">
        <w:rPr>
          <w:rFonts w:ascii="標楷體" w:eastAsia="標楷體" w:hAnsi="標楷體" w:hint="eastAsia"/>
        </w:rPr>
        <w:t>或</w:t>
      </w:r>
      <w:r w:rsidRPr="001A2DB7">
        <w:rPr>
          <w:rFonts w:ascii="標楷體" w:eastAsia="標楷體" w:hAnsi="標楷體"/>
        </w:rPr>
        <w:t>20mg</w:t>
      </w:r>
      <w:r w:rsidRPr="001A2DB7">
        <w:rPr>
          <w:rFonts w:ascii="標楷體" w:eastAsia="標楷體" w:hAnsi="標楷體" w:hint="eastAsia"/>
        </w:rPr>
        <w:t>併用。</w:t>
      </w:r>
    </w:p>
    <w:p w:rsidR="0007073E" w:rsidRPr="001A2DB7" w:rsidRDefault="0007073E" w:rsidP="0007073E">
      <w:pPr>
        <w:pStyle w:val="Default"/>
        <w:spacing w:line="400" w:lineRule="exact"/>
        <w:ind w:leftChars="262" w:left="991" w:hangingChars="151" w:hanging="362"/>
        <w:rPr>
          <w:rFonts w:ascii="標楷體" w:eastAsia="標楷體" w:hAnsi="標楷體"/>
        </w:rPr>
      </w:pPr>
      <w:r w:rsidRPr="001A2DB7">
        <w:rPr>
          <w:rFonts w:ascii="標楷體" w:eastAsia="標楷體" w:hAnsi="標楷體"/>
        </w:rPr>
        <w:t>(5)</w:t>
      </w:r>
      <w:r w:rsidRPr="001A2DB7">
        <w:rPr>
          <w:rFonts w:ascii="標楷體" w:eastAsia="標楷體" w:hAnsi="標楷體" w:hint="eastAsia"/>
        </w:rPr>
        <w:t>本藥品與</w:t>
      </w:r>
      <w:r w:rsidRPr="001A2DB7">
        <w:rPr>
          <w:rFonts w:ascii="標楷體" w:eastAsia="標楷體" w:hAnsi="標楷體"/>
        </w:rPr>
        <w:t>fedratinib</w:t>
      </w:r>
      <w:r w:rsidRPr="00EB5347">
        <w:rPr>
          <w:rFonts w:ascii="標楷體" w:eastAsia="標楷體" w:hAnsi="標楷體" w:hint="eastAsia"/>
        </w:rPr>
        <w:t>、</w:t>
      </w:r>
      <w:r w:rsidRPr="00EB5347">
        <w:rPr>
          <w:rFonts w:ascii="標楷體" w:eastAsia="標楷體" w:hAnsi="標楷體"/>
        </w:rPr>
        <w:t>momelotinib</w:t>
      </w:r>
      <w:r w:rsidRPr="00EB5347">
        <w:rPr>
          <w:rFonts w:ascii="標楷體" w:eastAsia="標楷體" w:hAnsi="標楷體" w:hint="eastAsia"/>
        </w:rPr>
        <w:t>用於中度風險或高風險之骨髓纖維化治療時，僅得擇一給付。f</w:t>
      </w:r>
      <w:r w:rsidRPr="00EB5347">
        <w:rPr>
          <w:rFonts w:ascii="標楷體" w:eastAsia="標楷體" w:hAnsi="標楷體"/>
        </w:rPr>
        <w:t>edratinib</w:t>
      </w:r>
      <w:r w:rsidRPr="00EB5347">
        <w:rPr>
          <w:rFonts w:ascii="標楷體" w:eastAsia="標楷體" w:hAnsi="標楷體" w:hint="eastAsia"/>
        </w:rPr>
        <w:t>、</w:t>
      </w:r>
      <w:r w:rsidRPr="00EB5347">
        <w:rPr>
          <w:rFonts w:ascii="標楷體" w:eastAsia="標楷體" w:hAnsi="標楷體"/>
        </w:rPr>
        <w:t>momelotinib</w:t>
      </w:r>
      <w:r w:rsidRPr="001A2DB7">
        <w:rPr>
          <w:rFonts w:ascii="標楷體" w:eastAsia="標楷體" w:hAnsi="標楷體" w:hint="eastAsia"/>
        </w:rPr>
        <w:t>治療後如疾病惡化不得換用本藥品。</w:t>
      </w:r>
      <w:r w:rsidRPr="001A2DB7">
        <w:rPr>
          <w:rFonts w:ascii="標楷體" w:eastAsia="標楷體" w:hAnsi="標楷體"/>
        </w:rPr>
        <w:t>(114/1/1</w:t>
      </w:r>
      <w:r w:rsidRPr="00EB5347">
        <w:rPr>
          <w:rFonts w:ascii="標楷體" w:eastAsia="標楷體" w:hAnsi="標楷體" w:hint="eastAsia"/>
        </w:rPr>
        <w:t>、114</w:t>
      </w:r>
      <w:r w:rsidRPr="00EB5347">
        <w:rPr>
          <w:rFonts w:ascii="標楷體" w:eastAsia="標楷體" w:hAnsi="標楷體"/>
        </w:rPr>
        <w:t>/</w:t>
      </w:r>
      <w:r w:rsidRPr="00EB5347">
        <w:rPr>
          <w:rFonts w:ascii="標楷體" w:eastAsia="標楷體" w:hAnsi="標楷體" w:hint="eastAsia"/>
        </w:rPr>
        <w:t>10</w:t>
      </w:r>
      <w:r w:rsidRPr="00EB5347">
        <w:rPr>
          <w:rFonts w:ascii="標楷體" w:eastAsia="標楷體" w:hAnsi="標楷體"/>
        </w:rPr>
        <w:t>/1</w:t>
      </w:r>
      <w:r w:rsidRPr="001A2DB7">
        <w:rPr>
          <w:rFonts w:ascii="標楷體" w:eastAsia="標楷體" w:hAnsi="標楷體"/>
        </w:rPr>
        <w:t>)</w:t>
      </w:r>
    </w:p>
    <w:p w:rsidR="0007073E" w:rsidRPr="001A2DB7" w:rsidRDefault="0007073E" w:rsidP="0007073E">
      <w:pPr>
        <w:suppressAutoHyphens w:val="0"/>
        <w:autoSpaceDE w:val="0"/>
        <w:adjustRightInd w:val="0"/>
        <w:spacing w:line="400" w:lineRule="exact"/>
        <w:ind w:leftChars="146" w:left="566" w:hangingChars="90" w:hanging="216"/>
        <w:textAlignment w:val="auto"/>
        <w:rPr>
          <w:rFonts w:ascii="標楷體" w:eastAsia="標楷體" w:hAnsi="標楷體"/>
          <w:color w:val="000000"/>
          <w:szCs w:val="24"/>
        </w:rPr>
      </w:pPr>
      <w:r w:rsidRPr="001A2DB7">
        <w:rPr>
          <w:rFonts w:ascii="標楷體" w:eastAsia="標楷體" w:hAnsi="標楷體"/>
          <w:color w:val="000000"/>
          <w:szCs w:val="24"/>
        </w:rPr>
        <w:t>2.移植物抗宿主疾病，限用Jakavi 5mg，每日最多使用4 粒。(113/3/1)</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(1)用於治療</w:t>
      </w:r>
      <w:r w:rsidRPr="001A2DB7">
        <w:rPr>
          <w:rFonts w:ascii="標楷體" w:eastAsia="標楷體" w:hAnsi="標楷體"/>
          <w:color w:val="auto"/>
        </w:rPr>
        <w:t>12</w:t>
      </w:r>
      <w:r w:rsidRPr="001A2DB7">
        <w:rPr>
          <w:rFonts w:ascii="標楷體" w:eastAsia="標楷體" w:hAnsi="標楷體"/>
          <w:kern w:val="3"/>
        </w:rPr>
        <w:t>歲以上之青少年及成人，且先前曾接受皮質類固醇(corticosteroids)後反應不佳的第2級(含)以上急性移植物抗宿主疾病(acute graft-versus-host disease,GvHD)病人。</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Ⅰ.首次治療，可免事前審查，以28天為限，但須於病歷記載診斷、嚴重度評估以及先前藥物治療反應評估。若使用後疾病持續進展，即不得再使用。</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Ⅱ.續用時需經事前審查核准後使用，限續申請一次並以2個月為限，申請時須檢附先前治療處方紀錄及療效評估。用藥後，若有疾病持續進展，則應停藥。</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Ⅲ.使用總療程以3個月為上限。</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Ⅳ.若後續轉變為慢性移植物抗宿主疾病（chronic GvHD）時，需依慢性移植物抗宿主疾病之給付規定申請。</w:t>
      </w:r>
    </w:p>
    <w:p w:rsidR="0007073E" w:rsidRPr="001A2DB7" w:rsidRDefault="0007073E" w:rsidP="0007073E">
      <w:pPr>
        <w:spacing w:line="400" w:lineRule="exact"/>
        <w:ind w:left="1418" w:hanging="425"/>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lastRenderedPageBreak/>
        <w:t>ⅰ</w:t>
      </w:r>
      <w:r w:rsidRPr="001A2DB7">
        <w:rPr>
          <w:rFonts w:ascii="標楷體" w:eastAsia="標楷體" w:hAnsi="標楷體"/>
          <w:color w:val="000000"/>
          <w:szCs w:val="24"/>
        </w:rPr>
        <w:t>.≧1mg/kg/day methylprednisolone (or equivalent prednisone dose) 3天後，疾病仍持續進展。</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ⅱ</w:t>
      </w:r>
      <w:r w:rsidRPr="001A2DB7">
        <w:rPr>
          <w:rFonts w:ascii="標楷體" w:eastAsia="標楷體" w:hAnsi="標楷體"/>
          <w:color w:val="000000"/>
          <w:szCs w:val="24"/>
        </w:rPr>
        <w:t>.≧1mg/kg/day methylprednisolone (or equivalent prednisone dose) 開始的5天後未見改善。</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ⅲ</w:t>
      </w:r>
      <w:r w:rsidRPr="001A2DB7">
        <w:rPr>
          <w:rFonts w:ascii="標楷體" w:eastAsia="標楷體" w:hAnsi="標楷體"/>
          <w:color w:val="000000"/>
          <w:szCs w:val="24"/>
        </w:rPr>
        <w:t>.發生皮質類固醇依賴性：在逐漸調降皮質類固醇期間，無法將methylprednisolone (or equivalent prednisone dose)劑量調降&lt;0.5mg/kg/day維持至少7天。</w:t>
      </w:r>
    </w:p>
    <w:p w:rsidR="0007073E" w:rsidRPr="001A2DB7" w:rsidRDefault="0007073E" w:rsidP="0007073E">
      <w:pPr>
        <w:spacing w:line="400" w:lineRule="exact"/>
        <w:ind w:left="1701" w:hanging="425"/>
        <w:rPr>
          <w:szCs w:val="24"/>
        </w:rPr>
      </w:pPr>
      <w:r w:rsidRPr="001A2DB7">
        <w:rPr>
          <w:rFonts w:ascii="新細明體" w:hAnsi="新細明體" w:cs="新細明體"/>
          <w:color w:val="000000"/>
          <w:szCs w:val="24"/>
        </w:rPr>
        <w:t>ⅳ</w:t>
      </w:r>
      <w:r w:rsidRPr="001A2DB7">
        <w:rPr>
          <w:rFonts w:ascii="標楷體" w:eastAsia="標楷體" w:hAnsi="標楷體"/>
          <w:color w:val="000000"/>
          <w:szCs w:val="24"/>
        </w:rPr>
        <w:t>.發生皮質類固醇不耐受性：初始治療後，發生CTCAE G3之嚴重不良反應情形。</w:t>
      </w:r>
    </w:p>
    <w:p w:rsidR="0007073E" w:rsidRPr="001A2DB7" w:rsidRDefault="0007073E" w:rsidP="0007073E">
      <w:pPr>
        <w:pStyle w:val="Default"/>
        <w:spacing w:line="400" w:lineRule="exact"/>
        <w:ind w:leftChars="262" w:left="991" w:hangingChars="151" w:hanging="362"/>
        <w:rPr>
          <w:rFonts w:ascii="標楷體" w:eastAsia="標楷體" w:hAnsi="標楷體"/>
          <w:kern w:val="3"/>
        </w:rPr>
      </w:pPr>
      <w:r w:rsidRPr="001A2DB7">
        <w:rPr>
          <w:rFonts w:ascii="標楷體" w:eastAsia="標楷體" w:hAnsi="標楷體"/>
          <w:kern w:val="3"/>
        </w:rPr>
        <w:t>(2)用於治療12歲以上之青少年及成人，且先前曾接受皮質類固醇(corticosteroids)後反應不佳的慢性移植物抗宿主疾病(chronic graft-versus-host disease,GvHD)病人。</w:t>
      </w:r>
    </w:p>
    <w:p w:rsidR="0007073E" w:rsidRPr="001A2DB7" w:rsidRDefault="0007073E" w:rsidP="0007073E">
      <w:pPr>
        <w:spacing w:line="400" w:lineRule="exact"/>
        <w:ind w:left="1418" w:hanging="284"/>
        <w:rPr>
          <w:rFonts w:ascii="標楷體" w:eastAsia="標楷體" w:hAnsi="標楷體"/>
          <w:color w:val="000000"/>
          <w:szCs w:val="24"/>
        </w:rPr>
      </w:pPr>
      <w:r w:rsidRPr="001A2DB7">
        <w:rPr>
          <w:rFonts w:ascii="標楷體" w:eastAsia="標楷體" w:hAnsi="標楷體"/>
          <w:color w:val="000000"/>
          <w:szCs w:val="24"/>
        </w:rPr>
        <w:t>Ⅰ.限用於發生肺部之慢性移植物抗宿主疾病，須同時符合下列條件: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.肺功能檢查之FEV1&lt;80%。</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.檢附CT報告帶有 air trapping, small airway thickening或bronchiectasis 等肺部侵犯的表徵。</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Ⅱ.需經事前審查核准後使用。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Ⅲ.第一次療程為3個月，續用申請之療程以3個月為限，送審時需檢送療效評估，每3個月評估一次。用藥後，若有疾病持續進展，則不予同意使用。</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Ⅳ.使用總療程以24個月為上限。</w:t>
      </w:r>
    </w:p>
    <w:p w:rsidR="0007073E" w:rsidRPr="001A2DB7" w:rsidRDefault="0007073E" w:rsidP="0007073E">
      <w:pPr>
        <w:spacing w:line="400" w:lineRule="exact"/>
        <w:ind w:left="1540" w:hanging="340"/>
        <w:rPr>
          <w:rFonts w:ascii="標楷體" w:eastAsia="標楷體" w:hAnsi="標楷體"/>
          <w:color w:val="000000"/>
          <w:szCs w:val="24"/>
        </w:rPr>
      </w:pPr>
      <w:r w:rsidRPr="001A2DB7">
        <w:rPr>
          <w:rFonts w:ascii="標楷體" w:eastAsia="標楷體" w:hAnsi="標楷體"/>
          <w:color w:val="000000"/>
          <w:szCs w:val="24"/>
        </w:rPr>
        <w:t>Ⅴ.先前曾接受皮質類固醇（corticosteroids）後反應不佳需符合以下任一條件：</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ⅰ</w:t>
      </w:r>
      <w:r w:rsidRPr="001A2DB7">
        <w:rPr>
          <w:rFonts w:ascii="標楷體" w:eastAsia="標楷體" w:hAnsi="標楷體" w:cs="新細明體"/>
          <w:color w:val="000000"/>
          <w:szCs w:val="24"/>
        </w:rPr>
        <w:t xml:space="preserve">.每日施用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治療至少7天後，疾病仍持續進展。</w:t>
      </w:r>
    </w:p>
    <w:p w:rsidR="0007073E" w:rsidRPr="001A2DB7" w:rsidRDefault="0007073E" w:rsidP="0007073E">
      <w:pPr>
        <w:spacing w:line="400" w:lineRule="exact"/>
        <w:ind w:left="1900" w:hanging="340"/>
        <w:rPr>
          <w:szCs w:val="24"/>
        </w:rPr>
      </w:pPr>
      <w:r w:rsidRPr="001A2DB7">
        <w:rPr>
          <w:rFonts w:ascii="新細明體" w:hAnsi="新細明體" w:cs="新細明體"/>
          <w:color w:val="000000"/>
          <w:szCs w:val="24"/>
        </w:rPr>
        <w:t>ⅱ</w:t>
      </w:r>
      <w:r w:rsidRPr="001A2DB7">
        <w:rPr>
          <w:rFonts w:ascii="標楷體" w:eastAsia="標楷體" w:hAnsi="標楷體" w:cs="新細明體"/>
          <w:color w:val="000000"/>
          <w:szCs w:val="24"/>
        </w:rPr>
        <w:t xml:space="preserve">.每日平均施用 </w:t>
      </w:r>
      <w:r w:rsidRPr="001A2DB7">
        <w:rPr>
          <w:rFonts w:eastAsia="標楷體"/>
          <w:color w:val="000000"/>
          <w:szCs w:val="24"/>
        </w:rPr>
        <w:t>≥</w:t>
      </w:r>
      <w:r w:rsidRPr="001A2DB7">
        <w:rPr>
          <w:rFonts w:ascii="標楷體" w:eastAsia="標楷體" w:hAnsi="標楷體" w:cs="新細明體"/>
          <w:color w:val="000000"/>
          <w:szCs w:val="24"/>
        </w:rPr>
        <w:t xml:space="preserve"> 0.5 mg/kg/day prednisone (或隔日</w:t>
      </w:r>
      <w:r w:rsidRPr="001A2DB7">
        <w:rPr>
          <w:rFonts w:eastAsia="標楷體"/>
          <w:color w:val="000000"/>
          <w:szCs w:val="24"/>
        </w:rPr>
        <w:t>≥</w:t>
      </w:r>
      <w:r w:rsidRPr="001A2DB7">
        <w:rPr>
          <w:rFonts w:ascii="標楷體" w:eastAsia="標楷體" w:hAnsi="標楷體" w:cs="新細明體"/>
          <w:color w:val="000000"/>
          <w:szCs w:val="24"/>
        </w:rPr>
        <w:t>1 mg/kg) ，治療至少1個月後，疾病仍未改善。</w:t>
      </w:r>
    </w:p>
    <w:p w:rsidR="0007073E" w:rsidRPr="001A2DB7" w:rsidRDefault="0007073E" w:rsidP="0007073E">
      <w:pPr>
        <w:spacing w:line="400" w:lineRule="exact"/>
        <w:ind w:left="1900" w:hanging="340"/>
        <w:rPr>
          <w:rFonts w:ascii="標楷體" w:eastAsia="標楷體" w:hAnsi="標楷體" w:cs="新細明體"/>
          <w:color w:val="000000"/>
          <w:szCs w:val="24"/>
        </w:rPr>
      </w:pPr>
      <w:r w:rsidRPr="001A2DB7">
        <w:rPr>
          <w:rFonts w:ascii="新細明體" w:hAnsi="新細明體" w:cs="新細明體"/>
          <w:color w:val="000000"/>
          <w:szCs w:val="24"/>
        </w:rPr>
        <w:t>ⅲ</w:t>
      </w:r>
      <w:r w:rsidRPr="001A2DB7">
        <w:rPr>
          <w:rFonts w:ascii="標楷體" w:eastAsia="標楷體" w:hAnsi="標楷體" w:cs="新細明體"/>
          <w:color w:val="000000"/>
          <w:szCs w:val="24"/>
        </w:rPr>
        <w:t>.發生皮質類固醇依賴性：在逐漸調降皮質類固醇期間，無法將劑量調降至每日0.25 mg/kg 以下維持至少7 天。</w:t>
      </w:r>
    </w:p>
    <w:p w:rsidR="00B96EA0" w:rsidRDefault="0007073E" w:rsidP="0007073E">
      <w:pPr>
        <w:spacing w:line="400" w:lineRule="exact"/>
        <w:ind w:left="1900" w:hanging="340"/>
      </w:pPr>
      <w:r w:rsidRPr="001A2DB7">
        <w:rPr>
          <w:rFonts w:ascii="新細明體" w:hAnsi="新細明體" w:cs="新細明體"/>
          <w:szCs w:val="24"/>
        </w:rPr>
        <w:t>ⅳ</w:t>
      </w:r>
      <w:r w:rsidRPr="001A2DB7">
        <w:rPr>
          <w:rFonts w:ascii="標楷體" w:eastAsia="標楷體" w:hAnsi="標楷體" w:cs="新細明體"/>
          <w:szCs w:val="24"/>
        </w:rPr>
        <w:t>.發生皮質類固醇不耐受性:初始治療後，發生 CTCAE G3 嚴重不良反應之情形。</w:t>
      </w:r>
      <w:bookmarkEnd w:id="13"/>
    </w:p>
    <w:p w:rsidR="008B0582" w:rsidRDefault="007D66B8" w:rsidP="008B0582">
      <w:pPr>
        <w:tabs>
          <w:tab w:val="left" w:pos="1418"/>
        </w:tabs>
        <w:spacing w:line="400" w:lineRule="exact"/>
        <w:ind w:left="567" w:hanging="228"/>
        <w:rPr>
          <w:rFonts w:ascii="標楷體" w:eastAsia="標楷體" w:hAnsi="標楷體"/>
          <w:color w:val="000000"/>
        </w:rPr>
      </w:pPr>
      <w:r>
        <w:rPr>
          <w:rFonts w:ascii="標楷體" w:eastAsia="標楷體" w:hAnsi="標楷體"/>
          <w:color w:val="000000"/>
        </w:rPr>
        <w:t>9.56.</w:t>
      </w:r>
      <w:r w:rsidR="008B0582" w:rsidRPr="008B0582">
        <w:rPr>
          <w:rFonts w:ascii="標楷體" w:eastAsia="標楷體" w:hAnsi="標楷體"/>
          <w:color w:val="000000"/>
        </w:rPr>
        <w:t xml:space="preserve"> </w:t>
      </w:r>
      <w:r w:rsidR="008B0582">
        <w:rPr>
          <w:rFonts w:ascii="標楷體" w:eastAsia="標楷體" w:hAnsi="標楷體"/>
          <w:color w:val="000000"/>
        </w:rPr>
        <w:t>Brentuximab vedotin(如Adcetris)：(105/10/1、106/4/1、109/2/1、111/2/1</w:t>
      </w:r>
      <w:r w:rsidR="008B0582">
        <w:rPr>
          <w:rFonts w:ascii="標楷體" w:eastAsia="標楷體" w:hAnsi="標楷體" w:hint="eastAsia"/>
          <w:color w:val="000000"/>
        </w:rPr>
        <w:t>、114/12/1</w:t>
      </w:r>
      <w:r w:rsidR="008B0582">
        <w:rPr>
          <w:rFonts w:ascii="標楷體" w:eastAsia="標楷體" w:hAnsi="標楷體"/>
          <w:color w:val="000000"/>
        </w:rPr>
        <w:t xml:space="preserve">) </w:t>
      </w:r>
    </w:p>
    <w:p w:rsidR="008B0582" w:rsidRDefault="008B0582" w:rsidP="008B0582">
      <w:pPr>
        <w:tabs>
          <w:tab w:val="left" w:pos="1418"/>
        </w:tabs>
        <w:spacing w:line="400" w:lineRule="exact"/>
        <w:ind w:left="1133" w:hanging="228"/>
        <w:rPr>
          <w:rFonts w:ascii="標楷體" w:eastAsia="標楷體" w:hAnsi="標楷體"/>
          <w:color w:val="000000"/>
        </w:rPr>
      </w:pPr>
      <w:r>
        <w:rPr>
          <w:rFonts w:ascii="標楷體" w:eastAsia="標楷體" w:hAnsi="標楷體"/>
          <w:color w:val="000000"/>
        </w:rPr>
        <w:t>限用於成人患者：</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1.何杰金氏淋巴瘤(HL)：（111/2/1)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(1)與doxorubicin、vinblastine和dacarbazine併用適用於先前未曾接受治療，且IPS (International Prognostic Score)為4-7 分的CD30+第IV期何杰金氏</w:t>
      </w:r>
      <w:r>
        <w:rPr>
          <w:rFonts w:ascii="標楷體" w:eastAsia="標楷體" w:hAnsi="標楷體"/>
          <w:color w:val="000000"/>
        </w:rPr>
        <w:lastRenderedPageBreak/>
        <w:t>淋巴瘤(HL)成人病人。（111/2/1）</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(2)CD30+何杰金氏淋巴瘤(HL)病患接受ASCT後仍具有高復發風險之病患：需先前未曾使用過本品，並於ASCT前具有下列任一危險因子者：(109/2/1)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Ⅰ.對於第1線治療未達完全緩解。</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Ⅱ.第1線治療結束後12個月內復發或惡化。</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Ⅲ.ASCT前出現的復發具有淋巴結外侵犯。</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 xml:space="preserve">(3)治療復發或頑固型CD30+何杰金氏淋巴瘤(HL)： </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Ⅰ.已接受自體幹細胞移植(ASCT)，或</w:t>
      </w:r>
    </w:p>
    <w:p w:rsidR="008B0582" w:rsidRDefault="008B0582" w:rsidP="008B0582">
      <w:pPr>
        <w:tabs>
          <w:tab w:val="left" w:pos="1418"/>
        </w:tabs>
        <w:spacing w:line="400" w:lineRule="exact"/>
        <w:ind w:left="1843" w:hanging="567"/>
        <w:rPr>
          <w:rFonts w:ascii="標楷體" w:eastAsia="標楷體" w:hAnsi="標楷體"/>
          <w:color w:val="000000"/>
        </w:rPr>
      </w:pPr>
      <w:r>
        <w:rPr>
          <w:rFonts w:ascii="標楷體" w:eastAsia="標楷體" w:hAnsi="標楷體"/>
          <w:color w:val="000000"/>
        </w:rPr>
        <w:t>Ⅱ.無法使用ASCT或多重藥物化療，且先前至少已接受兩種治療。</w:t>
      </w:r>
    </w:p>
    <w:p w:rsidR="008B0582" w:rsidRDefault="008B0582" w:rsidP="008B0582">
      <w:pPr>
        <w:tabs>
          <w:tab w:val="left" w:pos="1418"/>
        </w:tabs>
        <w:spacing w:line="400" w:lineRule="exact"/>
        <w:ind w:left="993"/>
        <w:rPr>
          <w:rFonts w:ascii="標楷體" w:eastAsia="標楷體" w:hAnsi="標楷體"/>
          <w:color w:val="000000"/>
        </w:rPr>
      </w:pPr>
      <w:r>
        <w:rPr>
          <w:rFonts w:ascii="標楷體" w:eastAsia="標楷體" w:hAnsi="標楷體"/>
          <w:color w:val="000000"/>
        </w:rPr>
        <w:t>(4)須經事前審查核准後使用：</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Ⅱ.前述(2)之病患：每次申請療程以4個療程為限，再申請應檢附疾病無惡化之評估資料，若病情惡化即須停止使用。曾依本項核准使用之病患，若之後疾病惡化或復發後將不再給付本藥品。(109/2/1、111/2/1)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Ⅲ.前述(3)之病患：每次申請療程以4個療程為限，再申請應檢附前次治療結果評估資料。若病人病情已達完全緩解，得再給付4個療程;若病情惡化即須停止使用。(106/4/1、109/2/1、111/2/1)</w:t>
      </w:r>
    </w:p>
    <w:p w:rsidR="008B0582" w:rsidRDefault="008B0582" w:rsidP="008B0582">
      <w:pPr>
        <w:tabs>
          <w:tab w:val="left" w:pos="1418"/>
        </w:tabs>
        <w:spacing w:line="400" w:lineRule="exact"/>
        <w:ind w:left="1701" w:hanging="370"/>
        <w:rPr>
          <w:rFonts w:ascii="標楷體" w:eastAsia="標楷體" w:hAnsi="標楷體"/>
          <w:color w:val="000000"/>
        </w:rPr>
      </w:pPr>
      <w:r>
        <w:rPr>
          <w:rFonts w:ascii="標楷體" w:eastAsia="標楷體" w:hAnsi="標楷體"/>
          <w:color w:val="000000"/>
        </w:rPr>
        <w:t>Ⅳ.同一病患於前述（1）、（2）及（3）之終身給付療程數以總共16個療程為上限。(111/2/1)</w:t>
      </w:r>
    </w:p>
    <w:p w:rsidR="008B0582" w:rsidRDefault="008B0582" w:rsidP="008B0582">
      <w:pPr>
        <w:tabs>
          <w:tab w:val="left" w:pos="851"/>
        </w:tabs>
        <w:spacing w:line="400" w:lineRule="exact"/>
        <w:ind w:left="993" w:hanging="370"/>
        <w:rPr>
          <w:rFonts w:ascii="標楷體" w:eastAsia="標楷體" w:hAnsi="標楷體"/>
          <w:color w:val="000000"/>
        </w:rPr>
      </w:pPr>
      <w:r>
        <w:rPr>
          <w:rFonts w:ascii="標楷體" w:eastAsia="標楷體" w:hAnsi="標楷體"/>
          <w:color w:val="000000"/>
        </w:rPr>
        <w:t>2.全身性退行分化型大細胞淋巴瘤(systemic anaplastic large cell lymphoma；sALCL)：（111/2/1)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(1)與cyclophosphamide、doxorubicin和prednisone併用適用於先前未曾接受治療且為ALK陰性的全身性退行分化型大細胞淋巴瘤(systemic anaplastic large cell lymphoma；sALCL)成人病人。（111/2/1）</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(2)治療復發或頑固型全身性退行分化型大細胞淋巴瘤(systemic anaplastic large cell lymphoma；sALCL)。</w:t>
      </w:r>
    </w:p>
    <w:p w:rsidR="008B0582" w:rsidRDefault="008B0582" w:rsidP="008B0582">
      <w:pPr>
        <w:tabs>
          <w:tab w:val="left" w:pos="1418"/>
        </w:tabs>
        <w:spacing w:line="400" w:lineRule="exact"/>
        <w:ind w:left="1418" w:hanging="370"/>
        <w:rPr>
          <w:rFonts w:ascii="標楷體" w:eastAsia="標楷體" w:hAnsi="標楷體"/>
          <w:color w:val="000000"/>
        </w:rPr>
      </w:pPr>
      <w:r>
        <w:rPr>
          <w:rFonts w:ascii="標楷體" w:eastAsia="標楷體" w:hAnsi="標楷體"/>
          <w:color w:val="000000"/>
        </w:rPr>
        <w:t>(3)須經事前審查核准後使用：</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Ⅰ.前述(1)之病患：首次申請療程以4個療程為限，再申請應檢附前次治療結果評估資料。若病人病情已達完全緩解，得再給付2個療程；若病情惡化即須停止使用。健保給付以6個療程為上限。(111/2/1)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Ⅱ.前述(2)之病患：每次申請療程以4個療程為限，再申請應檢附前次治療結果評估資料。若病人病情已達完全緩解，得再給付4個療程;若病情惡化即須停止使用。(106/4/1、109/2/1、111/2/1)</w:t>
      </w:r>
    </w:p>
    <w:p w:rsidR="008B0582" w:rsidRDefault="008B0582" w:rsidP="008B0582">
      <w:pPr>
        <w:tabs>
          <w:tab w:val="left" w:pos="1418"/>
        </w:tabs>
        <w:spacing w:line="400" w:lineRule="exact"/>
        <w:ind w:left="1560" w:hanging="370"/>
        <w:rPr>
          <w:rFonts w:ascii="標楷體" w:eastAsia="標楷體" w:hAnsi="標楷體"/>
          <w:color w:val="000000"/>
        </w:rPr>
      </w:pPr>
      <w:r>
        <w:rPr>
          <w:rFonts w:ascii="標楷體" w:eastAsia="標楷體" w:hAnsi="標楷體"/>
          <w:color w:val="000000"/>
        </w:rPr>
        <w:t>Ⅲ.同一病患於前述(1)及(2)之終身給付療程數以總共16個療程為上限。</w:t>
      </w:r>
      <w:r>
        <w:rPr>
          <w:rFonts w:ascii="標楷體" w:eastAsia="標楷體" w:hAnsi="標楷體"/>
          <w:color w:val="000000"/>
        </w:rPr>
        <w:lastRenderedPageBreak/>
        <w:t>(111/2/1)</w:t>
      </w:r>
    </w:p>
    <w:p w:rsidR="008B0582" w:rsidRDefault="008B0582" w:rsidP="008B0582">
      <w:pPr>
        <w:spacing w:line="400" w:lineRule="exact"/>
        <w:ind w:left="993" w:hanging="370"/>
        <w:rPr>
          <w:rFonts w:ascii="標楷體" w:eastAsia="標楷體" w:hAnsi="標楷體"/>
          <w:color w:val="000000"/>
        </w:rPr>
      </w:pPr>
      <w:r>
        <w:rPr>
          <w:rFonts w:ascii="標楷體" w:eastAsia="標楷體" w:hAnsi="標楷體"/>
          <w:color w:val="000000"/>
        </w:rPr>
        <w:t>3.CD30+皮膚T細胞淋巴瘤(CTCL)：（111/2/1</w:t>
      </w:r>
      <w:r>
        <w:rPr>
          <w:rFonts w:ascii="標楷體" w:eastAsia="標楷體" w:hAnsi="標楷體" w:hint="eastAsia"/>
          <w:color w:val="000000"/>
        </w:rPr>
        <w:t>、114/12/1</w:t>
      </w:r>
      <w:r>
        <w:rPr>
          <w:rFonts w:ascii="標楷體" w:eastAsia="標楷體" w:hAnsi="標楷體"/>
          <w:color w:val="000000"/>
        </w:rPr>
        <w:t>）</w:t>
      </w:r>
    </w:p>
    <w:p w:rsidR="008B0582" w:rsidRDefault="008B0582" w:rsidP="008B0582">
      <w:pPr>
        <w:tabs>
          <w:tab w:val="left" w:pos="1418"/>
        </w:tabs>
        <w:spacing w:line="400" w:lineRule="exact"/>
        <w:ind w:left="1276" w:hanging="370"/>
        <w:rPr>
          <w:rFonts w:ascii="標楷體" w:eastAsia="標楷體" w:hAnsi="標楷體"/>
          <w:color w:val="000000"/>
        </w:rPr>
      </w:pPr>
      <w:r>
        <w:rPr>
          <w:rFonts w:ascii="標楷體" w:eastAsia="標楷體" w:hAnsi="標楷體"/>
          <w:color w:val="000000"/>
        </w:rPr>
        <w:t>(1)單獨用於先前已接受照光療法與至少一種注射型</w:t>
      </w:r>
      <w:r>
        <w:rPr>
          <w:rFonts w:ascii="標楷體" w:eastAsia="標楷體" w:hAnsi="標楷體" w:hint="eastAsia"/>
          <w:color w:val="000000"/>
        </w:rPr>
        <w:t>(含血管內注射、肌肉內注射、皮下注射等)</w:t>
      </w:r>
      <w:r>
        <w:rPr>
          <w:rFonts w:ascii="標楷體" w:eastAsia="標楷體" w:hAnsi="標楷體"/>
          <w:color w:val="000000"/>
        </w:rPr>
        <w:t>之全身性化學藥物治療的CD30+皮膚T細胞淋巴瘤(CTCL)成人病人，病人須診斷為蕈狀肉芽腫 (MF，第ⅡB期或以上)、Sezary症候群(SS)或原發性皮膚退行分化型大細胞淋巴瘤（pcALCL），且CD30需於超過10%的腫瘤細胞呈現陽性。（111/2/1</w:t>
      </w:r>
      <w:r>
        <w:rPr>
          <w:rFonts w:ascii="標楷體" w:eastAsia="標楷體" w:hAnsi="標楷體" w:hint="eastAsia"/>
          <w:color w:val="000000"/>
        </w:rPr>
        <w:t>、114/12/1</w:t>
      </w:r>
      <w:r>
        <w:rPr>
          <w:rFonts w:ascii="標楷體" w:eastAsia="標楷體" w:hAnsi="標楷體"/>
          <w:color w:val="000000"/>
        </w:rPr>
        <w:t>）</w:t>
      </w:r>
    </w:p>
    <w:p w:rsidR="00B96EA0" w:rsidRDefault="008B0582" w:rsidP="008B0582">
      <w:pPr>
        <w:tabs>
          <w:tab w:val="left" w:pos="1134"/>
          <w:tab w:val="left" w:pos="1418"/>
        </w:tabs>
        <w:spacing w:line="400" w:lineRule="exact"/>
        <w:ind w:left="1134" w:hanging="370"/>
        <w:rPr>
          <w:rFonts w:ascii="標楷體" w:eastAsia="標楷體" w:hAnsi="標楷體"/>
          <w:color w:val="000000"/>
        </w:rPr>
      </w:pPr>
      <w:r>
        <w:rPr>
          <w:rFonts w:ascii="標楷體" w:eastAsia="標楷體" w:hAnsi="標楷體"/>
          <w:color w:val="000000"/>
        </w:rPr>
        <w:t>(2)須經事前審查核准後使用，首次申請療程以4個療程為限，再申請應檢附前次治療結果評估資料。若病人病情已達完全緩解，得再給付2個療程；若病情惡化即須停止使用。健保給付以6個療程為上限。（111/2/1）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9.57.Clofarabine（如Evoltra）：（106/1/1、109/12/1）</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1.使用於先前接受至少兩種化療療程(如TPOG之療程表)治療無效或已復發第二次或以上之急性淋巴母細胞白血病(acute lymphoblastic leukemia)病，且計畫進行造血幹細胞移植的病人(限21歲以下)，每位病人限給付一療程。</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2.須事前審查核准後使用，申請時須檢附完整之造血幹細胞移植計畫，並詳細記載確認捐贈者名單、確認移植之執行醫院及移植前調適治療等資料。</w:t>
      </w:r>
    </w:p>
    <w:p w:rsidR="00B96EA0" w:rsidRDefault="007D66B8" w:rsidP="005142EB">
      <w:pPr>
        <w:tabs>
          <w:tab w:val="left" w:pos="1418"/>
        </w:tabs>
        <w:spacing w:line="400" w:lineRule="exact"/>
        <w:ind w:left="849" w:hanging="283"/>
        <w:rPr>
          <w:rFonts w:ascii="標楷體" w:eastAsia="標楷體" w:hAnsi="標楷體"/>
          <w:color w:val="000000"/>
        </w:rPr>
      </w:pPr>
      <w:r>
        <w:rPr>
          <w:rFonts w:ascii="標楷體" w:eastAsia="標楷體" w:hAnsi="標楷體"/>
          <w:color w:val="000000"/>
        </w:rPr>
        <w:t>3.不得與blinatumomab併用。（109/12/1）</w:t>
      </w:r>
    </w:p>
    <w:p w:rsidR="00B96EA0" w:rsidRDefault="007D66B8" w:rsidP="005142EB">
      <w:pPr>
        <w:tabs>
          <w:tab w:val="left" w:pos="1418"/>
        </w:tabs>
        <w:spacing w:line="400" w:lineRule="exact"/>
        <w:ind w:left="849" w:hanging="566"/>
      </w:pPr>
      <w:r>
        <w:rPr>
          <w:rFonts w:ascii="標楷體" w:eastAsia="標楷體" w:hAnsi="標楷體"/>
          <w:color w:val="000000"/>
        </w:rPr>
        <w:t>9.58.Axitinib(如Inlyta)</w:t>
      </w:r>
      <w:r>
        <w:rPr>
          <w:rFonts w:ascii="新細明體" w:hAnsi="新細明體"/>
          <w:color w:val="000000"/>
        </w:rPr>
        <w:t>：</w:t>
      </w:r>
      <w:r>
        <w:rPr>
          <w:rFonts w:ascii="標楷體" w:eastAsia="標楷體" w:hAnsi="標楷體"/>
          <w:color w:val="000000"/>
        </w:rPr>
        <w:t>（106/1/1、108/12/1）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1.治療已接受過sunitinib或cytokine治療失敗的晚期腎細胞癌病患。</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2.無效後則不給付temsirolimus。(108/12/1)</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3.需經事前審查核准後使用，每次申請之療程以3個月為限，送審時需檢送影像資料，每3個月評估一次。</w:t>
      </w:r>
    </w:p>
    <w:p w:rsidR="00B96EA0" w:rsidRDefault="007D66B8" w:rsidP="005142EB">
      <w:pPr>
        <w:tabs>
          <w:tab w:val="left" w:pos="1418"/>
        </w:tabs>
        <w:spacing w:line="400" w:lineRule="exact"/>
        <w:ind w:left="567" w:hanging="245"/>
      </w:pPr>
      <w:r>
        <w:rPr>
          <w:rFonts w:ascii="標楷體" w:eastAsia="標楷體" w:hAnsi="標楷體"/>
        </w:rPr>
        <w:t>9.59.Ceritinib(如Zykadia)：(106/9/1、106/11/1、108/7/1、108/12/1、111/2/1、111/8/1、112/11/1、113/6/1)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適用於ALK陽性之晚期非小細胞肺癌第一線治療。(108/7/1、111/8/1)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2"/>
        </w:numPr>
        <w:suppressAutoHyphens w:val="0"/>
        <w:spacing w:line="400" w:lineRule="exact"/>
        <w:ind w:left="991"/>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(108/12/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Ceritinib與crizotinib、alectinib、brigatinib、lorlatinib用於ALK陽性之晚期非小細胞肺癌第一線治療時，僅得擇一使用，除因病人使用後，發生嚴重不良</w:t>
      </w:r>
      <w:r>
        <w:rPr>
          <w:rFonts w:ascii="標楷體" w:eastAsia="標楷體" w:hAnsi="標楷體"/>
        </w:rPr>
        <w:lastRenderedPageBreak/>
        <w:t>反應或耐受不良之情形外，不得互換。(108/7/1、108/12/1、111/8/1、112/11/1)</w:t>
      </w:r>
    </w:p>
    <w:p w:rsidR="00B96EA0" w:rsidRDefault="007D66B8" w:rsidP="005142EB">
      <w:pPr>
        <w:pStyle w:val="a9"/>
        <w:numPr>
          <w:ilvl w:val="0"/>
          <w:numId w:val="2"/>
        </w:numPr>
        <w:suppressAutoHyphens w:val="0"/>
        <w:spacing w:line="400" w:lineRule="exact"/>
        <w:ind w:left="991"/>
        <w:textAlignment w:val="auto"/>
        <w:rPr>
          <w:rFonts w:ascii="標楷體" w:eastAsia="標楷體" w:hAnsi="標楷體"/>
        </w:rPr>
      </w:pPr>
      <w:r>
        <w:rPr>
          <w:rFonts w:ascii="標楷體" w:eastAsia="標楷體" w:hAnsi="標楷體"/>
        </w:rPr>
        <w:t>每日最大劑量限450mg。(108/7/1)</w:t>
      </w:r>
    </w:p>
    <w:p w:rsidR="00B96EA0" w:rsidRDefault="007D66B8" w:rsidP="005142EB">
      <w:pPr>
        <w:pStyle w:val="a9"/>
        <w:suppressAutoHyphens w:val="0"/>
        <w:spacing w:line="400" w:lineRule="exact"/>
        <w:ind w:left="283"/>
        <w:textAlignment w:val="auto"/>
        <w:rPr>
          <w:rFonts w:ascii="標楷體" w:eastAsia="標楷體" w:hAnsi="標楷體"/>
        </w:rPr>
      </w:pPr>
      <w:r>
        <w:rPr>
          <w:rFonts w:ascii="標楷體" w:eastAsia="標楷體" w:hAnsi="標楷體"/>
        </w:rPr>
        <w:t>9.60.Alectinib(如Alecensa)：(106/11/1、108/12/1、111/2/1、111/8/1、112/11/1、113/6/1)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適用於ALK陽性之晚期非小細胞肺癌第一線治療。(108/12/1、111/8/1)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須經事前審查核准後使用:</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每次申請事前審查之療程以三個月為限，每三個月需再次申請。</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初次申請時需檢具確實患有非小細胞肺癌之病理或細胞檢查報告及ALK突變檢測報告，且需符合全民健康保險藥品給付規定之通則十二。(108/12/1、111/2/1、113/6/1)</w:t>
      </w:r>
    </w:p>
    <w:p w:rsidR="00B96EA0" w:rsidRDefault="007D66B8" w:rsidP="005142EB">
      <w:pPr>
        <w:pStyle w:val="a9"/>
        <w:numPr>
          <w:ilvl w:val="1"/>
          <w:numId w:val="3"/>
        </w:numPr>
        <w:suppressAutoHyphens w:val="0"/>
        <w:spacing w:line="400" w:lineRule="exact"/>
        <w:ind w:left="1068"/>
        <w:textAlignment w:val="auto"/>
        <w:rPr>
          <w:rFonts w:ascii="標楷體" w:eastAsia="標楷體" w:hAnsi="標楷體"/>
        </w:rPr>
      </w:pPr>
      <w:r>
        <w:rPr>
          <w:rFonts w:ascii="標楷體" w:eastAsia="標楷體" w:hAnsi="標楷體"/>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Alectinib與ceritinib、crizotinib、brigatinib、lorlatinib用於ALK陽性之晚期非小細胞肺癌第一線治療時，僅得擇一使用，除因病人使用後，發生嚴重不良反應或耐受不良之情形外，不得互換。(108/12/1、111/8/1、112/11/1)</w:t>
      </w:r>
    </w:p>
    <w:p w:rsidR="00B96EA0" w:rsidRDefault="007D66B8" w:rsidP="005142EB">
      <w:pPr>
        <w:pStyle w:val="a9"/>
        <w:numPr>
          <w:ilvl w:val="0"/>
          <w:numId w:val="3"/>
        </w:numPr>
        <w:suppressAutoHyphens w:val="0"/>
        <w:spacing w:line="400" w:lineRule="exact"/>
        <w:ind w:left="884" w:hanging="284"/>
        <w:textAlignment w:val="auto"/>
        <w:rPr>
          <w:rFonts w:ascii="標楷體" w:eastAsia="標楷體" w:hAnsi="標楷體"/>
        </w:rPr>
      </w:pPr>
      <w:r>
        <w:rPr>
          <w:rFonts w:ascii="標楷體" w:eastAsia="標楷體" w:hAnsi="標楷體"/>
        </w:rPr>
        <w:t>每日最大劑量限1200mg。(108/12/1)</w:t>
      </w:r>
    </w:p>
    <w:p w:rsidR="004C3CC5" w:rsidRPr="004C3CC5" w:rsidRDefault="004C3CC5" w:rsidP="00DD360F">
      <w:pPr>
        <w:tabs>
          <w:tab w:val="left" w:pos="1418"/>
        </w:tabs>
        <w:spacing w:line="400" w:lineRule="exact"/>
        <w:ind w:left="709" w:hanging="339"/>
        <w:rPr>
          <w:rFonts w:ascii="標楷體" w:eastAsia="標楷體" w:hAnsi="標楷體"/>
          <w:color w:val="000000"/>
        </w:rPr>
      </w:pPr>
      <w:bookmarkStart w:id="14" w:name="_Hlk209189883"/>
      <w:r w:rsidRPr="004C3CC5">
        <w:rPr>
          <w:rFonts w:ascii="標楷體" w:eastAsia="標楷體" w:hAnsi="標楷體" w:hint="eastAsia"/>
          <w:color w:val="000000"/>
        </w:rPr>
        <w:t>9.61.Ibrutinib(如Imbruvica)：(106/11/1、108/9/1、111/1/1、112/7/1、112/12/1、113/2/1、114/10/1)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1. 單獨使用於先前接受過至少一種化學或標靶治療方式無效或復發的被套細胞淋巴瘤成年病人。（106/11/1、112/7/1、112/12/1)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(1)需經事前審查核准後使用。首次申請事前審查之療程以4個月為限，之後每3個月需再次申請，再次申請時應檢附前次治療結果評估資料，如影像學檢查報告。</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 xml:space="preserve">(2) 若疾病進展，則必須停止使用。（106/11/1、112/7/1) </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(3)每位病人限給付20個月。(111/1/1)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(4)每日至多處方4粒。(108/9/1)</w:t>
      </w:r>
    </w:p>
    <w:p w:rsidR="004C3CC5" w:rsidRPr="004C3CC5" w:rsidRDefault="004C3CC5" w:rsidP="00DD360F">
      <w:pPr>
        <w:tabs>
          <w:tab w:val="left" w:pos="1418"/>
        </w:tabs>
        <w:spacing w:line="400" w:lineRule="exact"/>
        <w:ind w:left="1134" w:hanging="339"/>
        <w:rPr>
          <w:rFonts w:ascii="標楷體" w:eastAsia="標楷體" w:hAnsi="標楷體"/>
          <w:color w:val="000000"/>
        </w:rPr>
      </w:pPr>
      <w:r w:rsidRPr="004C3CC5">
        <w:rPr>
          <w:rFonts w:ascii="標楷體" w:eastAsia="標楷體" w:hAnsi="標楷體" w:hint="eastAsia"/>
          <w:color w:val="000000"/>
        </w:rPr>
        <w:t>(5)zanubrutinib、ibrutinib和acalabrutinib僅能擇一使用，唯有在出現無法忍受其副作用時方可互換。三者使用總療程合併計算，以全部20個月為上限。（112/7/1、112/12/1）</w:t>
      </w:r>
    </w:p>
    <w:p w:rsidR="004C3CC5" w:rsidRPr="004C3CC5" w:rsidRDefault="004C3CC5" w:rsidP="00DD360F">
      <w:pPr>
        <w:tabs>
          <w:tab w:val="left" w:pos="1418"/>
        </w:tabs>
        <w:spacing w:line="400" w:lineRule="exact"/>
        <w:ind w:left="993" w:hanging="339"/>
        <w:rPr>
          <w:rFonts w:ascii="標楷體" w:eastAsia="標楷體" w:hAnsi="標楷體"/>
          <w:color w:val="000000"/>
        </w:rPr>
      </w:pPr>
      <w:r w:rsidRPr="004C3CC5">
        <w:rPr>
          <w:rFonts w:ascii="標楷體" w:eastAsia="標楷體" w:hAnsi="標楷體" w:hint="eastAsia"/>
          <w:color w:val="000000"/>
        </w:rPr>
        <w:t>2.單獨使用於具有17p 缺失的慢性淋巴球性白血病(CLL) 成年患者。(108/9/1、112/7/1、113/2/1、114/10/1)</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(1)開始使用前之疾病狀態需出現下列任一情形：</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w:t>
      </w:r>
      <w:r w:rsidRPr="004C3CC5">
        <w:rPr>
          <w:rFonts w:ascii="標楷體" w:eastAsia="標楷體" w:hAnsi="標楷體" w:hint="eastAsia"/>
          <w:color w:val="000000"/>
        </w:rPr>
        <w:tab/>
        <w:t>進行性的血液相惡化至Hb &lt; 10.0 gm/dL或PLT &lt; 100 K/uL，且無其他原因可以解釋。</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II.脾臟腫大超過左肋骨下緣6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lastRenderedPageBreak/>
        <w:t>III.淋巴結腫大，最長徑超過10 cm。</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IV.周邊血液淋巴球在2個月內增加 50%以上，或倍增時間(doubling time)小於6個月。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w:t>
      </w:r>
      <w:r w:rsidRPr="004C3CC5">
        <w:rPr>
          <w:rFonts w:ascii="標楷體" w:eastAsia="標楷體" w:hAnsi="標楷體" w:hint="eastAsia"/>
          <w:color w:val="000000"/>
        </w:rPr>
        <w:tab/>
        <w:t>出現自體免疫併發症，且經類固醇治療無效。</w:t>
      </w:r>
    </w:p>
    <w:p w:rsidR="004C3CC5" w:rsidRPr="004C3CC5" w:rsidRDefault="004C3CC5" w:rsidP="00DD360F">
      <w:pPr>
        <w:tabs>
          <w:tab w:val="left" w:pos="1418"/>
        </w:tabs>
        <w:spacing w:line="400" w:lineRule="exact"/>
        <w:ind w:leftChars="473" w:left="1416" w:hangingChars="117" w:hanging="281"/>
        <w:rPr>
          <w:rFonts w:ascii="標楷體" w:eastAsia="標楷體" w:hAnsi="標楷體"/>
          <w:color w:val="000000"/>
        </w:rPr>
      </w:pPr>
      <w:r w:rsidRPr="004C3CC5">
        <w:rPr>
          <w:rFonts w:ascii="標楷體" w:eastAsia="標楷體" w:hAnsi="標楷體" w:hint="eastAsia"/>
          <w:color w:val="000000"/>
        </w:rPr>
        <w:t>VI.出現具症狀的淋巴結外病灶。</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(2)需經事前審查核准後使用，每3個月需再次申請。再次申請時需檢附療效評估資料，若未達iwCLL (International Workshop on CLL)最新定義之partial remission或complete remission，則不予給付。</w:t>
      </w:r>
    </w:p>
    <w:p w:rsidR="004C3CC5" w:rsidRPr="004C3CC5"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(3)在具有17p缺失病人，ibrutinib、acalabrutinib、venetoclax與zanubrutinib四者僅能擇一使用，唯有在出現無法忍受其副作用時方可互換。三者使用總療程合併計算，以全部24個月為上限。（108/9/1、112/7/1、114/10/1）</w:t>
      </w:r>
    </w:p>
    <w:p w:rsidR="00B96EA0" w:rsidRDefault="004C3CC5" w:rsidP="004C3CC5">
      <w:pPr>
        <w:tabs>
          <w:tab w:val="left" w:pos="1418"/>
        </w:tabs>
        <w:spacing w:line="400" w:lineRule="exact"/>
        <w:ind w:left="1190" w:hanging="339"/>
        <w:rPr>
          <w:rFonts w:ascii="標楷體" w:eastAsia="標楷體" w:hAnsi="標楷體"/>
          <w:color w:val="000000"/>
        </w:rPr>
      </w:pPr>
      <w:r w:rsidRPr="004C3CC5">
        <w:rPr>
          <w:rFonts w:ascii="標楷體" w:eastAsia="標楷體" w:hAnsi="標楷體" w:hint="eastAsia"/>
          <w:color w:val="000000"/>
        </w:rPr>
        <w:t>(4)每日至多處方3粒。</w:t>
      </w:r>
      <w:bookmarkEnd w:id="14"/>
    </w:p>
    <w:p w:rsidR="00B96EA0" w:rsidRDefault="007D66B8" w:rsidP="005142EB">
      <w:pPr>
        <w:tabs>
          <w:tab w:val="left" w:pos="1418"/>
        </w:tabs>
        <w:spacing w:line="400" w:lineRule="exact"/>
        <w:ind w:left="895" w:hanging="612"/>
      </w:pPr>
      <w:r>
        <w:rPr>
          <w:rFonts w:ascii="標楷體" w:eastAsia="標楷體" w:hAnsi="標楷體"/>
          <w:color w:val="000000"/>
        </w:rPr>
        <w:t>9.62.</w:t>
      </w:r>
      <w:r>
        <w:t xml:space="preserve"> </w:t>
      </w:r>
      <w:r>
        <w:rPr>
          <w:rFonts w:ascii="標楷體" w:eastAsia="標楷體" w:hAnsi="標楷體"/>
          <w:color w:val="000000"/>
        </w:rPr>
        <w:t>Pomalidomide(如Pomalyst):(107/1/1、109/2/1、112/4/1、113/9/1)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1.與dexamethasone合併使用，核准用於多發性骨髓瘤病人，且先前接受過含lenalidomide和bortezomib在內的至少兩種療法，且確認完成前次治療時或結束治療後六十天內發生疾病惡化(disease progression)。</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2.限與elotuzumab及dexamethasone併用，治療之前曾接受過至少兩種療法（包括lenalidomide和蛋白酶體抑制劑）的多發性骨髓瘤成年病人。（113/9/1）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3.需經事前審查核准後使用：（107/1/1、112/4/1）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(1)初次申請以3個療程為限，且需同時符合下列Ⅰ.與Ⅱ.的條件：（112/4/1）</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Ⅰ.具有下列任一疾病惡化的指標： 病人開始治療前須在連續2次評估中均符合同一指標 (但若為plamacytoma 體積增加，或是新產生的bone lesion(s)或新plasmacytoma，則僅需1次評估)：（112/4/1）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.Urine M-protein需增加≧0.2 gm/24Hr，且需較前一線治療中的最低值增加≧25%。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iii.在non-secretary myeloma 病人，骨髓漿細胞 (plasma cells)之比例絕對值增加≧10%，且需較前一線治療中的最低值增加≧25%。</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tabs>
          <w:tab w:val="left" w:pos="1418"/>
        </w:tabs>
        <w:spacing w:line="400" w:lineRule="exact"/>
        <w:ind w:left="1291" w:hanging="245"/>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tabs>
          <w:tab w:val="left" w:pos="1418"/>
        </w:tabs>
        <w:spacing w:line="400" w:lineRule="exact"/>
        <w:ind w:left="1291" w:hanging="245"/>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lastRenderedPageBreak/>
        <w:t>iii.高血鈣(corrected serum calcium＞11.0 mg/dL 或 2.75 mmol/L)。</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cell為療效依據，證明為對藥物有反應或為穩定狀態，方可繼續使用。續用時的申請以3個療程為限。疾病若發生惡化情形應即停止使用。（107/1/1、112/4/1）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4.每人終生以10個療程為上限，Pomado則每人以6個療程為上限。（107/1/1、112/4/1、113/9/1）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5.不得與其他蛋白酶體抑制劑(proteasome inhibitor)或免疫調節劑(immunomodulatory drugs)併用。 (109/2/1、112/4/1)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6.112年3月31日以前已核定用藥之病人，得經事前審查核准後，使用至總療程上限（即終生10個療程，Pomado則每人6個療程）或使用期間發生疾病惡化為止。（112/4/1、113/9/1）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7.每日最多處方1粒(113/9/1)</w:t>
      </w:r>
    </w:p>
    <w:p w:rsidR="00B96EA0" w:rsidRDefault="007D66B8" w:rsidP="005142EB">
      <w:pPr>
        <w:tabs>
          <w:tab w:val="left" w:pos="1418"/>
        </w:tabs>
        <w:spacing w:line="400" w:lineRule="exact"/>
        <w:ind w:left="567" w:hanging="283"/>
      </w:pPr>
      <w:r>
        <w:rPr>
          <w:rFonts w:ascii="標楷體" w:eastAsia="標楷體" w:hAnsi="標楷體"/>
          <w:color w:val="000000"/>
        </w:rPr>
        <w:t>9.63.</w:t>
      </w:r>
      <w:r>
        <w:t xml:space="preserve"> </w:t>
      </w:r>
      <w:r>
        <w:rPr>
          <w:rFonts w:ascii="標楷體" w:eastAsia="標楷體" w:hAnsi="標楷體"/>
          <w:color w:val="000000"/>
        </w:rPr>
        <w:t>Lenvatinib(如Lenvima)：(107/7/1、109/1/1、109/8/1、112/8/1、114/2/1、114/6/1)</w:t>
      </w:r>
      <w:r>
        <w:rPr>
          <w:rFonts w:ascii="標楷體" w:eastAsia="標楷體" w:hAnsi="標楷體"/>
          <w:color w:val="000000"/>
        </w:rPr>
        <w:br/>
        <w:t>1.用於放射性碘治療無效之局部晚期或轉移性的進行性(progressive)分化型甲狀腺癌(RAI-RDTC)：</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(1)需經事前審查核准後使用，每次申請之療程以3個月為限，送審時需檢送影像資料，每3個月評估一次。</w:t>
      </w:r>
    </w:p>
    <w:p w:rsidR="00B96EA0" w:rsidRDefault="007D66B8" w:rsidP="005142EB">
      <w:pPr>
        <w:tabs>
          <w:tab w:val="left" w:pos="1418"/>
        </w:tabs>
        <w:spacing w:line="400" w:lineRule="exact"/>
        <w:ind w:left="850"/>
        <w:rPr>
          <w:rFonts w:ascii="標楷體" w:eastAsia="標楷體" w:hAnsi="標楷體"/>
          <w:color w:val="000000"/>
        </w:rPr>
      </w:pPr>
      <w:r>
        <w:rPr>
          <w:rFonts w:ascii="標楷體" w:eastAsia="標楷體" w:hAnsi="標楷體"/>
          <w:color w:val="000000"/>
        </w:rPr>
        <w:t>(2)Lenvatinib與sorafenib不得合併使用。(109/8/1)</w:t>
      </w:r>
    </w:p>
    <w:p w:rsidR="00B96EA0" w:rsidRDefault="007D66B8" w:rsidP="005142EB">
      <w:pPr>
        <w:tabs>
          <w:tab w:val="left" w:pos="1418"/>
        </w:tabs>
        <w:spacing w:line="400" w:lineRule="exact"/>
        <w:ind w:left="610"/>
        <w:rPr>
          <w:rFonts w:ascii="標楷體" w:eastAsia="標楷體" w:hAnsi="標楷體"/>
          <w:color w:val="000000"/>
        </w:rPr>
      </w:pPr>
      <w:r>
        <w:rPr>
          <w:rFonts w:ascii="標楷體" w:eastAsia="標楷體" w:hAnsi="標楷體"/>
          <w:color w:val="000000"/>
        </w:rPr>
        <w:t>2.晚期肝細胞癌部分：(109/1/1、109/8/1、112/8/1、114/2/1、114/6/1)</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(1)轉移性或無法手術切除且不適合局部治療或局部治療失敗之Child-Pugh A class晚期肝細胞癌成人患者，並符合下列條件之一：</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I.肝外轉移（遠端轉移或肝外淋巴結侵犯）。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II.大血管侵犯（腫瘤侵犯主門靜脈或侵犯左/右靜脈第一或第二分支）。</w:t>
      </w:r>
    </w:p>
    <w:p w:rsidR="00B96EA0" w:rsidRDefault="007D66B8" w:rsidP="005142EB">
      <w:pPr>
        <w:tabs>
          <w:tab w:val="left" w:pos="1418"/>
        </w:tabs>
        <w:spacing w:line="400" w:lineRule="exact"/>
        <w:ind w:left="1560" w:hanging="468"/>
        <w:rPr>
          <w:rFonts w:ascii="標楷體" w:eastAsia="標楷體" w:hAnsi="標楷體"/>
          <w:color w:val="000000"/>
        </w:rPr>
      </w:pPr>
      <w:r>
        <w:rPr>
          <w:rFonts w:ascii="標楷體" w:eastAsia="標楷體" w:hAnsi="標楷體"/>
          <w:color w:val="000000"/>
        </w:rPr>
        <w:t>III.經導管動脈化學藥物栓塞治療（Transcatheter arterial chemo embolization, T.A.C.E.）失敗者，需提供患者於12個月內&gt;=3次局部治療之記錄。</w:t>
      </w:r>
    </w:p>
    <w:p w:rsidR="00B96EA0" w:rsidRDefault="007D66B8" w:rsidP="005142EB">
      <w:pPr>
        <w:tabs>
          <w:tab w:val="left" w:pos="1418"/>
        </w:tabs>
        <w:spacing w:line="400" w:lineRule="exact"/>
        <w:ind w:left="1416" w:hanging="425"/>
        <w:rPr>
          <w:rFonts w:ascii="標楷體" w:eastAsia="標楷體" w:hAnsi="標楷體"/>
          <w:color w:val="000000"/>
        </w:rPr>
      </w:pPr>
      <w:r>
        <w:rPr>
          <w:rFonts w:ascii="標楷體" w:eastAsia="標楷體" w:hAnsi="標楷體"/>
          <w:color w:val="000000"/>
        </w:rPr>
        <w:t>(2)需經事前審查核准後使用，初次申請之療程以3個月為限，之後每3個月評估一次。送審時需檢送影像資料，無疾病惡化方可繼續使用。(109/1/1、114/6/1)</w:t>
      </w:r>
    </w:p>
    <w:p w:rsidR="00B96EA0" w:rsidRDefault="007D66B8" w:rsidP="005142EB">
      <w:pPr>
        <w:tabs>
          <w:tab w:val="left" w:pos="1418"/>
        </w:tabs>
        <w:spacing w:line="400" w:lineRule="exact"/>
        <w:ind w:left="1276" w:hanging="283"/>
        <w:rPr>
          <w:rFonts w:ascii="標楷體" w:eastAsia="標楷體" w:hAnsi="標楷體"/>
          <w:color w:val="000000"/>
        </w:rPr>
      </w:pPr>
      <w:r>
        <w:rPr>
          <w:rFonts w:ascii="標楷體" w:eastAsia="標楷體" w:hAnsi="標楷體"/>
          <w:color w:val="000000"/>
        </w:rPr>
        <w:t>(3)Lenvatinib、sorafenib、atezolizumab併用bevacizumab、tremelimumab併用durvalumab僅得擇一給付，不得互換；且lenvatinib治療失敗後，不得申請使用regorafenib或ramucirumab。(109/1/1、109/8/1、112/8/1、114/2/1)</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lastRenderedPageBreak/>
        <w:t>9.64.Blinatumomab(如Blincyto)：(107/9/1、109/12/1、112/12/1)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適用於治療先前接受至少兩種化療療程(如TPOG之療程表)治療無效或已復發第二次或以上費城染色體陰性復發型或頑固型B細胞前驅因子之急性淋巴芽細胞白血病之(Ph(-) Relapse/Refractory B-cell precursor Acute Lymphoblastic Leukemia；Ph(-) B-cell precursor R/R ALL)成人病人，且計畫進行造血幹細胞移植的病人，每位病人限給付2療程。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2.用於復發型或頑固型B細胞前驅細胞之急性淋巴芽細胞白血病之未滿18歲兒童病人，且計畫進行造血幹細胞移植的病人，每位病人限給付2療程，不得與clofarabine併用。（109/12/1）</w:t>
      </w:r>
    </w:p>
    <w:p w:rsidR="00B96EA0" w:rsidRDefault="007D66B8" w:rsidP="005142EB">
      <w:pPr>
        <w:spacing w:line="400" w:lineRule="exact"/>
        <w:ind w:left="720" w:hanging="480"/>
      </w:pPr>
      <w:r>
        <w:rPr>
          <w:rFonts w:ascii="標楷體" w:eastAsia="標楷體" w:hAnsi="標楷體"/>
          <w:szCs w:val="24"/>
        </w:rPr>
        <w:t xml:space="preserve">   3.用於治療</w:t>
      </w:r>
      <w:r>
        <w:rPr>
          <w:rFonts w:ascii="標楷體" w:eastAsia="標楷體" w:hAnsi="標楷體"/>
          <w:bCs/>
          <w:szCs w:val="24"/>
        </w:rPr>
        <w:t>微量殘留病灶(MRD)陽性B細胞前驅細胞之急性淋巴芽細胞白血病：(112/12/1)</w:t>
      </w:r>
    </w:p>
    <w:p w:rsidR="00B96EA0" w:rsidRDefault="007D66B8" w:rsidP="005142EB">
      <w:pPr>
        <w:spacing w:line="400" w:lineRule="exact"/>
        <w:ind w:left="950" w:hanging="230"/>
        <w:rPr>
          <w:rFonts w:ascii="標楷體" w:eastAsia="標楷體" w:hAnsi="標楷體"/>
          <w:szCs w:val="24"/>
        </w:rPr>
      </w:pPr>
      <w:r>
        <w:rPr>
          <w:rFonts w:ascii="標楷體" w:eastAsia="標楷體" w:hAnsi="標楷體"/>
          <w:szCs w:val="24"/>
        </w:rPr>
        <w:t>(1)符合以下任一條件：</w:t>
      </w:r>
    </w:p>
    <w:p w:rsidR="00B96EA0" w:rsidRDefault="007D66B8" w:rsidP="005142EB">
      <w:pPr>
        <w:spacing w:line="400" w:lineRule="exact"/>
        <w:ind w:left="1190" w:hanging="230"/>
      </w:pPr>
      <w:r>
        <w:rPr>
          <w:rFonts w:ascii="標楷體" w:eastAsia="標楷體" w:hAnsi="標楷體"/>
          <w:szCs w:val="24"/>
        </w:rPr>
        <w:t>I.初次治療B細胞前驅細胞之急性淋巴芽細胞白血病成人病人，接受過至少三次高強度化學治療療程後，達第一次完全緩解，但仍有大於或等於0.1%微量殘留病灶，且計畫進行造血幹細胞移植，需附上至少三次微量殘留病灶檢驗報告。</w:t>
      </w:r>
    </w:p>
    <w:p w:rsidR="00B96EA0" w:rsidRDefault="007D66B8" w:rsidP="005142EB">
      <w:pPr>
        <w:spacing w:line="400" w:lineRule="exact"/>
        <w:ind w:left="1337" w:hanging="377"/>
      </w:pPr>
      <w:r>
        <w:rPr>
          <w:rFonts w:ascii="標楷體" w:eastAsia="標楷體" w:hAnsi="標楷體"/>
          <w:szCs w:val="24"/>
        </w:rPr>
        <w:t>II.第一線治療無效，經第二線治療達到第一次完全緩解之成人病人，但仍有大於或等於0.1%微量殘留病灶，且計劃進行造血幹細胞移植。需附上一次治療無效(骨髓或周邊血芽細胞大於5%)之檢驗報告，及一次經化學治療後微量殘留病灶檢驗報告。</w:t>
      </w:r>
    </w:p>
    <w:p w:rsidR="00B96EA0" w:rsidRDefault="007D66B8" w:rsidP="005142EB">
      <w:pPr>
        <w:spacing w:line="400" w:lineRule="exact"/>
        <w:ind w:left="1073" w:hanging="353"/>
      </w:pPr>
      <w:r>
        <w:rPr>
          <w:rFonts w:ascii="標楷體" w:eastAsia="標楷體" w:hAnsi="標楷體"/>
          <w:szCs w:val="24"/>
        </w:rPr>
        <w:t>(2)需為</w:t>
      </w:r>
      <w:r>
        <w:rPr>
          <w:rFonts w:ascii="標楷體" w:eastAsia="標楷體" w:hAnsi="標楷體"/>
          <w:bCs/>
          <w:szCs w:val="24"/>
        </w:rPr>
        <w:t>計畫進行造血幹細胞移植者</w:t>
      </w:r>
      <w:r>
        <w:rPr>
          <w:rFonts w:ascii="標楷體" w:eastAsia="標楷體" w:hAnsi="標楷體"/>
          <w:szCs w:val="24"/>
        </w:rPr>
        <w:t>。</w:t>
      </w:r>
    </w:p>
    <w:p w:rsidR="00B96EA0" w:rsidRDefault="007D66B8" w:rsidP="005142EB">
      <w:pPr>
        <w:spacing w:line="400" w:lineRule="exact"/>
        <w:ind w:left="1073" w:hanging="353"/>
      </w:pPr>
      <w:r>
        <w:rPr>
          <w:rFonts w:ascii="標楷體" w:eastAsia="標楷體" w:hAnsi="標楷體"/>
          <w:bCs/>
          <w:szCs w:val="24"/>
        </w:rPr>
        <w:t>(3)</w:t>
      </w:r>
      <w:r>
        <w:rPr>
          <w:rFonts w:ascii="標楷體" w:eastAsia="標楷體" w:hAnsi="標楷體"/>
          <w:szCs w:val="24"/>
        </w:rPr>
        <w:t>偵測微量殘留病灶之檢測，其敏感度需達10</w:t>
      </w:r>
      <w:r>
        <w:rPr>
          <w:rFonts w:ascii="標楷體" w:eastAsia="標楷體" w:hAnsi="標楷體"/>
          <w:szCs w:val="24"/>
          <w:vertAlign w:val="superscript"/>
        </w:rPr>
        <w:t>-3</w:t>
      </w:r>
      <w:r>
        <w:rPr>
          <w:rFonts w:ascii="標楷體" w:eastAsia="標楷體" w:hAnsi="標楷體"/>
          <w:szCs w:val="24"/>
        </w:rPr>
        <w:t>(0.1%)，可用qPCR (real-time quantitative polymerase chain reaction)，或八色流式細胞儀（8-color multiparameter flow cytometry）檢查。</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(4)不得與酪胺酸激酶抑制劑(TKI)（如imatinib、dasatinib、nilotinib、ponatinib）等併用。</w:t>
      </w:r>
    </w:p>
    <w:p w:rsidR="00B96EA0" w:rsidRDefault="007D66B8" w:rsidP="005142EB">
      <w:pPr>
        <w:spacing w:line="400" w:lineRule="exact"/>
        <w:ind w:left="1073" w:hanging="353"/>
        <w:rPr>
          <w:rFonts w:ascii="標楷體" w:eastAsia="標楷體" w:hAnsi="標楷體"/>
          <w:szCs w:val="24"/>
        </w:rPr>
      </w:pPr>
      <w:r>
        <w:rPr>
          <w:rFonts w:ascii="標楷體" w:eastAsia="標楷體" w:hAnsi="標楷體"/>
          <w:szCs w:val="24"/>
        </w:rPr>
        <w:t>(5)若使用blinatumomab後，MRD若未消失但疾病仍在完全緩解時，不得申請給付inotuzumab ozogamicin。</w:t>
      </w:r>
    </w:p>
    <w:p w:rsidR="00B96EA0" w:rsidRDefault="007D66B8" w:rsidP="005142EB">
      <w:pPr>
        <w:spacing w:line="400" w:lineRule="exact"/>
        <w:ind w:left="1073" w:hanging="353"/>
      </w:pPr>
      <w:r>
        <w:rPr>
          <w:rFonts w:ascii="標楷體" w:eastAsia="標楷體" w:hAnsi="標楷體"/>
          <w:szCs w:val="24"/>
        </w:rPr>
        <w:t>(6)每位病人限給付2療程</w:t>
      </w:r>
      <w:r>
        <w:rPr>
          <w:rFonts w:ascii="新細明體" w:hAnsi="新細明體"/>
          <w:szCs w:val="24"/>
        </w:rPr>
        <w:t>（</w:t>
      </w:r>
      <w:r>
        <w:rPr>
          <w:rFonts w:ascii="標楷體" w:eastAsia="標楷體" w:hAnsi="標楷體"/>
          <w:szCs w:val="24"/>
        </w:rPr>
        <w:t>56支</w:t>
      </w:r>
      <w:r>
        <w:rPr>
          <w:rFonts w:ascii="新細明體" w:hAnsi="新細明體"/>
          <w:szCs w:val="24"/>
        </w:rPr>
        <w:t>）</w:t>
      </w:r>
      <w:r>
        <w:rPr>
          <w:rFonts w:ascii="標楷體" w:eastAsia="標楷體" w:hAnsi="標楷體"/>
          <w:szCs w:val="24"/>
        </w:rPr>
        <w:t>。</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須事前審查核准後使用，申請時須檢附完整之造血幹細胞移植計畫，並詳細記載確認捐贈者名單、確認移植之執行醫院及移植前調適治療等資料。</w:t>
      </w:r>
    </w:p>
    <w:p w:rsidR="00B96EA0" w:rsidRDefault="007D66B8" w:rsidP="005142EB">
      <w:pPr>
        <w:tabs>
          <w:tab w:val="left" w:pos="1418"/>
        </w:tabs>
        <w:spacing w:line="400" w:lineRule="exact"/>
        <w:ind w:left="811" w:hanging="245"/>
      </w:pPr>
      <w:r>
        <w:rPr>
          <w:rFonts w:ascii="標楷體" w:eastAsia="標楷體" w:hAnsi="標楷體"/>
          <w:szCs w:val="24"/>
        </w:rPr>
        <w:t>5.病人已依前述第3項獲得給付治療者，不得再申請前述之第1、2項給付治療。(112</w:t>
      </w:r>
      <w:r>
        <w:rPr>
          <w:rFonts w:ascii="標楷體" w:eastAsia="標楷體" w:hAnsi="標楷體"/>
          <w:bCs/>
          <w:szCs w:val="24"/>
        </w:rPr>
        <w:t>/12/1</w:t>
      </w:r>
      <w:r>
        <w:rPr>
          <w:rFonts w:ascii="標楷體" w:eastAsia="標楷體" w:hAnsi="標楷體"/>
          <w:szCs w:val="24"/>
        </w:rPr>
        <w:t>)</w:t>
      </w:r>
    </w:p>
    <w:p w:rsidR="00B96EA0" w:rsidRDefault="007D66B8" w:rsidP="005142EB">
      <w:pPr>
        <w:tabs>
          <w:tab w:val="left" w:pos="1418"/>
        </w:tabs>
        <w:spacing w:line="400" w:lineRule="exact"/>
        <w:ind w:left="567" w:hanging="245"/>
        <w:rPr>
          <w:rFonts w:ascii="標楷體" w:eastAsia="標楷體" w:hAnsi="標楷體"/>
          <w:color w:val="000000"/>
        </w:rPr>
      </w:pPr>
      <w:r>
        <w:rPr>
          <w:rFonts w:ascii="標楷體" w:eastAsia="標楷體" w:hAnsi="標楷體"/>
          <w:color w:val="000000"/>
        </w:rPr>
        <w:t>9.65.Pralatrexate(如Folotyn)：(107/10/1、110/5/1)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1.用於接受化學治療失敗後之復發或頑固性周邊T細胞淋巴瘤(PTCL)病患，作為進行骨髓/造血幹細胞移植期間之銜接治療。</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2.需經事前審查核准後使用，初次申請時應檢附移植計劃資料。</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3.每人至多給付3個療程，第1個療程後需進行疾病評估，若病情仍持續惡化，應即停止使用。（110/5/1）</w:t>
      </w:r>
    </w:p>
    <w:p w:rsidR="00B96EA0" w:rsidRDefault="007D66B8" w:rsidP="005142EB">
      <w:pPr>
        <w:tabs>
          <w:tab w:val="left" w:pos="1418"/>
        </w:tabs>
        <w:spacing w:line="400" w:lineRule="exact"/>
        <w:ind w:left="709" w:hanging="388"/>
        <w:rPr>
          <w:rFonts w:ascii="標楷體" w:eastAsia="標楷體" w:hAnsi="標楷體"/>
          <w:color w:val="000000"/>
        </w:rPr>
      </w:pPr>
      <w:r>
        <w:rPr>
          <w:rFonts w:ascii="標楷體" w:eastAsia="標楷體" w:hAnsi="標楷體"/>
          <w:color w:val="000000"/>
        </w:rPr>
        <w:t>9.66.Trifluridine/tipiracil(如Lonsurf)：(107/12/1、109/12/1、110/6/1、113/6/1)</w:t>
      </w:r>
    </w:p>
    <w:p w:rsidR="00B96EA0" w:rsidRDefault="007D66B8" w:rsidP="005142EB">
      <w:pPr>
        <w:tabs>
          <w:tab w:val="left" w:pos="1418"/>
        </w:tabs>
        <w:spacing w:line="400" w:lineRule="exact"/>
        <w:ind w:left="993" w:hanging="388"/>
        <w:rPr>
          <w:rFonts w:ascii="標楷體" w:eastAsia="標楷體" w:hAnsi="標楷體"/>
          <w:color w:val="000000"/>
        </w:rPr>
      </w:pPr>
      <w:r>
        <w:rPr>
          <w:rFonts w:ascii="標楷體" w:eastAsia="標楷體" w:hAnsi="標楷體"/>
          <w:color w:val="000000"/>
        </w:rPr>
        <w:t>1.轉移性大腸直腸癌：</w:t>
      </w:r>
    </w:p>
    <w:p w:rsidR="00B96EA0" w:rsidRDefault="007D66B8" w:rsidP="005142EB">
      <w:pPr>
        <w:tabs>
          <w:tab w:val="left" w:pos="1418"/>
        </w:tabs>
        <w:spacing w:line="400" w:lineRule="exact"/>
        <w:ind w:left="1134" w:hanging="388"/>
        <w:rPr>
          <w:rFonts w:ascii="標楷體" w:eastAsia="標楷體" w:hAnsi="標楷體"/>
          <w:color w:val="000000"/>
        </w:rPr>
      </w:pPr>
      <w:r>
        <w:rPr>
          <w:rFonts w:ascii="標楷體" w:eastAsia="標楷體" w:hAnsi="標楷體"/>
          <w:color w:val="000000"/>
        </w:rPr>
        <w:t>(1)用於治療先前曾接受下列療法的轉移性大腸直腸癌之成人患者，包括fluoropyrimidine, oxaliplatin及irinotecan為基礎的化療，和抗血管內皮生長因子(anti-VEGF)等療法；若RAS為原生型(wild type)，則需再加上接受過抗表皮生長因子受體(anti-EGFR)療法。需檢附All-RAS基因突變分析檢測結果報告，且需符合全民健康保險藥品給付規定之通則十二。（110/6/1、113/6/1）</w:t>
      </w:r>
    </w:p>
    <w:p w:rsidR="00B96EA0" w:rsidRDefault="007D66B8" w:rsidP="005142EB">
      <w:pPr>
        <w:tabs>
          <w:tab w:val="left" w:pos="1418"/>
        </w:tabs>
        <w:spacing w:line="400" w:lineRule="exact"/>
        <w:ind w:left="1134" w:hanging="388"/>
        <w:rPr>
          <w:rFonts w:ascii="標楷體" w:eastAsia="標楷體" w:hAnsi="標楷體"/>
          <w:color w:val="000000"/>
        </w:rPr>
      </w:pPr>
      <w:r>
        <w:rPr>
          <w:rFonts w:ascii="標楷體" w:eastAsia="標楷體" w:hAnsi="標楷體"/>
          <w:color w:val="000000"/>
        </w:rPr>
        <w:t>(2)須經事前審查核准後使用，每次申請事前審查之療程以8週為限，再次申請必須提出客觀證據（如：影像學）證實無惡化，才可繼續使用。</w:t>
      </w:r>
    </w:p>
    <w:p w:rsidR="00B96EA0" w:rsidRDefault="007D66B8" w:rsidP="005142EB">
      <w:pPr>
        <w:tabs>
          <w:tab w:val="left" w:pos="1418"/>
        </w:tabs>
        <w:spacing w:line="400" w:lineRule="exact"/>
        <w:ind w:left="1134" w:hanging="388"/>
        <w:rPr>
          <w:rFonts w:ascii="標楷體" w:eastAsia="標楷體" w:hAnsi="標楷體"/>
          <w:color w:val="000000"/>
        </w:rPr>
      </w:pPr>
      <w:r>
        <w:rPr>
          <w:rFonts w:ascii="標楷體" w:eastAsia="標楷體" w:hAnsi="標楷體"/>
          <w:color w:val="000000"/>
        </w:rPr>
        <w:t>(3)本藥品不得與regorafenib併用。</w:t>
      </w:r>
    </w:p>
    <w:p w:rsidR="00B96EA0" w:rsidRDefault="007D66B8" w:rsidP="005142EB">
      <w:pPr>
        <w:tabs>
          <w:tab w:val="left" w:pos="1418"/>
        </w:tabs>
        <w:spacing w:line="400" w:lineRule="exact"/>
        <w:ind w:left="993" w:hanging="388"/>
        <w:rPr>
          <w:rFonts w:ascii="標楷體" w:eastAsia="標楷體" w:hAnsi="標楷體"/>
          <w:color w:val="000000"/>
        </w:rPr>
      </w:pPr>
      <w:r>
        <w:rPr>
          <w:rFonts w:ascii="標楷體" w:eastAsia="標楷體" w:hAnsi="標楷體"/>
          <w:color w:val="000000"/>
        </w:rPr>
        <w:t>2.轉移性胃癌：(109/12/1)</w:t>
      </w:r>
    </w:p>
    <w:p w:rsidR="00B96EA0" w:rsidRDefault="007D66B8" w:rsidP="005142EB">
      <w:pPr>
        <w:tabs>
          <w:tab w:val="left" w:pos="1418"/>
        </w:tabs>
        <w:spacing w:line="400" w:lineRule="exact"/>
        <w:ind w:left="1134" w:hanging="388"/>
        <w:rPr>
          <w:rFonts w:ascii="標楷體" w:eastAsia="標楷體" w:hAnsi="標楷體"/>
          <w:color w:val="000000"/>
        </w:rPr>
      </w:pPr>
      <w:r>
        <w:rPr>
          <w:rFonts w:ascii="標楷體" w:eastAsia="標楷體" w:hAnsi="標楷體"/>
          <w:color w:val="000000"/>
        </w:rPr>
        <w:t>(1)用於治療先前曾接受兩種(含)以上治療（包括含fluoropyrimidine–、platinum–、taxane–或 irinotecan為基礎的化學療法，以及HER2/neu標靶治療[如果適合]）的轉移性胃腺癌或胃食道接合處腺癌病人。</w:t>
      </w:r>
    </w:p>
    <w:p w:rsidR="00B96EA0" w:rsidRDefault="007D66B8" w:rsidP="005142EB">
      <w:pPr>
        <w:tabs>
          <w:tab w:val="left" w:pos="1418"/>
        </w:tabs>
        <w:spacing w:line="400" w:lineRule="exact"/>
        <w:ind w:left="1134" w:hanging="388"/>
        <w:rPr>
          <w:rFonts w:ascii="標楷體" w:eastAsia="標楷體" w:hAnsi="標楷體"/>
          <w:color w:val="000000"/>
        </w:rPr>
      </w:pPr>
      <w:r>
        <w:rPr>
          <w:rFonts w:ascii="標楷體" w:eastAsia="標楷體" w:hAnsi="標楷體"/>
          <w:color w:val="000000"/>
        </w:rPr>
        <w:t>(2)須經事前審查核准後使用，每次申請事前審查之療程以8週為限，再次申請必須提出客觀證據（如：影像學）證實無惡化，才可繼續使用。</w:t>
      </w:r>
    </w:p>
    <w:p w:rsidR="00B96EA0" w:rsidRDefault="007D66B8" w:rsidP="005142EB">
      <w:pPr>
        <w:tabs>
          <w:tab w:val="left" w:pos="1418"/>
        </w:tabs>
        <w:spacing w:line="400" w:lineRule="exact"/>
        <w:ind w:left="895" w:hanging="612"/>
        <w:rPr>
          <w:rFonts w:ascii="標楷體" w:eastAsia="標楷體" w:hAnsi="標楷體"/>
          <w:color w:val="000000"/>
        </w:rPr>
      </w:pPr>
      <w:r>
        <w:rPr>
          <w:rFonts w:ascii="標楷體" w:eastAsia="標楷體" w:hAnsi="標楷體"/>
          <w:color w:val="000000"/>
        </w:rPr>
        <w:t>9.67.Ponatinib(如Iclusig)：(107/12/1、113/6/1)</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1.用於費城染色體陽性或BCR-ABL融合基因陽性之慢性骨髓性白血病(CML)或急性淋巴性白血病(ALL)成人患者，且符合下列條件之一：</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(1).具有T315I突變者；</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(2).加速期或急性期之慢性骨髓性白血病(CML)患者，先前曾使用imatinib、nilotinib與dasatinib其中兩種(含)以上藥物治療失敗或無法耐受；</w:t>
      </w:r>
    </w:p>
    <w:p w:rsidR="00B96EA0" w:rsidRDefault="007D66B8" w:rsidP="005142EB">
      <w:pPr>
        <w:tabs>
          <w:tab w:val="left" w:pos="1418"/>
        </w:tabs>
        <w:spacing w:line="400" w:lineRule="exact"/>
        <w:ind w:left="1051" w:hanging="245"/>
        <w:rPr>
          <w:rFonts w:ascii="標楷體" w:eastAsia="標楷體" w:hAnsi="標楷體"/>
          <w:color w:val="000000"/>
        </w:rPr>
      </w:pPr>
      <w:r>
        <w:rPr>
          <w:rFonts w:ascii="標楷體" w:eastAsia="標楷體" w:hAnsi="標楷體"/>
          <w:color w:val="000000"/>
        </w:rPr>
        <w:t>(3).急性淋巴性白血病(ALL)患者，先前曾使用imatinib與dasatinib兩種藥物治療均失敗或無法耐受。</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2.需經事前審查核准後使用。首次申請事前審查之療程以3個月為限，之後每3個月需再次申請，再次申請時應檢附前次治療結果評估資料，包含BCR-ABL定量RT-PCR報告。</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3.若使用後未出現治療反應、無法耐受藥物副作用或疾病進展，則必須停止使用。</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4.1~3項規定內之疾病診斷或追蹤若需依據基因檢測報告，則需符合全民健康保險藥品給付規定之通則十二。(113/6/1)</w:t>
      </w:r>
    </w:p>
    <w:p w:rsidR="00B96EA0" w:rsidRDefault="007D66B8" w:rsidP="005142EB">
      <w:pPr>
        <w:tabs>
          <w:tab w:val="left" w:pos="1418"/>
        </w:tabs>
        <w:spacing w:line="400" w:lineRule="exact"/>
        <w:ind w:left="895" w:hanging="612"/>
      </w:pPr>
      <w:r>
        <w:rPr>
          <w:rFonts w:ascii="標楷體" w:eastAsia="標楷體" w:hAnsi="標楷體"/>
          <w:color w:val="000000"/>
        </w:rPr>
        <w:t>9.68.Radium-223(如Xofigo)</w:t>
      </w:r>
      <w:r>
        <w:rPr>
          <w:rFonts w:ascii="新細明體" w:hAnsi="新細明體"/>
          <w:color w:val="000000"/>
        </w:rPr>
        <w:t>：</w:t>
      </w:r>
      <w:r>
        <w:rPr>
          <w:rFonts w:ascii="標楷體" w:eastAsia="標楷體" w:hAnsi="標楷體"/>
          <w:color w:val="000000"/>
        </w:rPr>
        <w:t>(108/3/1)</w:t>
      </w:r>
    </w:p>
    <w:p w:rsidR="00B96EA0" w:rsidRDefault="007D66B8" w:rsidP="005142EB">
      <w:pPr>
        <w:tabs>
          <w:tab w:val="left" w:pos="1418"/>
        </w:tabs>
        <w:spacing w:line="400" w:lineRule="exact"/>
        <w:ind w:left="283"/>
        <w:rPr>
          <w:rFonts w:ascii="標楷體" w:eastAsia="標楷體" w:hAnsi="標楷體"/>
          <w:color w:val="000000"/>
        </w:rPr>
      </w:pPr>
      <w:r>
        <w:rPr>
          <w:rFonts w:ascii="標楷體" w:eastAsia="標楷體" w:hAnsi="標楷體"/>
          <w:color w:val="000000"/>
        </w:rPr>
        <w:t>限用於治療去勢抗性攝護腺癌(castration-resistant prostate cancer)病患，其合併有症狀的骨轉移且尚未有臟器轉移者，且病人須符合下列三項條件：</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lastRenderedPageBreak/>
        <w:t>1.</w:t>
      </w:r>
      <w:r>
        <w:rPr>
          <w:rFonts w:ascii="標楷體" w:eastAsia="標楷體" w:hAnsi="標楷體"/>
          <w:color w:val="000000"/>
        </w:rPr>
        <w:tab/>
        <w:t>患者須合併有症狀之骨轉移且骨轉移≧2處</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每位患者最高使用六個療程</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須經事前審查核准後使用，申請時需檢附：</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.用藥紀錄(證明為有症狀的骨轉移、需常規使用止痛藥物)</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.三個月內影像報告證明骨轉移≧2處</w:t>
      </w:r>
    </w:p>
    <w:p w:rsidR="00B96EA0" w:rsidRDefault="007D66B8" w:rsidP="005142EB">
      <w:pPr>
        <w:tabs>
          <w:tab w:val="left" w:pos="1185"/>
        </w:tabs>
        <w:spacing w:line="400" w:lineRule="exact"/>
        <w:ind w:left="1051" w:hanging="245"/>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.三個月內影像報告證明無臟器轉移</w:t>
      </w:r>
    </w:p>
    <w:p w:rsidR="00B96EA0" w:rsidRDefault="007D66B8" w:rsidP="005142EB">
      <w:pPr>
        <w:tabs>
          <w:tab w:val="left" w:pos="1418"/>
        </w:tabs>
        <w:spacing w:line="400" w:lineRule="exact"/>
        <w:ind w:left="811" w:hanging="245"/>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不得合併使用abiraterone、enzalutamide及其他治療因惡性腫瘤伴隨骨骼事件之藥品，如denosumab、bisphosphonates等。</w:t>
      </w:r>
    </w:p>
    <w:p w:rsidR="002465F4" w:rsidRPr="0014655B" w:rsidRDefault="002465F4" w:rsidP="002465F4">
      <w:pPr>
        <w:tabs>
          <w:tab w:val="left" w:pos="1418"/>
        </w:tabs>
        <w:spacing w:line="400" w:lineRule="exact"/>
        <w:ind w:left="895" w:hanging="612"/>
        <w:rPr>
          <w:rFonts w:ascii="標楷體" w:eastAsia="標楷體" w:hAnsi="標楷體"/>
        </w:rPr>
      </w:pPr>
      <w:bookmarkStart w:id="15" w:name="_Hlk209192581"/>
      <w:r w:rsidRPr="0014655B">
        <w:rPr>
          <w:rFonts w:ascii="標楷體" w:eastAsia="標楷體" w:hAnsi="標楷體"/>
          <w:color w:val="000000"/>
        </w:rPr>
        <w:t>9.69.免疫檢查點抑制劑(如atezolizumab；nivolumab；pembrolizumab；avelumab</w:t>
      </w:r>
      <w:r w:rsidRPr="0014655B">
        <w:rPr>
          <w:rFonts w:ascii="標楷體" w:eastAsia="標楷體" w:hAnsi="標楷體" w:cs="標楷體.鬁..."/>
          <w:color w:val="000000"/>
          <w:kern w:val="0"/>
          <w:szCs w:val="24"/>
        </w:rPr>
        <w:t>；ipilimumab</w:t>
      </w:r>
      <w:r w:rsidRPr="0014655B">
        <w:rPr>
          <w:rFonts w:ascii="標楷體" w:eastAsia="標楷體" w:hAnsi="標楷體"/>
          <w:color w:val="000000"/>
        </w:rPr>
        <w:t>；durvalumab；tremelimumab製劑)：(108/4/1、108/6/1、109/4/1、109/6/1、109/11/1、110/5/1、110/10/1、111/4/1、111/6/1、112/8/1、112/10/1</w:t>
      </w:r>
      <w:r w:rsidRPr="0014655B">
        <w:rPr>
          <w:rFonts w:ascii="標楷體" w:eastAsia="標楷體" w:hAnsi="標楷體"/>
          <w:szCs w:val="24"/>
        </w:rPr>
        <w:t>、112/12/1、113/2/1、113/4/</w:t>
      </w:r>
      <w:r w:rsidRPr="0014655B">
        <w:rPr>
          <w:rFonts w:ascii="標楷體" w:eastAsia="標楷體" w:hAnsi="標楷體"/>
          <w:color w:val="000000"/>
        </w:rPr>
        <w:t>1、113/5/1、113/6/1、113/8/1、114/1/1、114/2/1、114/6/1、114/8/1</w:t>
      </w:r>
      <w:r>
        <w:rPr>
          <w:rFonts w:ascii="標楷體" w:eastAsia="標楷體" w:hAnsi="標楷體" w:hint="eastAsia"/>
          <w:color w:val="000000"/>
        </w:rPr>
        <w:t>、114/10/1</w:t>
      </w:r>
      <w:r w:rsidRPr="0014655B">
        <w:rPr>
          <w:rFonts w:ascii="標楷體" w:eastAsia="標楷體" w:hAnsi="標楷體"/>
          <w:color w:val="000000"/>
        </w:rPr>
        <w:t>)</w:t>
      </w:r>
    </w:p>
    <w:p w:rsidR="002465F4" w:rsidRPr="0014655B" w:rsidRDefault="002465F4" w:rsidP="002465F4">
      <w:pPr>
        <w:tabs>
          <w:tab w:val="left" w:pos="945"/>
        </w:tabs>
        <w:spacing w:line="400" w:lineRule="exact"/>
        <w:ind w:leftChars="236" w:left="849" w:hangingChars="118" w:hanging="283"/>
        <w:rPr>
          <w:rFonts w:ascii="標楷體" w:eastAsia="標楷體" w:hAnsi="標楷體"/>
          <w:color w:val="000000"/>
        </w:rPr>
      </w:pPr>
      <w:r w:rsidRPr="0014655B">
        <w:rPr>
          <w:rFonts w:ascii="標楷體" w:eastAsia="標楷體" w:hAnsi="標楷體"/>
          <w:color w:val="000000"/>
        </w:rPr>
        <w:t>1.本類藥品得於藥品許可證登載之適應症及藥品仿單內，單獨使用於下列患者：</w:t>
      </w:r>
    </w:p>
    <w:p w:rsidR="002465F4" w:rsidRPr="0014655B" w:rsidRDefault="002465F4" w:rsidP="002465F4">
      <w:pPr>
        <w:spacing w:line="400" w:lineRule="exact"/>
        <w:ind w:left="1134" w:hanging="386"/>
        <w:rPr>
          <w:rFonts w:ascii="標楷體" w:eastAsia="標楷體" w:hAnsi="標楷體"/>
          <w:color w:val="000000"/>
        </w:rPr>
      </w:pPr>
      <w:r w:rsidRPr="0014655B">
        <w:rPr>
          <w:rFonts w:ascii="標楷體" w:eastAsia="標楷體" w:hAnsi="標楷體"/>
          <w:color w:val="000000"/>
        </w:rPr>
        <w:t>(1)黑色素瘤：腫瘤無法切除或轉移之第三期或第四期黑色素瘤病人，先前曾接受過至少一次全身性治療失敗者。</w:t>
      </w:r>
    </w:p>
    <w:p w:rsidR="002465F4" w:rsidRPr="0014655B" w:rsidRDefault="002465F4" w:rsidP="002465F4">
      <w:pPr>
        <w:spacing w:line="400" w:lineRule="exact"/>
        <w:ind w:left="1134" w:hanging="386"/>
        <w:rPr>
          <w:rFonts w:ascii="標楷體" w:eastAsia="標楷體" w:hAnsi="標楷體"/>
          <w:szCs w:val="24"/>
        </w:rPr>
      </w:pPr>
      <w:r w:rsidRPr="0014655B">
        <w:rPr>
          <w:rFonts w:ascii="標楷體" w:eastAsia="標楷體" w:hAnsi="標楷體"/>
          <w:color w:val="000000"/>
        </w:rPr>
        <w:t>(2)非小細胞肺癌：(109/4/1、109</w:t>
      </w:r>
      <w:r w:rsidRPr="0014655B">
        <w:rPr>
          <w:rFonts w:ascii="標楷體" w:eastAsia="標楷體" w:hAnsi="標楷體"/>
          <w:szCs w:val="24"/>
        </w:rPr>
        <w:t>/11/1、114/6/1、114/8/1)</w:t>
      </w:r>
    </w:p>
    <w:p w:rsidR="002465F4" w:rsidRPr="0014655B" w:rsidRDefault="002465F4" w:rsidP="002465F4">
      <w:pPr>
        <w:numPr>
          <w:ilvl w:val="2"/>
          <w:numId w:val="26"/>
        </w:numPr>
        <w:suppressAutoHyphens w:val="0"/>
        <w:spacing w:line="400" w:lineRule="exact"/>
        <w:ind w:left="1701" w:hanging="425"/>
        <w:jc w:val="both"/>
        <w:textAlignment w:val="auto"/>
        <w:rPr>
          <w:rFonts w:ascii="標楷體" w:eastAsia="標楷體" w:hAnsi="標楷體"/>
          <w:szCs w:val="24"/>
        </w:rPr>
      </w:pPr>
      <w:bookmarkStart w:id="16" w:name="_Hlk196237903"/>
      <w:bookmarkStart w:id="17" w:name="_Hlk196827702"/>
      <w:r w:rsidRPr="0014655B">
        <w:rPr>
          <w:rFonts w:ascii="標楷體" w:eastAsia="標楷體" w:hAnsi="標楷體"/>
          <w:szCs w:val="24"/>
        </w:rPr>
        <w:t>鞏固治療：限durvalumab用於第三期局部晚期</w:t>
      </w:r>
      <w:bookmarkEnd w:id="16"/>
      <w:r w:rsidRPr="0014655B">
        <w:rPr>
          <w:rFonts w:ascii="標楷體" w:eastAsia="標楷體" w:hAnsi="標楷體"/>
          <w:szCs w:val="24"/>
        </w:rPr>
        <w:t xml:space="preserve">、無法手術切除且腫瘤表現PD-L1 </w:t>
      </w:r>
      <w:r w:rsidRPr="0014655B">
        <w:rPr>
          <w:rFonts w:ascii="Times New Roman" w:eastAsia="標楷體" w:hAnsi="Times New Roman"/>
          <w:szCs w:val="24"/>
        </w:rPr>
        <w:t>≥</w:t>
      </w:r>
      <w:r w:rsidRPr="0014655B">
        <w:rPr>
          <w:rFonts w:ascii="標楷體" w:eastAsia="標楷體" w:hAnsi="標楷體"/>
          <w:szCs w:val="24"/>
        </w:rPr>
        <w:t xml:space="preserve"> 1%之非小細胞肺癌成人病人，非鱗狀癌者需為EGFR/ALK/ROS-1腫瘤基因原生型、鱗狀癌者需為EGFR/ALK腫瘤基因原生型，病人須於接受根治性同步放射治療合併至少2個週期含鉑化療後無惡化(無PD)，且至多使用12個月。(114/8/1</w:t>
      </w:r>
      <w:r w:rsidRPr="0014655B">
        <w:rPr>
          <w:rFonts w:ascii="標楷體" w:eastAsia="標楷體" w:hAnsi="標楷體" w:hint="eastAsia"/>
          <w:szCs w:val="24"/>
        </w:rPr>
        <w:t>)</w:t>
      </w:r>
    </w:p>
    <w:p w:rsidR="002465F4" w:rsidRPr="0014655B" w:rsidRDefault="002465F4" w:rsidP="002465F4">
      <w:pPr>
        <w:numPr>
          <w:ilvl w:val="2"/>
          <w:numId w:val="26"/>
        </w:numPr>
        <w:suppressAutoHyphens w:val="0"/>
        <w:spacing w:line="400" w:lineRule="exact"/>
        <w:ind w:left="1701" w:hanging="425"/>
        <w:jc w:val="both"/>
        <w:textAlignment w:val="auto"/>
        <w:rPr>
          <w:rFonts w:ascii="標楷體" w:eastAsia="標楷體" w:hAnsi="標楷體"/>
          <w:szCs w:val="24"/>
        </w:rPr>
      </w:pPr>
      <w:r w:rsidRPr="0014655B">
        <w:rPr>
          <w:rFonts w:ascii="標楷體" w:eastAsia="標楷體" w:hAnsi="標楷體"/>
          <w:szCs w:val="24"/>
        </w:rPr>
        <w:t>非小細胞肺癌第一線用藥：</w:t>
      </w:r>
      <w:bookmarkEnd w:id="17"/>
      <w:r w:rsidRPr="0014655B">
        <w:rPr>
          <w:rFonts w:ascii="標楷體" w:eastAsia="標楷體" w:hAnsi="標楷體"/>
          <w:szCs w:val="24"/>
        </w:rPr>
        <w:t>轉移性非小細胞肺癌成人病人，非鱗狀癌者需為EGFR/ALK/ROS-1腫瘤基因原生型、鱗狀癌者需為EGFR/ALK腫瘤基因原生型。</w:t>
      </w:r>
      <w:bookmarkStart w:id="18" w:name="_Hlk196827708"/>
      <w:r w:rsidRPr="0014655B">
        <w:rPr>
          <w:rFonts w:ascii="標楷體" w:eastAsia="標楷體" w:hAnsi="標楷體" w:hint="eastAsia"/>
          <w:szCs w:val="24"/>
        </w:rPr>
        <w:t>(</w:t>
      </w:r>
      <w:r w:rsidRPr="0014655B">
        <w:rPr>
          <w:rFonts w:ascii="標楷體" w:eastAsia="標楷體" w:hAnsi="標楷體"/>
          <w:szCs w:val="24"/>
        </w:rPr>
        <w:t>114/6/1</w:t>
      </w:r>
      <w:r w:rsidRPr="0014655B">
        <w:rPr>
          <w:rFonts w:ascii="標楷體" w:eastAsia="標楷體" w:hAnsi="標楷體" w:hint="eastAsia"/>
          <w:szCs w:val="24"/>
        </w:rPr>
        <w:t>)</w:t>
      </w:r>
    </w:p>
    <w:p w:rsidR="002465F4" w:rsidRPr="0014655B" w:rsidRDefault="002465F4" w:rsidP="002465F4">
      <w:pPr>
        <w:numPr>
          <w:ilvl w:val="2"/>
          <w:numId w:val="26"/>
        </w:numPr>
        <w:suppressAutoHyphens w:val="0"/>
        <w:spacing w:line="400" w:lineRule="exact"/>
        <w:ind w:left="1701" w:hanging="567"/>
        <w:jc w:val="both"/>
        <w:textAlignment w:val="auto"/>
        <w:rPr>
          <w:rFonts w:ascii="標楷體" w:eastAsia="標楷體" w:hAnsi="標楷體"/>
          <w:kern w:val="0"/>
          <w:szCs w:val="24"/>
        </w:rPr>
      </w:pPr>
      <w:r w:rsidRPr="0014655B">
        <w:rPr>
          <w:rFonts w:ascii="標楷體" w:eastAsia="標楷體" w:hAnsi="標楷體"/>
          <w:szCs w:val="24"/>
        </w:rPr>
        <w:t>鱗狀非小細胞肺癌第二線用藥：</w:t>
      </w:r>
      <w:bookmarkEnd w:id="18"/>
      <w:r w:rsidRPr="0014655B">
        <w:rPr>
          <w:rFonts w:ascii="標楷體" w:eastAsia="標楷體" w:hAnsi="標楷體"/>
          <w:szCs w:val="24"/>
        </w:rPr>
        <w:t>先前已使用過platinum類化學治療失敗後，又有疾病惡化，且EGFR/ALK腫瘤基因為原生型之晚期鱗狀非小細胞肺癌成人病人。</w:t>
      </w:r>
      <w:bookmarkStart w:id="19" w:name="_Hlk196827713"/>
    </w:p>
    <w:p w:rsidR="002465F4" w:rsidRPr="0014655B" w:rsidRDefault="002465F4" w:rsidP="002465F4">
      <w:pPr>
        <w:numPr>
          <w:ilvl w:val="2"/>
          <w:numId w:val="26"/>
        </w:numPr>
        <w:suppressAutoHyphens w:val="0"/>
        <w:spacing w:line="400" w:lineRule="exact"/>
        <w:ind w:left="1701" w:hanging="425"/>
        <w:jc w:val="both"/>
        <w:textAlignment w:val="auto"/>
        <w:rPr>
          <w:rFonts w:ascii="標楷體" w:eastAsia="標楷體" w:hAnsi="標楷體"/>
          <w:kern w:val="0"/>
          <w:szCs w:val="24"/>
        </w:rPr>
      </w:pPr>
      <w:r w:rsidRPr="0014655B">
        <w:rPr>
          <w:rFonts w:ascii="標楷體" w:eastAsia="標楷體" w:hAnsi="標楷體"/>
          <w:kern w:val="0"/>
          <w:szCs w:val="24"/>
        </w:rPr>
        <w:t>肺腺癌第三線用藥：</w:t>
      </w:r>
      <w:bookmarkEnd w:id="19"/>
      <w:r w:rsidRPr="0014655B">
        <w:rPr>
          <w:rFonts w:ascii="標楷體" w:eastAsia="標楷體" w:hAnsi="標楷體"/>
          <w:kern w:val="0"/>
          <w:szCs w:val="24"/>
        </w:rPr>
        <w:t>先前已使用過platinum類及docetaxel/paclitaxel類二線(含)以上化學治療均失敗，又有疾病惡化，且EGFR/ALK/ROS-1腫瘤基因為原生型之晚期非小細胞肺腺癌成人病人。</w:t>
      </w:r>
    </w:p>
    <w:p w:rsidR="002465F4" w:rsidRPr="0014655B" w:rsidRDefault="002465F4" w:rsidP="002465F4">
      <w:pPr>
        <w:spacing w:line="400" w:lineRule="exact"/>
        <w:ind w:left="1134" w:hanging="386"/>
        <w:rPr>
          <w:rFonts w:ascii="標楷體" w:eastAsia="標楷體" w:hAnsi="標楷體"/>
          <w:color w:val="000000"/>
        </w:rPr>
      </w:pPr>
      <w:r w:rsidRPr="0014655B">
        <w:rPr>
          <w:rFonts w:ascii="標楷體" w:eastAsia="標楷體" w:hAnsi="標楷體"/>
          <w:color w:val="000000"/>
        </w:rPr>
        <w:t>(3)典型何杰金氏淋巴瘤：先前已接受自體造血幹細胞移植(HSCT)與移植後brentuximab vedotin (BV)治療，但又復發或惡化的典型何杰金氏淋巴瘤成人患者。</w:t>
      </w:r>
    </w:p>
    <w:p w:rsidR="002465F4" w:rsidRPr="0014655B" w:rsidRDefault="002465F4" w:rsidP="002465F4">
      <w:pPr>
        <w:spacing w:line="400" w:lineRule="exact"/>
        <w:ind w:left="1134" w:hanging="386"/>
        <w:rPr>
          <w:rFonts w:ascii="標楷體" w:eastAsia="標楷體" w:hAnsi="標楷體"/>
          <w:color w:val="000000"/>
        </w:rPr>
      </w:pPr>
      <w:r w:rsidRPr="0014655B">
        <w:rPr>
          <w:rFonts w:ascii="標楷體" w:eastAsia="標楷體" w:hAnsi="標楷體"/>
          <w:color w:val="000000"/>
        </w:rPr>
        <w:t>(4)泌尿道上皮癌：使用含atezolizumab藥品成分須於113年8月1日前審核同意用藥。(109/11/1、112/10/1、113/8/1)</w:t>
      </w:r>
    </w:p>
    <w:p w:rsidR="002465F4" w:rsidRPr="0014655B" w:rsidRDefault="002465F4" w:rsidP="002465F4">
      <w:pPr>
        <w:spacing w:line="400" w:lineRule="exact"/>
        <w:ind w:left="1558" w:hanging="245"/>
        <w:rPr>
          <w:rFonts w:ascii="標楷體" w:eastAsia="標楷體" w:hAnsi="標楷體"/>
          <w:color w:val="000000"/>
        </w:rPr>
      </w:pPr>
      <w:r w:rsidRPr="0014655B">
        <w:rPr>
          <w:rFonts w:ascii="標楷體" w:eastAsia="標楷體" w:hAnsi="標楷體"/>
          <w:color w:val="000000"/>
        </w:rPr>
        <w:lastRenderedPageBreak/>
        <w:t>I.不適合接受化學治療之轉移性泌尿道上皮癌成人患者，且需符合下列條件之一：</w:t>
      </w:r>
    </w:p>
    <w:p w:rsidR="002465F4" w:rsidRPr="0014655B" w:rsidRDefault="002465F4" w:rsidP="002465F4">
      <w:pPr>
        <w:tabs>
          <w:tab w:val="left" w:pos="1185"/>
        </w:tabs>
        <w:spacing w:line="400" w:lineRule="exact"/>
        <w:ind w:left="1843" w:hanging="259"/>
        <w:rPr>
          <w:rFonts w:ascii="標楷體" w:eastAsia="標楷體" w:hAnsi="標楷體"/>
          <w:color w:val="000000"/>
        </w:rPr>
      </w:pPr>
      <w:r w:rsidRPr="0014655B">
        <w:rPr>
          <w:rFonts w:ascii="標楷體" w:eastAsia="標楷體" w:hAnsi="標楷體"/>
          <w:color w:val="000000"/>
        </w:rPr>
        <w:t>i.CTCAE(the common terminology criteria for adverse events) v4.0 grade≧2 audiometric hearing loss</w:t>
      </w:r>
    </w:p>
    <w:p w:rsidR="002465F4" w:rsidRPr="0014655B" w:rsidRDefault="002465F4" w:rsidP="002465F4">
      <w:pPr>
        <w:tabs>
          <w:tab w:val="left" w:pos="1185"/>
        </w:tabs>
        <w:spacing w:line="400" w:lineRule="exact"/>
        <w:ind w:left="1584"/>
        <w:rPr>
          <w:rFonts w:ascii="標楷體" w:eastAsia="標楷體" w:hAnsi="標楷體"/>
          <w:color w:val="000000"/>
        </w:rPr>
      </w:pPr>
      <w:r w:rsidRPr="0014655B">
        <w:rPr>
          <w:rFonts w:ascii="標楷體" w:eastAsia="標楷體" w:hAnsi="標楷體"/>
          <w:color w:val="000000"/>
        </w:rPr>
        <w:t>ii.CTCAE v4.0 grade≧2 peripheral neuropathy</w:t>
      </w:r>
    </w:p>
    <w:p w:rsidR="002465F4" w:rsidRPr="0014655B" w:rsidRDefault="002465F4" w:rsidP="002465F4">
      <w:pPr>
        <w:tabs>
          <w:tab w:val="left" w:pos="1185"/>
        </w:tabs>
        <w:spacing w:line="400" w:lineRule="exact"/>
        <w:ind w:left="1584"/>
        <w:rPr>
          <w:rFonts w:ascii="標楷體" w:eastAsia="標楷體" w:hAnsi="標楷體"/>
          <w:color w:val="000000"/>
        </w:rPr>
      </w:pPr>
      <w:r w:rsidRPr="0014655B">
        <w:rPr>
          <w:rFonts w:ascii="標楷體" w:eastAsia="標楷體" w:hAnsi="標楷體"/>
          <w:color w:val="000000"/>
        </w:rPr>
        <w:t>iii.CIRS(the cumulative illness rating scale) score &gt;6</w:t>
      </w:r>
    </w:p>
    <w:p w:rsidR="002465F4" w:rsidRPr="0014655B" w:rsidRDefault="002465F4" w:rsidP="002465F4">
      <w:pPr>
        <w:tabs>
          <w:tab w:val="left" w:pos="1185"/>
        </w:tabs>
        <w:spacing w:line="400" w:lineRule="exact"/>
        <w:ind w:left="1685" w:hanging="372"/>
        <w:rPr>
          <w:rFonts w:ascii="標楷體" w:eastAsia="標楷體" w:hAnsi="標楷體"/>
          <w:color w:val="000000"/>
        </w:rPr>
      </w:pPr>
      <w:r w:rsidRPr="0014655B">
        <w:rPr>
          <w:rFonts w:ascii="標楷體" w:eastAsia="標楷體" w:hAnsi="標楷體"/>
          <w:color w:val="000000"/>
        </w:rPr>
        <w:t>II.</w:t>
      </w:r>
      <w:r w:rsidRPr="0014655B">
        <w:rPr>
          <w:rFonts w:ascii="標楷體" w:eastAsia="標楷體" w:hAnsi="標楷體"/>
          <w:color w:val="000000"/>
        </w:rPr>
        <w:tab/>
        <w:t>先前已使用過platinum類化學治療失敗後疾病惡化的局部晚期無法切除或轉移性泌尿道上皮癌成人患者。</w:t>
      </w:r>
    </w:p>
    <w:p w:rsidR="002465F4" w:rsidRPr="0014655B" w:rsidRDefault="002465F4" w:rsidP="002465F4">
      <w:pPr>
        <w:tabs>
          <w:tab w:val="left" w:pos="1185"/>
        </w:tabs>
        <w:spacing w:line="400" w:lineRule="exact"/>
        <w:ind w:left="1712" w:hanging="397"/>
        <w:rPr>
          <w:rFonts w:ascii="標楷體" w:eastAsia="標楷體" w:hAnsi="標楷體"/>
        </w:rPr>
      </w:pPr>
      <w:r w:rsidRPr="0014655B">
        <w:rPr>
          <w:rFonts w:ascii="標楷體" w:eastAsia="標楷體" w:hAnsi="標楷體"/>
          <w:color w:val="000000"/>
        </w:rPr>
        <w:t>III.</w:t>
      </w:r>
      <w:r w:rsidRPr="0014655B">
        <w:rPr>
          <w:rFonts w:ascii="標楷體" w:eastAsia="標楷體" w:hAnsi="標楷體"/>
          <w:szCs w:val="24"/>
        </w:rPr>
        <w:t>限avelumab用於接受第一線含鉑化學治療4至6個療程後，疾病未惡化，</w:t>
      </w:r>
      <w:r w:rsidRPr="0014655B">
        <w:rPr>
          <w:rFonts w:ascii="標楷體" w:eastAsia="標楷體" w:hAnsi="標楷體"/>
          <w:color w:val="000000"/>
          <w:szCs w:val="24"/>
        </w:rPr>
        <w:t>且達部分緩解（PR）或疾病呈穩定狀態者(SD)</w:t>
      </w:r>
      <w:r w:rsidRPr="0014655B">
        <w:rPr>
          <w:rFonts w:ascii="標楷體" w:eastAsia="標楷體" w:hAnsi="標楷體"/>
          <w:szCs w:val="24"/>
        </w:rPr>
        <w:t>之無法手術切除局部晚期(stage Ⅲ)或轉移性泌尿上皮癌(stage Ⅳ)成人患者之維持療法。(112/10/1）</w:t>
      </w:r>
    </w:p>
    <w:p w:rsidR="002465F4" w:rsidRPr="0014655B" w:rsidRDefault="002465F4" w:rsidP="002465F4">
      <w:pPr>
        <w:spacing w:line="400" w:lineRule="exact"/>
        <w:ind w:left="1134" w:hanging="386"/>
        <w:rPr>
          <w:rFonts w:ascii="標楷體" w:eastAsia="標楷體" w:hAnsi="標楷體"/>
          <w:szCs w:val="24"/>
          <w:lang w:val="zh-TW" w:bidi="zh-TW"/>
        </w:rPr>
      </w:pPr>
      <w:r w:rsidRPr="0014655B">
        <w:rPr>
          <w:rFonts w:ascii="標楷體" w:eastAsia="標楷體" w:hAnsi="標楷體"/>
          <w:szCs w:val="24"/>
          <w:lang w:val="zh-TW" w:bidi="zh-TW"/>
        </w:rPr>
        <w:t>(5)頭頸部鱗狀細胞癌(不含鼻咽癌)：(108/4/1、109/11/1、112/12/1)</w:t>
      </w:r>
    </w:p>
    <w:p w:rsidR="002465F4" w:rsidRPr="0014655B" w:rsidRDefault="002465F4" w:rsidP="002465F4">
      <w:pPr>
        <w:tabs>
          <w:tab w:val="left" w:pos="1185"/>
        </w:tabs>
        <w:spacing w:line="400" w:lineRule="exact"/>
        <w:ind w:left="1560" w:hanging="360"/>
        <w:rPr>
          <w:rFonts w:ascii="標楷體" w:eastAsia="標楷體" w:hAnsi="標楷體"/>
        </w:rPr>
      </w:pPr>
      <w:r w:rsidRPr="0014655B">
        <w:rPr>
          <w:rFonts w:ascii="標楷體" w:eastAsia="標楷體" w:hAnsi="標楷體"/>
          <w:szCs w:val="24"/>
          <w:lang w:val="zh-TW" w:bidi="zh-TW"/>
        </w:rPr>
        <w:t>I.先前未曾接受全身性治療</w:t>
      </w:r>
      <w:r w:rsidRPr="0014655B">
        <w:rPr>
          <w:rFonts w:ascii="標楷體" w:eastAsia="標楷體" w:hAnsi="標楷體"/>
          <w:szCs w:val="24"/>
          <w:lang w:bidi="zh-TW"/>
        </w:rPr>
        <w:t>且無法手術切除之復發性或</w:t>
      </w:r>
      <w:r w:rsidRPr="0014655B">
        <w:rPr>
          <w:rFonts w:ascii="標楷體" w:eastAsia="標楷體" w:hAnsi="標楷體"/>
          <w:szCs w:val="24"/>
          <w:lang w:val="zh-TW" w:bidi="zh-TW"/>
        </w:rPr>
        <w:t>轉移性(第三期或第四期)頭頸部鱗狀細胞癌成人患者。（112/12/1)</w:t>
      </w:r>
    </w:p>
    <w:p w:rsidR="002465F4" w:rsidRPr="0014655B" w:rsidRDefault="002465F4" w:rsidP="002465F4">
      <w:pPr>
        <w:tabs>
          <w:tab w:val="left" w:pos="1185"/>
        </w:tabs>
        <w:spacing w:line="400" w:lineRule="exact"/>
        <w:ind w:left="1560" w:hanging="360"/>
        <w:rPr>
          <w:rFonts w:ascii="標楷體" w:eastAsia="標楷體" w:hAnsi="標楷體"/>
        </w:rPr>
      </w:pPr>
      <w:r w:rsidRPr="0014655B">
        <w:rPr>
          <w:rFonts w:ascii="標楷體" w:eastAsia="標楷體" w:hAnsi="標楷體"/>
          <w:szCs w:val="24"/>
          <w:lang w:val="zh-TW" w:bidi="zh-TW"/>
        </w:rPr>
        <w:t>II.先前已使用過platinum類化學治療失敗後，又有疾病惡化的復發</w:t>
      </w:r>
      <w:r w:rsidRPr="0014655B">
        <w:rPr>
          <w:rFonts w:ascii="標楷體" w:eastAsia="標楷體" w:hAnsi="標楷體"/>
          <w:szCs w:val="24"/>
          <w:lang w:bidi="zh-TW"/>
        </w:rPr>
        <w:t>性或</w:t>
      </w:r>
      <w:r w:rsidRPr="0014655B">
        <w:rPr>
          <w:rFonts w:ascii="標楷體" w:eastAsia="標楷體" w:hAnsi="標楷體"/>
          <w:szCs w:val="24"/>
          <w:lang w:val="zh-TW" w:bidi="zh-TW"/>
        </w:rPr>
        <w:t>轉移性(第三期或第四期)頭頸部鱗狀細胞癌成人患者。(108/4/1、109/11/1、112/12/1）</w:t>
      </w:r>
    </w:p>
    <w:p w:rsidR="002465F4" w:rsidRPr="0014655B" w:rsidRDefault="002465F4" w:rsidP="002465F4">
      <w:pPr>
        <w:tabs>
          <w:tab w:val="left" w:pos="1046"/>
        </w:tabs>
        <w:spacing w:line="400" w:lineRule="exact"/>
        <w:ind w:left="1080" w:hanging="360"/>
        <w:rPr>
          <w:rFonts w:ascii="標楷體" w:eastAsia="標楷體" w:hAnsi="標楷體"/>
        </w:rPr>
      </w:pPr>
      <w:r w:rsidRPr="0014655B">
        <w:rPr>
          <w:rFonts w:ascii="標楷體" w:eastAsia="標楷體" w:hAnsi="標楷體"/>
          <w:szCs w:val="24"/>
          <w:lang w:val="zh-TW" w:bidi="zh-TW"/>
        </w:rPr>
        <w:tab/>
      </w:r>
      <w:r w:rsidRPr="0014655B">
        <w:rPr>
          <w:rFonts w:ascii="標楷體" w:eastAsia="標楷體" w:hAnsi="標楷體"/>
          <w:szCs w:val="24"/>
          <w:lang w:val="zh-TW" w:bidi="zh-TW"/>
        </w:rPr>
        <w:tab/>
        <w:t xml:space="preserve"> III.本類藥品與cetuximab僅能擇一使用，且治療失敗時不可互換。(108/4/1）</w:t>
      </w:r>
    </w:p>
    <w:p w:rsidR="002465F4" w:rsidRPr="00B366AA" w:rsidRDefault="002465F4" w:rsidP="002465F4">
      <w:pPr>
        <w:spacing w:line="400" w:lineRule="exact"/>
        <w:ind w:left="1134" w:hanging="386"/>
        <w:rPr>
          <w:rFonts w:ascii="標楷體" w:eastAsia="標楷體" w:hAnsi="標楷體"/>
          <w:szCs w:val="24"/>
          <w:lang w:val="zh-TW" w:bidi="zh-TW"/>
        </w:rPr>
      </w:pPr>
      <w:r w:rsidRPr="0014655B">
        <w:rPr>
          <w:rFonts w:ascii="標楷體" w:eastAsia="標楷體" w:hAnsi="標楷體"/>
          <w:color w:val="000000"/>
        </w:rPr>
        <w:t>(6)轉移</w:t>
      </w:r>
      <w:r w:rsidRPr="00B366AA">
        <w:rPr>
          <w:rFonts w:ascii="標楷體" w:eastAsia="標楷體" w:hAnsi="標楷體"/>
          <w:szCs w:val="24"/>
          <w:lang w:val="zh-TW" w:bidi="zh-TW"/>
        </w:rPr>
        <w:t>性胃癌：先前已使用過二線(含)以上化學治療均失敗，又有疾病惡化的轉移性胃腺癌成人患者，且於109年4月1日前經審核同意用藥，後續評估符合續用申請條件者。(109/4/1)</w:t>
      </w:r>
    </w:p>
    <w:p w:rsidR="002465F4" w:rsidRPr="00B366AA" w:rsidRDefault="002465F4" w:rsidP="002465F4">
      <w:pPr>
        <w:spacing w:line="400" w:lineRule="exact"/>
        <w:ind w:left="1134" w:hanging="386"/>
        <w:rPr>
          <w:rFonts w:ascii="標楷體" w:eastAsia="標楷體" w:hAnsi="標楷體"/>
          <w:szCs w:val="24"/>
          <w:lang w:val="zh-TW" w:bidi="zh-TW"/>
        </w:rPr>
      </w:pPr>
      <w:r w:rsidRPr="00B366AA">
        <w:rPr>
          <w:rFonts w:ascii="標楷體" w:eastAsia="標楷體" w:hAnsi="標楷體"/>
          <w:szCs w:val="24"/>
          <w:lang w:val="zh-TW" w:bidi="zh-TW"/>
        </w:rPr>
        <w:t>(7)晚期腎細胞癌：先前已使用過至少二線標靶藥物治療均失敗，又有疾病惡化之晚期腎細胞癌，其病理上為亮細胞癌(clear cell renal carcinoma)之成人患者。</w:t>
      </w:r>
    </w:p>
    <w:p w:rsidR="002465F4" w:rsidRPr="0014655B" w:rsidRDefault="002465F4" w:rsidP="002465F4">
      <w:pPr>
        <w:spacing w:line="400" w:lineRule="exact"/>
        <w:ind w:left="1134" w:hanging="386"/>
        <w:rPr>
          <w:rFonts w:ascii="標楷體" w:eastAsia="標楷體" w:hAnsi="標楷體"/>
          <w:color w:val="000000"/>
        </w:rPr>
      </w:pPr>
      <w:r w:rsidRPr="00B366AA">
        <w:rPr>
          <w:rFonts w:ascii="標楷體" w:eastAsia="標楷體" w:hAnsi="標楷體"/>
          <w:szCs w:val="24"/>
          <w:lang w:val="zh-TW" w:bidi="zh-TW"/>
        </w:rPr>
        <w:t>(8)晚期肝</w:t>
      </w:r>
      <w:r w:rsidRPr="0014655B">
        <w:rPr>
          <w:rFonts w:ascii="標楷體" w:eastAsia="標楷體" w:hAnsi="標楷體"/>
          <w:color w:val="000000"/>
        </w:rPr>
        <w:t>細胞癌：需同時符合下列所有條件：</w:t>
      </w:r>
    </w:p>
    <w:p w:rsidR="002465F4" w:rsidRPr="0014655B" w:rsidRDefault="002465F4" w:rsidP="002465F4">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Ⅰ.Child-Pugh A class肝細胞癌成人患者。</w:t>
      </w:r>
    </w:p>
    <w:p w:rsidR="002465F4" w:rsidRPr="0014655B" w:rsidRDefault="002465F4" w:rsidP="002465F4">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Ⅱ.先前經T.A.C.E.於12個月內&gt;=3次局部治療失敗者。</w:t>
      </w:r>
    </w:p>
    <w:p w:rsidR="002465F4" w:rsidRPr="0014655B" w:rsidRDefault="002465F4" w:rsidP="002465F4">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Ⅲ.已使用過至少一線標靶藥物治療失敗，又有疾病惡化者。本類藥品與regorafenib、ramucirumab僅能擇一使用，且治療失敗時不可互換。(108/6/1、110/5/1)</w:t>
      </w:r>
    </w:p>
    <w:p w:rsidR="002465F4" w:rsidRPr="0014655B" w:rsidRDefault="002465F4" w:rsidP="002465F4">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Ⅳ.未曾進行肝臟移植。</w:t>
      </w:r>
    </w:p>
    <w:p w:rsidR="002465F4" w:rsidRPr="0014655B" w:rsidRDefault="002465F4" w:rsidP="002465F4">
      <w:pPr>
        <w:tabs>
          <w:tab w:val="left" w:pos="1185"/>
        </w:tabs>
        <w:spacing w:line="400" w:lineRule="exact"/>
        <w:ind w:left="1416" w:hanging="245"/>
        <w:rPr>
          <w:rFonts w:ascii="標楷體" w:eastAsia="標楷體" w:hAnsi="標楷體"/>
          <w:color w:val="000000"/>
        </w:rPr>
      </w:pPr>
      <w:r w:rsidRPr="0014655B">
        <w:rPr>
          <w:rFonts w:ascii="標楷體" w:eastAsia="標楷體" w:hAnsi="標楷體"/>
          <w:color w:val="000000"/>
        </w:rPr>
        <w:t>Ⅴ.於109年4月1日前經審核同意用藥，後續評估符合續用申請條件者。(109/4/1)</w:t>
      </w:r>
    </w:p>
    <w:p w:rsidR="002465F4" w:rsidRPr="00B366AA" w:rsidRDefault="002465F4" w:rsidP="002465F4">
      <w:pPr>
        <w:spacing w:line="400" w:lineRule="exact"/>
        <w:ind w:left="1134" w:hanging="386"/>
        <w:rPr>
          <w:rFonts w:ascii="標楷體" w:eastAsia="標楷體" w:hAnsi="標楷體"/>
          <w:szCs w:val="24"/>
          <w:lang w:val="zh-TW" w:bidi="zh-TW"/>
        </w:rPr>
      </w:pPr>
      <w:r w:rsidRPr="0014655B">
        <w:rPr>
          <w:rFonts w:ascii="標楷體" w:eastAsia="標楷體" w:hAnsi="標楷體"/>
          <w:color w:val="000000"/>
        </w:rPr>
        <w:t>(9)默克細胞</w:t>
      </w:r>
      <w:r w:rsidRPr="00B366AA">
        <w:rPr>
          <w:rFonts w:ascii="標楷體" w:eastAsia="標楷體" w:hAnsi="標楷體"/>
          <w:szCs w:val="24"/>
          <w:lang w:val="zh-TW" w:bidi="zh-TW"/>
        </w:rPr>
        <w:t>癌</w:t>
      </w:r>
      <w:r w:rsidRPr="007B6FCC">
        <w:rPr>
          <w:rFonts w:ascii="標楷體" w:eastAsia="標楷體" w:hAnsi="標楷體"/>
          <w:szCs w:val="24"/>
          <w:lang w:bidi="zh-TW"/>
        </w:rPr>
        <w:t>：</w:t>
      </w:r>
      <w:r w:rsidRPr="00B366AA">
        <w:rPr>
          <w:rFonts w:ascii="標楷體" w:eastAsia="標楷體" w:hAnsi="標楷體"/>
          <w:szCs w:val="24"/>
          <w:lang w:val="zh-TW" w:bidi="zh-TW"/>
        </w:rPr>
        <w:t>限</w:t>
      </w:r>
      <w:r w:rsidRPr="007B6FCC">
        <w:rPr>
          <w:rFonts w:ascii="標楷體" w:eastAsia="標楷體" w:hAnsi="標楷體"/>
          <w:szCs w:val="24"/>
          <w:lang w:bidi="zh-TW"/>
        </w:rPr>
        <w:t>avelumab</w:t>
      </w:r>
      <w:r w:rsidRPr="00B366AA">
        <w:rPr>
          <w:rFonts w:ascii="標楷體" w:eastAsia="標楷體" w:hAnsi="標楷體"/>
          <w:szCs w:val="24"/>
          <w:lang w:val="zh-TW" w:bidi="zh-TW"/>
        </w:rPr>
        <w:t>用於先前已使用過</w:t>
      </w:r>
      <w:r w:rsidRPr="007B6FCC">
        <w:rPr>
          <w:rFonts w:ascii="標楷體" w:eastAsia="標楷體" w:hAnsi="標楷體"/>
          <w:szCs w:val="24"/>
          <w:lang w:bidi="zh-TW"/>
        </w:rPr>
        <w:t>platinum</w:t>
      </w:r>
      <w:r w:rsidRPr="00B366AA">
        <w:rPr>
          <w:rFonts w:ascii="標楷體" w:eastAsia="標楷體" w:hAnsi="標楷體"/>
          <w:szCs w:val="24"/>
          <w:lang w:val="zh-TW" w:bidi="zh-TW"/>
        </w:rPr>
        <w:t>類化學治療失敗後</w:t>
      </w:r>
      <w:r w:rsidRPr="007B6FCC">
        <w:rPr>
          <w:rFonts w:ascii="標楷體" w:eastAsia="標楷體" w:hAnsi="標楷體"/>
          <w:szCs w:val="24"/>
          <w:lang w:bidi="zh-TW"/>
        </w:rPr>
        <w:t>，</w:t>
      </w:r>
      <w:r w:rsidRPr="00B366AA">
        <w:rPr>
          <w:rFonts w:ascii="標楷體" w:eastAsia="標楷體" w:hAnsi="標楷體"/>
          <w:szCs w:val="24"/>
          <w:lang w:val="zh-TW" w:bidi="zh-TW"/>
        </w:rPr>
        <w:t>又有疾病惡化之轉移性第四期默克細胞癌</w:t>
      </w:r>
      <w:r w:rsidRPr="007B6FCC">
        <w:rPr>
          <w:rFonts w:ascii="標楷體" w:eastAsia="標楷體" w:hAnsi="標楷體"/>
          <w:szCs w:val="24"/>
          <w:lang w:bidi="zh-TW"/>
        </w:rPr>
        <w:t>(Merkel Cell Carcinoma)</w:t>
      </w:r>
      <w:r w:rsidRPr="00B366AA">
        <w:rPr>
          <w:rFonts w:ascii="標楷體" w:eastAsia="標楷體" w:hAnsi="標楷體"/>
          <w:szCs w:val="24"/>
          <w:lang w:val="zh-TW" w:bidi="zh-TW"/>
        </w:rPr>
        <w:t>之成人患者。(109/6/1)</w:t>
      </w:r>
    </w:p>
    <w:p w:rsidR="002465F4" w:rsidRPr="00B366AA" w:rsidRDefault="002465F4" w:rsidP="002465F4">
      <w:pPr>
        <w:spacing w:line="400" w:lineRule="exact"/>
        <w:ind w:left="1134" w:hanging="386"/>
        <w:rPr>
          <w:rFonts w:ascii="標楷體" w:eastAsia="標楷體" w:hAnsi="標楷體"/>
          <w:szCs w:val="24"/>
          <w:lang w:val="zh-TW" w:bidi="zh-TW"/>
        </w:rPr>
      </w:pPr>
      <w:r w:rsidRPr="00B366AA">
        <w:rPr>
          <w:rFonts w:ascii="標楷體" w:eastAsia="標楷體" w:hAnsi="標楷體"/>
          <w:szCs w:val="24"/>
          <w:lang w:val="zh-TW" w:bidi="zh-TW"/>
        </w:rPr>
        <w:t>(10)食道鱗狀細胞癌：限以nivolumab 120mg規格量品項用於曾接受合併含鉑及</w:t>
      </w:r>
      <w:r w:rsidRPr="00B366AA">
        <w:rPr>
          <w:rFonts w:ascii="標楷體" w:eastAsia="標楷體" w:hAnsi="標楷體"/>
          <w:szCs w:val="24"/>
          <w:lang w:val="zh-TW" w:bidi="zh-TW"/>
        </w:rPr>
        <w:lastRenderedPageBreak/>
        <w:t>fluoropyrimidine化學治療之後惡化的無法切除晚期或復發性食道鱗狀細胞癌病人。(113/4/1、113/6/1)</w:t>
      </w:r>
    </w:p>
    <w:p w:rsidR="002465F4" w:rsidRPr="0014655B" w:rsidRDefault="002465F4" w:rsidP="002465F4">
      <w:pPr>
        <w:spacing w:line="400" w:lineRule="exact"/>
        <w:ind w:left="1134" w:hanging="386"/>
        <w:rPr>
          <w:rFonts w:ascii="標楷體" w:eastAsia="標楷體" w:hAnsi="標楷體" w:cs="標楷體.鬁..."/>
          <w:color w:val="000000"/>
          <w:kern w:val="0"/>
          <w:szCs w:val="24"/>
        </w:rPr>
      </w:pPr>
      <w:r w:rsidRPr="00B366AA">
        <w:rPr>
          <w:rFonts w:ascii="標楷體" w:eastAsia="標楷體" w:hAnsi="標楷體"/>
          <w:szCs w:val="24"/>
          <w:lang w:val="zh-TW" w:bidi="zh-TW"/>
        </w:rPr>
        <w:t>(11)大腸直腸癌</w:t>
      </w:r>
      <w:r w:rsidRPr="0014655B">
        <w:rPr>
          <w:rFonts w:ascii="標楷體" w:eastAsia="標楷體" w:hAnsi="標楷體" w:cs="標楷體.鬁..."/>
          <w:color w:val="000000"/>
          <w:kern w:val="0"/>
          <w:szCs w:val="24"/>
        </w:rPr>
        <w:t>：限pembrolizumab做為無法切除或轉移性高微衛星不穩定性(MSI-H)或錯誤配對修復功能不足性(dMMR)大腸直腸癌(CRC)之成年病人第一線治療。(114/6/1)</w:t>
      </w:r>
    </w:p>
    <w:p w:rsidR="002465F4" w:rsidRDefault="002465F4" w:rsidP="002465F4">
      <w:pPr>
        <w:tabs>
          <w:tab w:val="left" w:pos="945"/>
        </w:tabs>
        <w:spacing w:line="400" w:lineRule="exact"/>
        <w:ind w:leftChars="236" w:left="708" w:hangingChars="59" w:hanging="142"/>
        <w:rPr>
          <w:rFonts w:ascii="標楷體" w:eastAsia="標楷體" w:hAnsi="標楷體"/>
          <w:szCs w:val="24"/>
        </w:rPr>
      </w:pPr>
      <w:r w:rsidRPr="0014655B">
        <w:rPr>
          <w:rFonts w:ascii="標楷體" w:eastAsia="標楷體" w:hAnsi="標楷體"/>
          <w:color w:val="000000"/>
          <w:szCs w:val="24"/>
        </w:rPr>
        <w:t>2.</w:t>
      </w:r>
      <w:r w:rsidRPr="0014655B">
        <w:rPr>
          <w:rFonts w:ascii="標楷體" w:eastAsia="標楷體" w:hAnsi="標楷體"/>
          <w:szCs w:val="24"/>
        </w:rPr>
        <w:t>本類藥品得於藥品</w:t>
      </w:r>
      <w:r w:rsidRPr="00B366AA">
        <w:rPr>
          <w:rFonts w:ascii="標楷體" w:eastAsia="標楷體" w:hAnsi="標楷體"/>
          <w:color w:val="000000"/>
        </w:rPr>
        <w:t>許可證</w:t>
      </w:r>
      <w:r w:rsidRPr="0014655B">
        <w:rPr>
          <w:rFonts w:ascii="標楷體" w:eastAsia="標楷體" w:hAnsi="標楷體"/>
          <w:szCs w:val="24"/>
        </w:rPr>
        <w:t>登載之適應症及藥品仿單內，併用其他藥品於下列患者：</w:t>
      </w:r>
    </w:p>
    <w:p w:rsidR="002465F4" w:rsidRPr="0014655B" w:rsidRDefault="002465F4" w:rsidP="002465F4">
      <w:pPr>
        <w:tabs>
          <w:tab w:val="left" w:pos="945"/>
        </w:tabs>
        <w:spacing w:line="400" w:lineRule="exact"/>
        <w:ind w:leftChars="295" w:left="708" w:firstLineChars="59" w:firstLine="142"/>
        <w:rPr>
          <w:rFonts w:ascii="標楷體" w:eastAsia="標楷體" w:hAnsi="標楷體"/>
        </w:rPr>
      </w:pPr>
      <w:r w:rsidRPr="0014655B">
        <w:rPr>
          <w:rFonts w:ascii="標楷體" w:eastAsia="標楷體" w:hAnsi="標楷體"/>
          <w:szCs w:val="24"/>
        </w:rPr>
        <w:t>(112/12/1</w:t>
      </w:r>
      <w:r w:rsidRPr="0014655B">
        <w:rPr>
          <w:rFonts w:ascii="標楷體" w:eastAsia="標楷體" w:hAnsi="標楷體"/>
          <w:color w:val="000000"/>
        </w:rPr>
        <w:t>、113/4/1、113/6/1、113/8/1、114/2/1、</w:t>
      </w:r>
      <w:r w:rsidRPr="0014655B">
        <w:rPr>
          <w:rFonts w:ascii="標楷體" w:eastAsia="標楷體" w:hAnsi="標楷體" w:cs="標楷體.鬁..."/>
          <w:color w:val="000000"/>
          <w:kern w:val="0"/>
          <w:szCs w:val="24"/>
        </w:rPr>
        <w:t>114/6/1</w:t>
      </w:r>
      <w:r w:rsidRPr="0014655B">
        <w:rPr>
          <w:rFonts w:ascii="標楷體" w:eastAsia="標楷體" w:hAnsi="標楷體"/>
          <w:szCs w:val="24"/>
        </w:rPr>
        <w:t>)</w:t>
      </w:r>
    </w:p>
    <w:p w:rsidR="002465F4" w:rsidRPr="0014655B" w:rsidRDefault="002465F4" w:rsidP="002465F4">
      <w:pPr>
        <w:spacing w:line="400" w:lineRule="exact"/>
        <w:ind w:left="1134" w:hanging="386"/>
        <w:rPr>
          <w:rFonts w:ascii="標楷體" w:eastAsia="標楷體" w:hAnsi="標楷體"/>
        </w:rPr>
      </w:pPr>
      <w:r w:rsidRPr="0014655B">
        <w:rPr>
          <w:rFonts w:ascii="標楷體" w:eastAsia="標楷體" w:hAnsi="標楷體"/>
          <w:szCs w:val="24"/>
        </w:rPr>
        <w:t>(1)</w:t>
      </w:r>
      <w:r w:rsidRPr="00B366AA">
        <w:rPr>
          <w:rFonts w:ascii="標楷體" w:eastAsia="標楷體" w:hAnsi="標楷體"/>
          <w:szCs w:val="24"/>
          <w:lang w:val="zh-TW" w:bidi="zh-TW"/>
        </w:rPr>
        <w:t>晚期</w:t>
      </w:r>
      <w:r w:rsidRPr="0014655B">
        <w:rPr>
          <w:rFonts w:ascii="標楷體" w:eastAsia="標楷體" w:hAnsi="標楷體"/>
          <w:szCs w:val="24"/>
        </w:rPr>
        <w:t>肝細胞癌第一線用藥(112/8/1、112/10/1、114/2/1):</w:t>
      </w:r>
    </w:p>
    <w:p w:rsidR="002465F4" w:rsidRPr="0014655B" w:rsidRDefault="002465F4" w:rsidP="002465F4">
      <w:pPr>
        <w:spacing w:line="400" w:lineRule="exact"/>
        <w:ind w:left="1514" w:hanging="386"/>
        <w:rPr>
          <w:rFonts w:ascii="標楷體" w:eastAsia="標楷體" w:hAnsi="標楷體"/>
        </w:rPr>
      </w:pPr>
      <w:r w:rsidRPr="0014655B">
        <w:rPr>
          <w:rFonts w:ascii="標楷體" w:eastAsia="標楷體" w:hAnsi="標楷體"/>
          <w:szCs w:val="24"/>
        </w:rPr>
        <w:t>Ⅰ.限atezolizumab與bevacizumab併用，或限durvalumab與tremelimumab併用，適用於治療未曾接受全身性療法之轉移性或無法手術切除且不適合局部治療或局部治療失敗之Child-Pugh A class晚期肝細胞癌成人患者，並符合下列條件之一：（112/8/1、112/10/1、114/2/1)</w:t>
      </w:r>
    </w:p>
    <w:p w:rsidR="002465F4" w:rsidRPr="0014655B" w:rsidRDefault="002465F4" w:rsidP="002465F4">
      <w:pPr>
        <w:tabs>
          <w:tab w:val="left" w:pos="1185"/>
        </w:tabs>
        <w:spacing w:line="400" w:lineRule="exact"/>
        <w:ind w:left="1771" w:hanging="245"/>
        <w:rPr>
          <w:rFonts w:ascii="標楷體" w:eastAsia="標楷體" w:hAnsi="標楷體"/>
          <w:szCs w:val="24"/>
        </w:rPr>
      </w:pPr>
      <w:r w:rsidRPr="0014655B">
        <w:rPr>
          <w:rFonts w:ascii="標楷體" w:eastAsia="標楷體" w:hAnsi="標楷體"/>
          <w:szCs w:val="24"/>
        </w:rPr>
        <w:t>i.肝外轉移（遠端轉移或肝外淋巴結侵犯）。</w:t>
      </w:r>
    </w:p>
    <w:p w:rsidR="002465F4" w:rsidRPr="0014655B" w:rsidRDefault="002465F4" w:rsidP="002465F4">
      <w:pPr>
        <w:tabs>
          <w:tab w:val="left" w:pos="1185"/>
        </w:tabs>
        <w:spacing w:line="400" w:lineRule="exact"/>
        <w:ind w:left="1771" w:hanging="245"/>
        <w:rPr>
          <w:rFonts w:ascii="標楷體" w:eastAsia="標楷體" w:hAnsi="標楷體"/>
          <w:szCs w:val="24"/>
        </w:rPr>
      </w:pPr>
      <w:r w:rsidRPr="0014655B">
        <w:rPr>
          <w:rFonts w:ascii="標楷體" w:eastAsia="標楷體" w:hAnsi="標楷體"/>
          <w:szCs w:val="24"/>
        </w:rPr>
        <w:t>ii.大血管侵犯（腫瘤侵犯主門靜脈或侵犯左/右靜脈第一或第二分支）。</w:t>
      </w:r>
    </w:p>
    <w:p w:rsidR="002465F4" w:rsidRPr="0014655B" w:rsidRDefault="002465F4" w:rsidP="002465F4">
      <w:pPr>
        <w:tabs>
          <w:tab w:val="left" w:pos="1185"/>
        </w:tabs>
        <w:spacing w:line="400" w:lineRule="exact"/>
        <w:ind w:left="1980" w:hanging="454"/>
        <w:rPr>
          <w:rFonts w:ascii="標楷體" w:eastAsia="標楷體" w:hAnsi="標楷體"/>
        </w:rPr>
      </w:pPr>
      <w:r w:rsidRPr="0014655B">
        <w:rPr>
          <w:rFonts w:ascii="標楷體" w:eastAsia="標楷體" w:hAnsi="標楷體"/>
          <w:szCs w:val="24"/>
        </w:rPr>
        <w:t>iii.經導管動脈化學藥物栓塞治療（Transcatheter arterial chemo embolization, T.A.C.E.）失敗者，需提供患者於12個月內&gt;=3次局部治療之紀錄。</w:t>
      </w:r>
    </w:p>
    <w:p w:rsidR="002465F4" w:rsidRPr="0014655B" w:rsidRDefault="002465F4" w:rsidP="002465F4">
      <w:pPr>
        <w:spacing w:line="400" w:lineRule="exact"/>
        <w:ind w:left="1514" w:hanging="386"/>
        <w:rPr>
          <w:rFonts w:ascii="標楷體" w:eastAsia="標楷體" w:hAnsi="標楷體"/>
        </w:rPr>
      </w:pPr>
      <w:r w:rsidRPr="0014655B">
        <w:rPr>
          <w:rFonts w:ascii="標楷體" w:eastAsia="標楷體" w:hAnsi="標楷體"/>
          <w:color w:val="000000"/>
        </w:rPr>
        <w:t>II.</w:t>
      </w:r>
      <w:r w:rsidRPr="0014655B">
        <w:rPr>
          <w:rFonts w:ascii="標楷體" w:eastAsia="標楷體" w:hAnsi="標楷體"/>
          <w:szCs w:val="24"/>
        </w:rPr>
        <w:t>須排除有以下任一情形：</w:t>
      </w:r>
    </w:p>
    <w:p w:rsidR="002465F4" w:rsidRPr="0014655B" w:rsidRDefault="002465F4" w:rsidP="002465F4">
      <w:pPr>
        <w:tabs>
          <w:tab w:val="left" w:pos="1185"/>
        </w:tabs>
        <w:spacing w:line="400" w:lineRule="exact"/>
        <w:ind w:left="1798" w:hanging="245"/>
        <w:rPr>
          <w:rFonts w:ascii="標楷體" w:eastAsia="標楷體" w:hAnsi="標楷體"/>
          <w:szCs w:val="24"/>
        </w:rPr>
      </w:pPr>
      <w:r w:rsidRPr="0014655B">
        <w:rPr>
          <w:rFonts w:ascii="標楷體" w:eastAsia="標楷體" w:hAnsi="標楷體"/>
          <w:szCs w:val="24"/>
        </w:rPr>
        <w:t>i.曾接受器官移植。</w:t>
      </w:r>
    </w:p>
    <w:p w:rsidR="002465F4" w:rsidRPr="0014655B" w:rsidRDefault="002465F4" w:rsidP="002465F4">
      <w:pPr>
        <w:tabs>
          <w:tab w:val="left" w:pos="1185"/>
        </w:tabs>
        <w:spacing w:line="400" w:lineRule="exact"/>
        <w:ind w:left="1798" w:hanging="245"/>
        <w:rPr>
          <w:rFonts w:ascii="標楷體" w:eastAsia="標楷體" w:hAnsi="標楷體"/>
          <w:szCs w:val="24"/>
        </w:rPr>
      </w:pPr>
      <w:r w:rsidRPr="0014655B">
        <w:rPr>
          <w:rFonts w:ascii="標楷體" w:eastAsia="標楷體" w:hAnsi="標楷體"/>
          <w:szCs w:val="24"/>
        </w:rPr>
        <w:t>ii.正在接受免疫抑制藥物治療。</w:t>
      </w:r>
    </w:p>
    <w:p w:rsidR="002465F4" w:rsidRPr="0014655B" w:rsidRDefault="002465F4" w:rsidP="002465F4">
      <w:pPr>
        <w:tabs>
          <w:tab w:val="left" w:pos="1185"/>
        </w:tabs>
        <w:spacing w:line="400" w:lineRule="exact"/>
        <w:ind w:left="2007" w:hanging="454"/>
        <w:rPr>
          <w:rFonts w:ascii="標楷體" w:eastAsia="標楷體" w:hAnsi="標楷體"/>
          <w:szCs w:val="24"/>
        </w:rPr>
      </w:pPr>
      <w:r w:rsidRPr="0014655B">
        <w:rPr>
          <w:rFonts w:ascii="標楷體" w:eastAsia="標楷體" w:hAnsi="標楷體"/>
          <w:szCs w:val="24"/>
        </w:rPr>
        <w:t>iii.有上消化道出血之疑慮且未接受完全治療 (須有半年內之內視鏡評估報告)。</w:t>
      </w:r>
    </w:p>
    <w:p w:rsidR="002465F4" w:rsidRPr="0014655B" w:rsidRDefault="002465F4" w:rsidP="002465F4">
      <w:pPr>
        <w:spacing w:line="400" w:lineRule="exact"/>
        <w:ind w:left="1514" w:hanging="386"/>
        <w:rPr>
          <w:rFonts w:ascii="標楷體" w:eastAsia="標楷體" w:hAnsi="標楷體"/>
        </w:rPr>
      </w:pPr>
      <w:r w:rsidRPr="0014655B">
        <w:rPr>
          <w:rFonts w:ascii="標楷體" w:eastAsia="標楷體" w:hAnsi="標楷體"/>
          <w:color w:val="000000"/>
        </w:rPr>
        <w:t>III.</w:t>
      </w:r>
      <w:r w:rsidRPr="0014655B">
        <w:rPr>
          <w:rFonts w:ascii="標楷體" w:eastAsia="標楷體" w:hAnsi="標楷體" w:cs="Liberation Serif"/>
          <w:szCs w:val="24"/>
        </w:rPr>
        <w:t>sorafenib、lenvatinib、atezolizumab與bevacizumab併用、durvalumab與tremelimumab併用僅得擇一給付，不得互換。(114/2/1)</w:t>
      </w:r>
    </w:p>
    <w:p w:rsidR="002465F4" w:rsidRPr="0014655B" w:rsidRDefault="002465F4" w:rsidP="002465F4">
      <w:pPr>
        <w:spacing w:line="400" w:lineRule="exact"/>
        <w:ind w:left="1514" w:hanging="386"/>
        <w:rPr>
          <w:rFonts w:ascii="標楷體" w:eastAsia="標楷體" w:hAnsi="標楷體"/>
        </w:rPr>
      </w:pPr>
      <w:r w:rsidRPr="0014655B">
        <w:rPr>
          <w:rFonts w:ascii="標楷體" w:eastAsia="標楷體" w:hAnsi="標楷體"/>
          <w:color w:val="000000"/>
        </w:rPr>
        <w:t>IV.</w:t>
      </w:r>
      <w:r w:rsidRPr="0014655B">
        <w:rPr>
          <w:rFonts w:ascii="標楷體" w:eastAsia="標楷體" w:hAnsi="標楷體"/>
          <w:szCs w:val="24"/>
        </w:rPr>
        <w:t>atezolizumab與bevacizumab併用或durvalumab與tremelimumab併用治療失敗後，不得申請使用regorafenib或ramucirumab。(114/2/1)</w:t>
      </w:r>
    </w:p>
    <w:p w:rsidR="002465F4" w:rsidRPr="0014655B" w:rsidRDefault="002465F4" w:rsidP="002465F4">
      <w:pPr>
        <w:spacing w:line="400" w:lineRule="exact"/>
        <w:ind w:left="1134" w:hanging="386"/>
        <w:rPr>
          <w:rFonts w:ascii="標楷體" w:eastAsia="標楷體" w:hAnsi="標楷體"/>
        </w:rPr>
      </w:pPr>
      <w:r>
        <w:rPr>
          <w:rFonts w:ascii="標楷體" w:eastAsia="標楷體" w:hAnsi="標楷體" w:hint="eastAsia"/>
          <w:kern w:val="0"/>
          <w:szCs w:val="24"/>
        </w:rPr>
        <w:t>(2)</w:t>
      </w:r>
      <w:r w:rsidRPr="0014655B">
        <w:rPr>
          <w:rFonts w:ascii="標楷體" w:eastAsia="標楷體" w:hAnsi="標楷體"/>
          <w:kern w:val="0"/>
          <w:szCs w:val="24"/>
        </w:rPr>
        <w:t>非小細胞肺癌：(112/12/1、113/4/1、113/8/1、</w:t>
      </w:r>
      <w:r w:rsidRPr="0014655B">
        <w:rPr>
          <w:rFonts w:ascii="標楷體" w:eastAsia="標楷體" w:hAnsi="標楷體" w:cs="標楷體.鬁..."/>
          <w:color w:val="000000"/>
          <w:kern w:val="0"/>
          <w:szCs w:val="24"/>
        </w:rPr>
        <w:t>114/6/1</w:t>
      </w:r>
      <w:r w:rsidRPr="0014655B">
        <w:rPr>
          <w:rFonts w:ascii="標楷體" w:eastAsia="標楷體" w:hAnsi="標楷體" w:cs="新細明體"/>
          <w:kern w:val="0"/>
          <w:szCs w:val="24"/>
        </w:rPr>
        <w:t>)</w:t>
      </w:r>
    </w:p>
    <w:p w:rsidR="002465F4" w:rsidRPr="0014655B" w:rsidRDefault="002465F4" w:rsidP="002465F4">
      <w:pPr>
        <w:numPr>
          <w:ilvl w:val="0"/>
          <w:numId w:val="27"/>
        </w:numPr>
        <w:spacing w:line="400" w:lineRule="exact"/>
        <w:ind w:left="1560" w:hanging="284"/>
        <w:rPr>
          <w:rFonts w:ascii="標楷體" w:eastAsia="標楷體" w:hAnsi="標楷體"/>
          <w:kern w:val="0"/>
          <w:szCs w:val="24"/>
        </w:rPr>
      </w:pPr>
      <w:r w:rsidRPr="0014655B">
        <w:rPr>
          <w:rFonts w:ascii="標楷體" w:eastAsia="標楷體" w:hAnsi="標楷體"/>
          <w:kern w:val="0"/>
          <w:szCs w:val="24"/>
        </w:rPr>
        <w:t>轉移性鱗狀非小細胞肺癌第一線用藥：限pembrolizumab與carboplatin及paclitaxel併用至多使用4個療程，接續單用pembrolizumab治療。(112/12/1、113/4/1、113/8/1)</w:t>
      </w:r>
    </w:p>
    <w:p w:rsidR="002465F4" w:rsidRPr="0014655B" w:rsidRDefault="002465F4" w:rsidP="002465F4">
      <w:pPr>
        <w:numPr>
          <w:ilvl w:val="0"/>
          <w:numId w:val="27"/>
        </w:numPr>
        <w:spacing w:line="400" w:lineRule="exact"/>
        <w:ind w:left="1701" w:hanging="426"/>
        <w:rPr>
          <w:rFonts w:ascii="標楷體" w:eastAsia="標楷體" w:hAnsi="標楷體"/>
        </w:rPr>
      </w:pPr>
      <w:r w:rsidRPr="0014655B">
        <w:rPr>
          <w:rFonts w:ascii="標楷體" w:eastAsia="標楷體" w:hAnsi="標楷體" w:cs="新細明體"/>
          <w:kern w:val="0"/>
          <w:szCs w:val="24"/>
        </w:rPr>
        <w:t>轉移</w:t>
      </w:r>
      <w:r w:rsidRPr="0014655B">
        <w:rPr>
          <w:rFonts w:ascii="標楷體" w:eastAsia="標楷體" w:hAnsi="標楷體"/>
          <w:kern w:val="0"/>
          <w:szCs w:val="24"/>
        </w:rPr>
        <w:t>性非鱗狀非小細胞肺癌第一線：限pembrolizumab與</w:t>
      </w:r>
      <w:bookmarkStart w:id="20" w:name="_Hlk175765322"/>
      <w:r w:rsidRPr="0014655B">
        <w:rPr>
          <w:rFonts w:ascii="標楷體" w:eastAsia="標楷體" w:hAnsi="標楷體"/>
          <w:kern w:val="0"/>
          <w:szCs w:val="24"/>
        </w:rPr>
        <w:t>pemetrexed</w:t>
      </w:r>
      <w:bookmarkEnd w:id="20"/>
      <w:r w:rsidRPr="0014655B">
        <w:rPr>
          <w:rFonts w:ascii="標楷體" w:eastAsia="標楷體" w:hAnsi="標楷體"/>
          <w:kern w:val="0"/>
          <w:szCs w:val="24"/>
        </w:rPr>
        <w:t>(限使用Pexeda、Apeta或Pemetrexed Sandoz)及含鉑類化學療法併用，或限atezolizumab與bevacizumab(限使用Alymsys、Avastin、Abevmy、Vegzelma或Mvasi)及carboplatin、paclitaxel併用，做為轉移性且不具有EGFR/ALK/ROS-1腫瘤基因異常的非鱗狀非小細胞肺癌第一線治療。(114/6/1、114/8/1)</w:t>
      </w:r>
    </w:p>
    <w:p w:rsidR="002465F4" w:rsidRPr="007F2B01" w:rsidRDefault="002465F4" w:rsidP="002465F4">
      <w:pPr>
        <w:spacing w:line="400" w:lineRule="exact"/>
        <w:ind w:left="1134" w:hanging="386"/>
        <w:rPr>
          <w:rFonts w:ascii="標楷體" w:eastAsia="標楷體" w:hAnsi="標楷體"/>
          <w:kern w:val="0"/>
          <w:szCs w:val="24"/>
        </w:rPr>
      </w:pPr>
      <w:r w:rsidRPr="0014655B">
        <w:rPr>
          <w:rFonts w:ascii="標楷體" w:eastAsia="標楷體" w:hAnsi="標楷體"/>
          <w:szCs w:val="24"/>
        </w:rPr>
        <w:lastRenderedPageBreak/>
        <w:t>(3)小細胞肺癌：</w:t>
      </w:r>
      <w:r w:rsidRPr="007F2B01">
        <w:rPr>
          <w:rFonts w:ascii="標楷體" w:eastAsia="標楷體" w:hAnsi="標楷體"/>
          <w:kern w:val="0"/>
          <w:szCs w:val="24"/>
        </w:rPr>
        <w:t>限atezolizumab與carboplatin及etoposide併用，或durvalumab與etoposide及carboplatin或cisplatin兩者之一併用，適用於先前未曾接受化療，且無腦部或無脊髓轉移之擴散期(extensive stage)小細胞肺癌成人患者。(112/12/1、114/2/1)</w:t>
      </w:r>
    </w:p>
    <w:p w:rsidR="002465F4" w:rsidRPr="007F2B01" w:rsidRDefault="002465F4" w:rsidP="002465F4">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(4)惡性肋膜間皮瘤：限ipilimumab與nivolumab 120mg規格量品項併用於無法切除之惡性肋膜間皮瘤且病理組織顯示為非上皮型(Non-epithelioid)成人病人的第一線治療。(</w:t>
      </w:r>
      <w:r w:rsidRPr="007F2B01">
        <w:rPr>
          <w:rFonts w:ascii="標楷體" w:eastAsia="標楷體" w:hAnsi="標楷體"/>
          <w:kern w:val="0"/>
          <w:szCs w:val="24"/>
        </w:rPr>
        <w:t>113/4/1、113/6/1</w:t>
      </w:r>
      <w:r w:rsidRPr="0014655B">
        <w:rPr>
          <w:rFonts w:ascii="標楷體" w:eastAsia="標楷體" w:hAnsi="標楷體"/>
          <w:kern w:val="0"/>
          <w:szCs w:val="24"/>
        </w:rPr>
        <w:t>)</w:t>
      </w:r>
    </w:p>
    <w:p w:rsidR="002465F4" w:rsidRPr="007F2B01" w:rsidRDefault="002465F4" w:rsidP="002465F4">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(5)胃癌（不含胃腸基質瘤及神經內分泌腫瘤/癌）：限以nivolumab 120mg規格量品項併用fluoropyrimidine（5-FU或capecitabine）及oxaliplatin，用於第一線治療晚期或轉移性且不具有HER2過度表現的胃癌病人。(</w:t>
      </w:r>
      <w:r w:rsidRPr="007F2B01">
        <w:rPr>
          <w:rFonts w:ascii="標楷體" w:eastAsia="標楷體" w:hAnsi="標楷體"/>
          <w:kern w:val="0"/>
          <w:szCs w:val="24"/>
        </w:rPr>
        <w:t>113/4/1、113/6/1</w:t>
      </w:r>
      <w:r w:rsidRPr="0014655B">
        <w:rPr>
          <w:rFonts w:ascii="標楷體" w:eastAsia="標楷體" w:hAnsi="標楷體"/>
          <w:kern w:val="0"/>
          <w:szCs w:val="24"/>
        </w:rPr>
        <w:t>)</w:t>
      </w:r>
    </w:p>
    <w:p w:rsidR="002465F4" w:rsidRPr="0014655B" w:rsidRDefault="002465F4" w:rsidP="002465F4">
      <w:pPr>
        <w:spacing w:line="400" w:lineRule="exact"/>
        <w:ind w:left="1134" w:hanging="386"/>
        <w:rPr>
          <w:rFonts w:ascii="標楷體" w:eastAsia="標楷體" w:hAnsi="標楷體"/>
          <w:kern w:val="0"/>
          <w:szCs w:val="24"/>
        </w:rPr>
      </w:pPr>
      <w:r w:rsidRPr="0014655B">
        <w:rPr>
          <w:rFonts w:ascii="標楷體" w:eastAsia="標楷體" w:hAnsi="標楷體"/>
          <w:kern w:val="0"/>
          <w:szCs w:val="24"/>
        </w:rPr>
        <w:t>(6)膽道癌第一線用藥：限durvalumab與cisplatin及 gemcitabine併用至多使用8個療程，接續單用durvalumab於先前未接受過治療或不可手術之局部晚期或轉移性膽道癌 (biliary tract cancer)，並須排除以下任一情形：(114/2/1)</w:t>
      </w:r>
    </w:p>
    <w:p w:rsidR="002465F4" w:rsidRPr="0014655B" w:rsidRDefault="002465F4" w:rsidP="002465F4">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Ⅰ.壺腹癌。</w:t>
      </w:r>
    </w:p>
    <w:p w:rsidR="002465F4" w:rsidRPr="0014655B" w:rsidRDefault="002465F4" w:rsidP="002465F4">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Ⅱ.曾接受異體器官移植。</w:t>
      </w:r>
    </w:p>
    <w:p w:rsidR="002465F4" w:rsidRPr="0014655B" w:rsidRDefault="002465F4" w:rsidP="002465F4">
      <w:pPr>
        <w:tabs>
          <w:tab w:val="left" w:pos="1418"/>
        </w:tabs>
        <w:spacing w:line="400" w:lineRule="exact"/>
        <w:ind w:left="1166" w:firstLine="110"/>
        <w:rPr>
          <w:rFonts w:ascii="標楷體" w:eastAsia="標楷體" w:hAnsi="標楷體"/>
          <w:kern w:val="0"/>
          <w:szCs w:val="24"/>
        </w:rPr>
      </w:pPr>
      <w:r w:rsidRPr="0014655B">
        <w:rPr>
          <w:rFonts w:ascii="標楷體" w:eastAsia="標楷體" w:hAnsi="標楷體"/>
          <w:kern w:val="0"/>
          <w:szCs w:val="24"/>
        </w:rPr>
        <w:t>Ⅲ.具有或曾有活動性自體免疫或發炎性疾病。</w:t>
      </w:r>
    </w:p>
    <w:p w:rsidR="002465F4" w:rsidRPr="0014655B" w:rsidRDefault="002465F4" w:rsidP="002465F4">
      <w:pPr>
        <w:spacing w:line="400" w:lineRule="exact"/>
        <w:ind w:left="1134" w:hanging="386"/>
        <w:rPr>
          <w:rFonts w:ascii="標楷體" w:eastAsia="標楷體" w:hAnsi="標楷體"/>
          <w:kern w:val="0"/>
          <w:szCs w:val="24"/>
        </w:rPr>
      </w:pPr>
      <w:bookmarkStart w:id="21" w:name="_Hlk191060681"/>
      <w:r>
        <w:rPr>
          <w:rFonts w:ascii="標楷體" w:eastAsia="標楷體" w:hAnsi="標楷體" w:hint="eastAsia"/>
          <w:kern w:val="0"/>
          <w:szCs w:val="24"/>
        </w:rPr>
        <w:t>(7)</w:t>
      </w:r>
      <w:r w:rsidRPr="0014655B">
        <w:rPr>
          <w:rFonts w:ascii="標楷體" w:eastAsia="標楷體" w:hAnsi="標楷體"/>
          <w:kern w:val="0"/>
          <w:szCs w:val="24"/>
        </w:rPr>
        <w:t>早期三陰性乳癌：非轉移性、第II期至第IIIb期</w:t>
      </w:r>
      <w:bookmarkEnd w:id="21"/>
      <w:r w:rsidRPr="0014655B">
        <w:rPr>
          <w:rFonts w:ascii="標楷體" w:eastAsia="標楷體" w:hAnsi="標楷體"/>
          <w:kern w:val="0"/>
          <w:szCs w:val="24"/>
        </w:rPr>
        <w:t>（cT1c N1-2 或 T2-4 N0-2）成年病人(114/6/1)：</w:t>
      </w:r>
    </w:p>
    <w:p w:rsidR="002465F4" w:rsidRPr="0014655B" w:rsidRDefault="002465F4" w:rsidP="002465F4">
      <w:pPr>
        <w:numPr>
          <w:ilvl w:val="0"/>
          <w:numId w:val="29"/>
        </w:numPr>
        <w:tabs>
          <w:tab w:val="left" w:pos="1418"/>
        </w:tabs>
        <w:suppressAutoHyphens w:val="0"/>
        <w:spacing w:line="400" w:lineRule="exact"/>
        <w:ind w:left="1701" w:hanging="425"/>
        <w:jc w:val="both"/>
        <w:textAlignment w:val="auto"/>
        <w:rPr>
          <w:rFonts w:ascii="標楷體" w:eastAsia="標楷體" w:hAnsi="標楷體"/>
        </w:rPr>
      </w:pPr>
      <w:r w:rsidRPr="0014655B">
        <w:rPr>
          <w:rFonts w:ascii="標楷體" w:eastAsia="標楷體" w:hAnsi="標楷體"/>
          <w:kern w:val="0"/>
          <w:szCs w:val="24"/>
        </w:rPr>
        <w:t>術前前導性治療：</w:t>
      </w:r>
      <w:r w:rsidRPr="0014655B">
        <w:rPr>
          <w:rFonts w:ascii="標楷體" w:eastAsia="標楷體" w:hAnsi="標楷體" w:cs="新細明體"/>
          <w:kern w:val="0"/>
          <w:szCs w:val="24"/>
        </w:rPr>
        <w:t>限pembrolizumab每3週1次與carboplatin和paclitaxel併用至多4個療程，接續限pembrolizumab每3週1次與cyclophosphamide和doxorubicin或epirubicin併用至多4個療程，做為初診斷病人前導性治療用藥。</w:t>
      </w:r>
      <w:bookmarkStart w:id="22" w:name="_Hlk191373815"/>
    </w:p>
    <w:bookmarkEnd w:id="22"/>
    <w:p w:rsidR="002465F4" w:rsidRPr="0014655B" w:rsidRDefault="002465F4" w:rsidP="002465F4">
      <w:pPr>
        <w:numPr>
          <w:ilvl w:val="0"/>
          <w:numId w:val="29"/>
        </w:numPr>
        <w:tabs>
          <w:tab w:val="left" w:pos="1418"/>
        </w:tabs>
        <w:suppressAutoHyphens w:val="0"/>
        <w:spacing w:line="400" w:lineRule="exact"/>
        <w:ind w:left="1701" w:hanging="425"/>
        <w:jc w:val="both"/>
        <w:textAlignment w:val="auto"/>
        <w:rPr>
          <w:rFonts w:ascii="標楷體" w:eastAsia="標楷體" w:hAnsi="標楷體"/>
          <w:kern w:val="0"/>
          <w:szCs w:val="24"/>
        </w:rPr>
      </w:pPr>
      <w:r w:rsidRPr="0014655B">
        <w:rPr>
          <w:rFonts w:ascii="標楷體" w:eastAsia="標楷體" w:hAnsi="標楷體"/>
          <w:kern w:val="0"/>
          <w:szCs w:val="24"/>
        </w:rPr>
        <w:t>術後輔助治療：上述病人接受過術前前導性治療後，限手術後未達pCR者，單用pembrolizumab每3週1次，做為輔助治療用藥，且至多使用9個療程。</w:t>
      </w:r>
    </w:p>
    <w:p w:rsidR="002465F4" w:rsidRPr="0014655B" w:rsidRDefault="002465F4" w:rsidP="002465F4">
      <w:pPr>
        <w:numPr>
          <w:ilvl w:val="0"/>
          <w:numId w:val="29"/>
        </w:numPr>
        <w:tabs>
          <w:tab w:val="left" w:pos="1418"/>
        </w:tabs>
        <w:suppressAutoHyphens w:val="0"/>
        <w:spacing w:line="400" w:lineRule="exact"/>
        <w:ind w:left="1701" w:hanging="425"/>
        <w:jc w:val="both"/>
        <w:textAlignment w:val="auto"/>
        <w:rPr>
          <w:rFonts w:ascii="標楷體" w:eastAsia="標楷體" w:hAnsi="標楷體"/>
          <w:kern w:val="0"/>
          <w:szCs w:val="24"/>
        </w:rPr>
      </w:pPr>
      <w:r w:rsidRPr="0014655B">
        <w:rPr>
          <w:rFonts w:ascii="標楷體" w:eastAsia="標楷體" w:hAnsi="標楷體"/>
          <w:kern w:val="0"/>
          <w:szCs w:val="24"/>
        </w:rPr>
        <w:t>上述pembrolizumab用於早期三陰性乳癌依前述療程規定至多使用17個療程，且用於術後輔助治療，pembrolizumab與olaparib僅能擇一支付。</w:t>
      </w:r>
    </w:p>
    <w:p w:rsidR="002465F4" w:rsidRPr="0014655B" w:rsidRDefault="002465F4" w:rsidP="002465F4">
      <w:pPr>
        <w:tabs>
          <w:tab w:val="left" w:pos="945"/>
        </w:tabs>
        <w:spacing w:line="400" w:lineRule="exact"/>
        <w:ind w:leftChars="-1" w:left="-2" w:firstLineChars="237" w:firstLine="569"/>
        <w:rPr>
          <w:rFonts w:ascii="標楷體" w:eastAsia="標楷體" w:hAnsi="標楷體"/>
          <w:color w:val="000000"/>
        </w:rPr>
      </w:pPr>
      <w:r w:rsidRPr="0014655B">
        <w:rPr>
          <w:rFonts w:ascii="標楷體" w:eastAsia="標楷體" w:hAnsi="標楷體"/>
          <w:color w:val="000000"/>
        </w:rPr>
        <w:t>3.使用條件：</w:t>
      </w:r>
    </w:p>
    <w:p w:rsidR="002465F4" w:rsidRPr="007F2B01" w:rsidRDefault="002465F4" w:rsidP="002465F4">
      <w:pPr>
        <w:spacing w:line="400" w:lineRule="exact"/>
        <w:ind w:left="1134" w:hanging="386"/>
        <w:rPr>
          <w:rFonts w:ascii="標楷體" w:eastAsia="標楷體" w:hAnsi="標楷體"/>
          <w:kern w:val="0"/>
          <w:szCs w:val="24"/>
        </w:rPr>
      </w:pPr>
      <w:r w:rsidRPr="0014655B">
        <w:rPr>
          <w:rFonts w:ascii="標楷體" w:eastAsia="標楷體" w:hAnsi="標楷體"/>
          <w:color w:val="000000"/>
        </w:rPr>
        <w:t>(1)</w:t>
      </w:r>
      <w:r w:rsidRPr="0014655B">
        <w:rPr>
          <w:rFonts w:ascii="標楷體" w:eastAsia="標楷體" w:hAnsi="標楷體"/>
          <w:color w:val="000000"/>
        </w:rPr>
        <w:tab/>
        <w:t>病人</w:t>
      </w:r>
      <w:r w:rsidRPr="007F2B01">
        <w:rPr>
          <w:rFonts w:ascii="標楷體" w:eastAsia="標楷體" w:hAnsi="標楷體"/>
          <w:kern w:val="0"/>
          <w:szCs w:val="24"/>
        </w:rPr>
        <w:t>身體狀況良好(ECOG≦1)。</w:t>
      </w:r>
    </w:p>
    <w:p w:rsidR="002465F4" w:rsidRPr="0014655B" w:rsidRDefault="002465F4" w:rsidP="002465F4">
      <w:pPr>
        <w:spacing w:line="400" w:lineRule="exact"/>
        <w:ind w:left="1134" w:hanging="386"/>
        <w:rPr>
          <w:rFonts w:ascii="標楷體" w:eastAsia="標楷體" w:hAnsi="標楷體"/>
          <w:color w:val="000000"/>
        </w:rPr>
      </w:pPr>
      <w:r w:rsidRPr="007F2B01">
        <w:rPr>
          <w:rFonts w:ascii="標楷體" w:eastAsia="標楷體" w:hAnsi="標楷體"/>
          <w:kern w:val="0"/>
          <w:szCs w:val="24"/>
        </w:rPr>
        <w:t>(2)</w:t>
      </w:r>
      <w:r w:rsidRPr="007F2B01">
        <w:rPr>
          <w:rFonts w:ascii="標楷體" w:eastAsia="標楷體" w:hAnsi="標楷體"/>
          <w:kern w:val="0"/>
          <w:szCs w:val="24"/>
        </w:rPr>
        <w:tab/>
        <w:t>病人之</w:t>
      </w:r>
      <w:r w:rsidRPr="0014655B">
        <w:rPr>
          <w:rFonts w:ascii="標楷體" w:eastAsia="標楷體" w:hAnsi="標楷體"/>
          <w:color w:val="000000"/>
        </w:rPr>
        <w:t>心肺與肝腎功能須符合下列所有條件：</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I.NYHA(the New York Heart Association) Functional Class I或II</w:t>
      </w:r>
    </w:p>
    <w:p w:rsidR="002465F4" w:rsidRDefault="002465F4" w:rsidP="002465F4">
      <w:pPr>
        <w:tabs>
          <w:tab w:val="left" w:pos="2552"/>
        </w:tabs>
        <w:spacing w:line="400" w:lineRule="exact"/>
        <w:ind w:left="1276"/>
        <w:jc w:val="both"/>
        <w:rPr>
          <w:rFonts w:ascii="標楷體" w:eastAsia="標楷體" w:hAnsi="標楷體"/>
          <w:color w:val="000000"/>
        </w:rPr>
      </w:pPr>
      <w:r w:rsidRPr="0014655B">
        <w:rPr>
          <w:rFonts w:ascii="標楷體" w:eastAsia="標楷體" w:hAnsi="標楷體"/>
          <w:color w:val="000000"/>
        </w:rPr>
        <w:t>II.GOT&lt;60U/L及GPT&lt;60U/L，且T-bilirubin&lt;1.5mg/dL (晚期肝細胞癌以及膽</w:t>
      </w:r>
    </w:p>
    <w:p w:rsidR="002465F4" w:rsidRPr="0014655B" w:rsidRDefault="002465F4" w:rsidP="002465F4">
      <w:pPr>
        <w:tabs>
          <w:tab w:val="left" w:pos="2552"/>
        </w:tabs>
        <w:spacing w:line="400" w:lineRule="exact"/>
        <w:ind w:left="1701"/>
        <w:jc w:val="both"/>
        <w:rPr>
          <w:rFonts w:ascii="標楷體" w:eastAsia="標楷體" w:hAnsi="標楷體"/>
          <w:color w:val="000000"/>
        </w:rPr>
      </w:pPr>
      <w:r w:rsidRPr="0014655B">
        <w:rPr>
          <w:rFonts w:ascii="標楷體" w:eastAsia="標楷體" w:hAnsi="標楷體"/>
          <w:color w:val="000000"/>
        </w:rPr>
        <w:t>道癌病人可免除此條件)(114/2/1)</w:t>
      </w:r>
    </w:p>
    <w:p w:rsidR="002465F4" w:rsidRPr="0014655B" w:rsidRDefault="002465F4" w:rsidP="002465F4">
      <w:pPr>
        <w:tabs>
          <w:tab w:val="left" w:pos="2552"/>
        </w:tabs>
        <w:spacing w:line="400" w:lineRule="exact"/>
        <w:ind w:left="1276"/>
        <w:jc w:val="both"/>
        <w:rPr>
          <w:rFonts w:ascii="標楷體" w:eastAsia="標楷體" w:hAnsi="標楷體"/>
          <w:color w:val="000000"/>
        </w:rPr>
      </w:pPr>
      <w:r w:rsidRPr="0014655B">
        <w:rPr>
          <w:rFonts w:ascii="標楷體" w:eastAsia="標楷體" w:hAnsi="標楷體"/>
          <w:color w:val="000000"/>
        </w:rPr>
        <w:t>III.腎功能：(晚期腎細胞癌病人可免除此條件) (109/4/1、112/10/1)</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標楷體" w:eastAsia="標楷體" w:hAnsi="標楷體"/>
          <w:color w:val="000000"/>
        </w:rPr>
        <w:t>i.泌尿道上皮癌第一線用藥：eGFR&gt;30mL/min/1.73</w:t>
      </w:r>
      <w:r w:rsidRPr="0014655B">
        <w:rPr>
          <w:rFonts w:ascii="標楷體" w:eastAsia="標楷體" w:hAnsi="標楷體"/>
          <w:szCs w:val="24"/>
        </w:rPr>
        <w:t>m</w:t>
      </w:r>
      <w:r w:rsidRPr="0014655B">
        <w:rPr>
          <w:rFonts w:ascii="標楷體" w:eastAsia="標楷體" w:hAnsi="標楷體"/>
          <w:szCs w:val="24"/>
          <w:vertAlign w:val="superscript"/>
        </w:rPr>
        <w:t>2</w:t>
      </w:r>
      <w:r w:rsidRPr="0014655B">
        <w:rPr>
          <w:rFonts w:ascii="標楷體" w:eastAsia="標楷體" w:hAnsi="標楷體"/>
          <w:color w:val="000000"/>
        </w:rPr>
        <w:t>且&lt;60mL/min/1.73</w:t>
      </w:r>
      <w:r w:rsidRPr="0014655B">
        <w:rPr>
          <w:rFonts w:ascii="標楷體" w:eastAsia="標楷體" w:hAnsi="標楷體"/>
          <w:szCs w:val="24"/>
        </w:rPr>
        <w:t>m</w:t>
      </w:r>
      <w:r w:rsidRPr="0014655B">
        <w:rPr>
          <w:rFonts w:ascii="標楷體" w:eastAsia="標楷體" w:hAnsi="標楷體"/>
          <w:szCs w:val="24"/>
          <w:vertAlign w:val="superscript"/>
        </w:rPr>
        <w:t>2</w:t>
      </w:r>
      <w:r w:rsidRPr="0014655B">
        <w:rPr>
          <w:rFonts w:ascii="標楷體" w:eastAsia="標楷體" w:hAnsi="標楷體"/>
          <w:color w:val="000000"/>
        </w:rPr>
        <w:t>。</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標楷體" w:eastAsia="標楷體" w:hAnsi="標楷體"/>
          <w:color w:val="000000"/>
        </w:rPr>
        <w:t>ii.泌尿道上皮癌第二線用藥：eGFR&gt;30mL/min/1.73</w:t>
      </w:r>
      <w:r w:rsidRPr="0014655B">
        <w:rPr>
          <w:rFonts w:ascii="標楷體" w:eastAsia="標楷體" w:hAnsi="標楷體"/>
          <w:szCs w:val="24"/>
        </w:rPr>
        <w:t>m</w:t>
      </w:r>
      <w:r w:rsidRPr="0014655B">
        <w:rPr>
          <w:rFonts w:ascii="標楷體" w:eastAsia="標楷體" w:hAnsi="標楷體"/>
          <w:szCs w:val="24"/>
          <w:vertAlign w:val="superscript"/>
        </w:rPr>
        <w:t>2</w:t>
      </w:r>
      <w:r w:rsidRPr="0014655B">
        <w:rPr>
          <w:rFonts w:ascii="標楷體" w:eastAsia="標楷體" w:hAnsi="標楷體"/>
          <w:color w:val="000000"/>
        </w:rPr>
        <w:t>。</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標楷體" w:eastAsia="標楷體" w:hAnsi="標楷體"/>
          <w:color w:val="000000"/>
          <w:szCs w:val="24"/>
        </w:rPr>
        <w:t>iii.</w:t>
      </w:r>
      <w:r w:rsidRPr="0014655B">
        <w:rPr>
          <w:rFonts w:ascii="標楷體" w:eastAsia="標楷體" w:hAnsi="標楷體"/>
          <w:szCs w:val="24"/>
        </w:rPr>
        <w:t>泌尿道上皮癌維持治療（112/10/1）</w:t>
      </w:r>
      <w:r w:rsidRPr="0014655B">
        <w:rPr>
          <w:rFonts w:ascii="標楷體" w:eastAsia="標楷體" w:hAnsi="標楷體"/>
          <w:color w:val="000000"/>
        </w:rPr>
        <w:t>：</w:t>
      </w:r>
      <w:r w:rsidRPr="0014655B">
        <w:rPr>
          <w:rFonts w:ascii="標楷體" w:eastAsia="標楷體" w:hAnsi="標楷體"/>
          <w:szCs w:val="24"/>
        </w:rPr>
        <w:t>eGFR&gt;30mL/min/1.73m</w:t>
      </w:r>
      <w:r w:rsidRPr="0014655B">
        <w:rPr>
          <w:rFonts w:ascii="標楷體" w:eastAsia="標楷體" w:hAnsi="標楷體"/>
          <w:szCs w:val="24"/>
          <w:vertAlign w:val="superscript"/>
        </w:rPr>
        <w:t>2</w:t>
      </w:r>
      <w:r w:rsidRPr="0014655B">
        <w:rPr>
          <w:rFonts w:ascii="標楷體" w:eastAsia="標楷體" w:hAnsi="標楷體"/>
          <w:szCs w:val="24"/>
        </w:rPr>
        <w:t>。</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標楷體" w:eastAsia="標楷體" w:hAnsi="標楷體"/>
          <w:szCs w:val="24"/>
        </w:rPr>
        <w:lastRenderedPageBreak/>
        <w:t>iv.</w:t>
      </w:r>
      <w:r w:rsidRPr="0014655B">
        <w:rPr>
          <w:rFonts w:ascii="標楷體" w:eastAsia="標楷體" w:hAnsi="標楷體"/>
          <w:color w:val="000000"/>
        </w:rPr>
        <w:t>其他癌別：Creatinine&lt;1.5mg/dL且eGFR&gt;60mL/min/1.73m</w:t>
      </w:r>
      <w:r w:rsidRPr="0014655B">
        <w:rPr>
          <w:rFonts w:ascii="標楷體" w:eastAsia="標楷體" w:hAnsi="標楷體"/>
          <w:color w:val="000000"/>
          <w:vertAlign w:val="superscript"/>
        </w:rPr>
        <w:t>2</w:t>
      </w:r>
      <w:r w:rsidRPr="0014655B">
        <w:rPr>
          <w:rFonts w:ascii="標楷體" w:eastAsia="標楷體" w:hAnsi="標楷體"/>
          <w:color w:val="000000"/>
        </w:rPr>
        <w:t>。</w:t>
      </w:r>
    </w:p>
    <w:p w:rsidR="002465F4" w:rsidRPr="0014655B" w:rsidRDefault="002465F4" w:rsidP="002465F4">
      <w:pPr>
        <w:tabs>
          <w:tab w:val="left" w:pos="2552"/>
        </w:tabs>
        <w:spacing w:line="400" w:lineRule="exact"/>
        <w:ind w:leftChars="237" w:left="1133" w:hangingChars="235" w:hanging="564"/>
        <w:jc w:val="both"/>
        <w:rPr>
          <w:rFonts w:ascii="標楷體" w:eastAsia="標楷體" w:hAnsi="標楷體"/>
        </w:rPr>
      </w:pPr>
      <w:r w:rsidRPr="0014655B">
        <w:rPr>
          <w:rFonts w:ascii="標楷體" w:eastAsia="標楷體" w:hAnsi="標楷體"/>
          <w:color w:val="000000"/>
        </w:rPr>
        <w:t xml:space="preserve"> (3)</w:t>
      </w:r>
      <w:r w:rsidRPr="00FE6497">
        <w:rPr>
          <w:rFonts w:ascii="標楷體" w:eastAsia="標楷體" w:hAnsi="標楷體"/>
          <w:color w:val="000000"/>
        </w:rPr>
        <w:t>病人</w:t>
      </w:r>
      <w:r w:rsidRPr="0014655B">
        <w:rPr>
          <w:rFonts w:ascii="標楷體" w:eastAsia="標楷體" w:hAnsi="標楷體"/>
          <w:szCs w:val="24"/>
        </w:rPr>
        <w:t>之生物標記表現：除ipilimumab與nivolumab併用於惡性肋膜間皮瘤外，依個別藥品使用其對應之第三等級體外診斷醫療器材(class III IVD)所檢測之PD-L1表現量需符合下表：(109/4/1、109/6/1、111/4/1、112/8/1、112/10/1、112/12/1、113/2/1、113/4/1、113/6/1、113/8/1、114/2/1、114/6/1</w:t>
      </w:r>
      <w:r w:rsidRPr="0014655B">
        <w:rPr>
          <w:rFonts w:ascii="標楷體" w:eastAsia="標楷體" w:hAnsi="標楷體" w:hint="eastAsia"/>
          <w:szCs w:val="24"/>
        </w:rPr>
        <w:t>、114/8/1</w:t>
      </w:r>
      <w:r>
        <w:rPr>
          <w:rFonts w:ascii="標楷體" w:eastAsia="標楷體" w:hAnsi="標楷體" w:hint="eastAsia"/>
          <w:szCs w:val="24"/>
        </w:rPr>
        <w:t>、114/10/1</w:t>
      </w:r>
      <w:r w:rsidRPr="0014655B">
        <w:rPr>
          <w:rFonts w:ascii="標楷體" w:eastAsia="標楷體" w:hAnsi="標楷體"/>
          <w:szCs w:val="24"/>
        </w:rPr>
        <w:t>)</w:t>
      </w:r>
    </w:p>
    <w:tbl>
      <w:tblPr>
        <w:tblW w:w="5000" w:type="pct"/>
        <w:jc w:val="center"/>
        <w:tblCellMar>
          <w:left w:w="10" w:type="dxa"/>
          <w:right w:w="10" w:type="dxa"/>
        </w:tblCellMar>
        <w:tblLook w:val="0000" w:firstRow="0" w:lastRow="0" w:firstColumn="0" w:lastColumn="0" w:noHBand="0" w:noVBand="0"/>
      </w:tblPr>
      <w:tblGrid>
        <w:gridCol w:w="1781"/>
        <w:gridCol w:w="645"/>
        <w:gridCol w:w="1673"/>
        <w:gridCol w:w="1279"/>
        <w:gridCol w:w="1628"/>
        <w:gridCol w:w="1302"/>
        <w:gridCol w:w="1320"/>
      </w:tblGrid>
      <w:tr w:rsidR="002465F4" w:rsidRPr="0014655B" w:rsidTr="0050401E">
        <w:trPr>
          <w:cantSplit/>
          <w:trHeight w:val="406"/>
          <w:tblHeader/>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widowControl/>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給付範圍</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事審代碼</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pembrolizumab</w:t>
            </w:r>
          </w:p>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(Dako 22C3或Ventana SP263*)</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nivolumab</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(Dako 28-8或Ventana SP263*)</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atezolizumab</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(Ventana SP142)</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avelumab</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(Ventana SP263*)</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Durvalumab</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(Ventana SP263*)</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黑色素瘤</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P001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非小細胞肺癌</w:t>
            </w:r>
          </w:p>
          <w:p w:rsidR="002465F4" w:rsidRPr="0014655B" w:rsidRDefault="002465F4" w:rsidP="00336F3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鞏固治療</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P015</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autoSpaceDE w:val="0"/>
              <w:snapToGrid w:val="0"/>
              <w:spacing w:line="400" w:lineRule="exact"/>
              <w:jc w:val="both"/>
              <w:rPr>
                <w:rFonts w:ascii="標楷體" w:eastAsia="標楷體" w:hAnsi="標楷體"/>
                <w:kern w:val="0"/>
                <w:sz w:val="20"/>
                <w:szCs w:val="20"/>
              </w:rPr>
            </w:pPr>
            <w:r w:rsidRPr="0014655B">
              <w:rPr>
                <w:rFonts w:ascii="標楷體" w:eastAsia="標楷體" w:hAnsi="標楷體"/>
                <w:kern w:val="0"/>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autoSpaceDE w:val="0"/>
              <w:snapToGrid w:val="0"/>
              <w:spacing w:line="400" w:lineRule="exact"/>
              <w:jc w:val="center"/>
              <w:rPr>
                <w:rFonts w:ascii="標楷體" w:eastAsia="標楷體" w:hAnsi="標楷體"/>
                <w:kern w:val="0"/>
                <w:sz w:val="20"/>
                <w:szCs w:val="20"/>
              </w:rPr>
            </w:pPr>
            <w:r w:rsidRPr="0014655B">
              <w:rPr>
                <w:rFonts w:ascii="標楷體" w:eastAsia="標楷體" w:hAnsi="標楷體"/>
                <w:kern w:val="0"/>
                <w:sz w:val="20"/>
                <w:szCs w:val="20"/>
              </w:rPr>
              <w:t>PD-L1</w:t>
            </w:r>
            <w:r w:rsidRPr="0014655B">
              <w:rPr>
                <w:rFonts w:ascii="標楷體" w:eastAsia="標楷體" w:hAnsi="標楷體" w:cs="微軟正黑體" w:hint="eastAsia"/>
                <w:kern w:val="0"/>
                <w:sz w:val="20"/>
                <w:szCs w:val="20"/>
              </w:rPr>
              <w:t>≧</w:t>
            </w:r>
            <w:r w:rsidRPr="0014655B">
              <w:rPr>
                <w:rFonts w:ascii="標楷體" w:eastAsia="標楷體" w:hAnsi="標楷體"/>
                <w:kern w:val="0"/>
                <w:sz w:val="20"/>
                <w:szCs w:val="20"/>
              </w:rPr>
              <w:t xml:space="preserve"> 1%</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kern w:val="0"/>
                <w:sz w:val="20"/>
                <w:szCs w:val="20"/>
              </w:rPr>
              <w:t>鱗狀、非鱗狀非小細胞肺癌第一線用藥(單用)</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P013</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TC≧50%或IC≧10%</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非鱗狀非小細胞肺癌第一線用藥</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(併用)</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P013</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color w:val="000000"/>
                <w:sz w:val="20"/>
                <w:szCs w:val="20"/>
              </w:rPr>
              <w:t>鱗狀</w:t>
            </w:r>
            <w:r w:rsidRPr="0014655B">
              <w:rPr>
                <w:rFonts w:ascii="標楷體" w:eastAsia="標楷體" w:hAnsi="標楷體"/>
                <w:sz w:val="20"/>
                <w:szCs w:val="20"/>
              </w:rPr>
              <w:t>非小細胞肺癌第二線用藥</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P011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50%或IC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color w:val="000000"/>
                <w:sz w:val="20"/>
                <w:szCs w:val="20"/>
              </w:rPr>
              <w:t>非鱗狀</w:t>
            </w:r>
            <w:r w:rsidRPr="0014655B">
              <w:rPr>
                <w:rFonts w:ascii="標楷體" w:eastAsia="標楷體" w:hAnsi="標楷體"/>
                <w:sz w:val="20"/>
                <w:szCs w:val="20"/>
              </w:rPr>
              <w:t>非小細胞肺癌第三線用藥</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P012</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50%或IC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鱗狀非小細胞肺癌第一線用藥（併用化療）</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P014</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TPS 1~49%</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小細胞肺癌</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(併用化療)</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P021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典型何杰金氏淋巴瘤</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P031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泌尿道上皮癌第一線用藥</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P042</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IC≧5%</w:t>
            </w:r>
          </w:p>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(113年8月1日前審核同意符合續用申請條件者)</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lastRenderedPageBreak/>
              <w:t>泌尿道上皮癌第二線用藥</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P041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5%</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IC≧5%</w:t>
            </w:r>
          </w:p>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(113年8月1日前審核同意符合續用申請條件者)</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泌尿道上皮癌維持療法</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P043</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不需檢附報告</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胃腺癌</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(109年4月1日前審核同意符合續用申請條件者)</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P051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w:t>
            </w:r>
            <w:r w:rsidRPr="0014655B">
              <w:rPr>
                <w:rFonts w:ascii="標楷體" w:eastAsia="標楷體" w:hAnsi="標楷體"/>
                <w:sz w:val="20"/>
                <w:szCs w:val="20"/>
              </w:rPr>
              <w:t>1</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胃癌第一線用藥 (併用化療)</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P052</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CPS</w:t>
            </w:r>
            <w:r w:rsidRPr="0014655B">
              <w:rPr>
                <w:rFonts w:ascii="標楷體" w:eastAsia="標楷體" w:hAnsi="標楷體" w:cs="新細明體"/>
                <w:sz w:val="20"/>
                <w:szCs w:val="20"/>
              </w:rPr>
              <w:t>≧5</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晚期腎細胞癌</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P061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晚期肝細胞癌(109年4月1日前審核同意符合續用)</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P071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(109年4月1日前審核同意符合續用申請條件者)</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晚期肝細胞癌第一線用藥</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（併用）</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P072</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不需檢附報告（併用bevacizumab）</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不需檢附報告(併用tremelimumab)</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頭頸部鱗狀細胞癌第一線用藥</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kern w:val="0"/>
                <w:sz w:val="20"/>
                <w:szCs w:val="20"/>
                <w:lang w:val="zh-TW" w:bidi="zh-TW"/>
              </w:rPr>
            </w:pPr>
            <w:r w:rsidRPr="0014655B">
              <w:rPr>
                <w:rFonts w:ascii="標楷體" w:eastAsia="標楷體" w:hAnsi="標楷體"/>
                <w:kern w:val="0"/>
                <w:sz w:val="20"/>
                <w:szCs w:val="20"/>
                <w:lang w:val="zh-TW" w:bidi="zh-TW"/>
              </w:rPr>
              <w:t>P082</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kern w:val="0"/>
                <w:sz w:val="20"/>
                <w:szCs w:val="20"/>
                <w:lang w:val="zh-TW" w:bidi="zh-TW"/>
              </w:rPr>
              <w:t>CPS</w:t>
            </w:r>
            <w:r w:rsidRPr="0014655B">
              <w:rPr>
                <w:rFonts w:ascii="標楷體" w:eastAsia="標楷體" w:hAnsi="標楷體" w:cs="新細明體"/>
                <w:kern w:val="0"/>
                <w:sz w:val="20"/>
                <w:szCs w:val="20"/>
                <w:lang w:val="zh-TW" w:bidi="zh-TW"/>
              </w:rPr>
              <w:t>≧</w:t>
            </w:r>
            <w:r w:rsidRPr="0014655B">
              <w:rPr>
                <w:rFonts w:ascii="標楷體" w:eastAsia="標楷體" w:hAnsi="標楷體"/>
                <w:kern w:val="0"/>
                <w:sz w:val="20"/>
                <w:szCs w:val="20"/>
                <w:lang w:val="zh-TW" w:bidi="zh-TW"/>
              </w:rPr>
              <w:t>20</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頭頸部鱗狀細胞癌第二線用藥</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P081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TPS</w:t>
            </w:r>
            <w:r w:rsidRPr="0014655B">
              <w:rPr>
                <w:rFonts w:ascii="標楷體" w:eastAsia="標楷體" w:hAnsi="標楷體" w:cs="新細明體"/>
                <w:sz w:val="20"/>
                <w:szCs w:val="20"/>
              </w:rPr>
              <w:t>≧</w:t>
            </w:r>
            <w:r w:rsidRPr="0014655B">
              <w:rPr>
                <w:rFonts w:ascii="標楷體" w:eastAsia="標楷體" w:hAnsi="標楷體"/>
                <w:sz w:val="20"/>
                <w:szCs w:val="20"/>
              </w:rPr>
              <w:t>50%</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w:t>
            </w:r>
            <w:r w:rsidRPr="0014655B">
              <w:rPr>
                <w:rFonts w:ascii="標楷體" w:eastAsia="標楷體" w:hAnsi="標楷體"/>
                <w:sz w:val="20"/>
                <w:szCs w:val="20"/>
              </w:rPr>
              <w:t>10%</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默克細胞癌</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P091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食道鱗狀細胞癌</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P101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TC</w:t>
            </w:r>
            <w:r w:rsidRPr="0014655B">
              <w:rPr>
                <w:rFonts w:ascii="標楷體" w:eastAsia="標楷體" w:hAnsi="標楷體" w:cs="新細明體"/>
                <w:sz w:val="20"/>
                <w:szCs w:val="20"/>
              </w:rPr>
              <w:t>≧1</w:t>
            </w:r>
            <w:r w:rsidRPr="0014655B">
              <w:rPr>
                <w:rFonts w:ascii="標楷體" w:eastAsia="標楷體" w:hAnsi="標楷體"/>
                <w:sz w:val="20"/>
                <w:szCs w:val="20"/>
              </w:rPr>
              <w:t>%</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lastRenderedPageBreak/>
              <w:t>惡性肋膜間皮瘤(ipilimumab併用nivolumab)</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P111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sz w:val="20"/>
                <w:szCs w:val="20"/>
              </w:rPr>
              <w:t>不需檢附報告，</w:t>
            </w:r>
          </w:p>
          <w:p w:rsidR="002465F4" w:rsidRPr="0014655B" w:rsidRDefault="002465F4" w:rsidP="00336F3D">
            <w:pPr>
              <w:spacing w:line="400" w:lineRule="exact"/>
              <w:jc w:val="center"/>
              <w:rPr>
                <w:rFonts w:ascii="標楷體" w:eastAsia="標楷體" w:hAnsi="標楷體"/>
              </w:rPr>
            </w:pPr>
            <w:r w:rsidRPr="0014655B">
              <w:rPr>
                <w:rFonts w:ascii="標楷體" w:eastAsia="標楷體" w:hAnsi="標楷體"/>
                <w:kern w:val="0"/>
                <w:sz w:val="20"/>
                <w:szCs w:val="20"/>
              </w:rPr>
              <w:t>病理組織為非上皮型(Non-epithelioid)</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膽道癌</w:t>
            </w:r>
          </w:p>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(併用化療)</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P121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早期三陰性乳癌(併用化療)</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P131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r w:rsidR="002465F4" w:rsidRPr="0014655B" w:rsidTr="00336F3D">
        <w:trPr>
          <w:cantSplit/>
          <w:trHeight w:val="406"/>
          <w:jc w:val="center"/>
        </w:trPr>
        <w:tc>
          <w:tcPr>
            <w:tcW w:w="932"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大腸直腸癌</w:t>
            </w:r>
          </w:p>
        </w:tc>
        <w:tc>
          <w:tcPr>
            <w:tcW w:w="342"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P141</w:t>
            </w:r>
          </w:p>
        </w:tc>
        <w:tc>
          <w:tcPr>
            <w:tcW w:w="876" w:type="pct"/>
            <w:tcBorders>
              <w:top w:val="single" w:sz="4" w:space="0" w:color="000000"/>
              <w:left w:val="single" w:sz="4" w:space="0" w:color="000000"/>
              <w:bottom w:val="single" w:sz="4" w:space="0" w:color="000000"/>
              <w:right w:val="single" w:sz="4" w:space="0" w:color="000000"/>
            </w:tcBorders>
            <w:shd w:val="clear" w:color="auto" w:fill="auto"/>
            <w:tcMar>
              <w:top w:w="15" w:type="dxa"/>
              <w:left w:w="29" w:type="dxa"/>
              <w:bottom w:w="0" w:type="dxa"/>
              <w:right w:w="29"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不需檢附報告</w:t>
            </w:r>
          </w:p>
        </w:tc>
        <w:tc>
          <w:tcPr>
            <w:tcW w:w="671"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852" w:type="pct"/>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83"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c>
          <w:tcPr>
            <w:tcW w:w="645" w:type="pct"/>
            <w:tcBorders>
              <w:top w:val="single" w:sz="4" w:space="0" w:color="000000"/>
              <w:left w:val="single" w:sz="4" w:space="0" w:color="000000"/>
              <w:bottom w:val="single" w:sz="4" w:space="0" w:color="000000"/>
              <w:right w:val="single" w:sz="4" w:space="0" w:color="000000"/>
            </w:tcBorders>
            <w:shd w:val="clear" w:color="auto" w:fill="auto"/>
            <w:tcMar>
              <w:top w:w="0" w:type="dxa"/>
              <w:left w:w="10" w:type="dxa"/>
              <w:bottom w:w="0" w:type="dxa"/>
              <w:right w:w="10" w:type="dxa"/>
            </w:tcMar>
            <w:vAlign w:val="center"/>
          </w:tcPr>
          <w:p w:rsidR="002465F4" w:rsidRPr="0014655B" w:rsidRDefault="002465F4" w:rsidP="00336F3D">
            <w:pPr>
              <w:spacing w:line="400" w:lineRule="exact"/>
              <w:jc w:val="center"/>
              <w:rPr>
                <w:rFonts w:ascii="標楷體" w:eastAsia="標楷體" w:hAnsi="標楷體"/>
                <w:sz w:val="20"/>
                <w:szCs w:val="20"/>
              </w:rPr>
            </w:pPr>
            <w:r w:rsidRPr="0014655B">
              <w:rPr>
                <w:rFonts w:ascii="標楷體" w:eastAsia="標楷體" w:hAnsi="標楷體"/>
                <w:sz w:val="20"/>
                <w:szCs w:val="20"/>
              </w:rPr>
              <w:t>本藥品尚未給付於此適應症</w:t>
            </w:r>
          </w:p>
        </w:tc>
      </w:tr>
    </w:tbl>
    <w:p w:rsidR="002465F4" w:rsidRPr="0014655B" w:rsidRDefault="002465F4" w:rsidP="002465F4">
      <w:pPr>
        <w:tabs>
          <w:tab w:val="left" w:pos="1185"/>
        </w:tabs>
        <w:spacing w:line="400" w:lineRule="exact"/>
        <w:ind w:left="588" w:hanging="590"/>
        <w:rPr>
          <w:rFonts w:ascii="標楷體" w:eastAsia="標楷體" w:hAnsi="標楷體"/>
        </w:rPr>
      </w:pPr>
      <w:r w:rsidRPr="0014655B">
        <w:rPr>
          <w:rFonts w:ascii="標楷體" w:eastAsia="標楷體" w:hAnsi="標楷體"/>
          <w:color w:val="000000"/>
          <w:sz w:val="20"/>
          <w:szCs w:val="20"/>
        </w:rPr>
        <w:t>* Ventana SP263僅適用於檢測非小細胞肺癌或</w:t>
      </w:r>
      <w:r w:rsidRPr="0014655B">
        <w:rPr>
          <w:rFonts w:ascii="標楷體" w:eastAsia="標楷體" w:hAnsi="標楷體"/>
          <w:sz w:val="20"/>
          <w:szCs w:val="20"/>
        </w:rPr>
        <w:t>泌尿道上皮癌維持療法</w:t>
      </w:r>
    </w:p>
    <w:p w:rsidR="002465F4" w:rsidRPr="0014655B"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(4)每位病人每個適應症限給付一種免疫檢查點抑制劑且不得互換，治療期間亦不可合併申報該適應症之標靶藥物（atezolizumab與bevacizumab併用於晚期肝細胞癌第一線用藥</w:t>
      </w:r>
      <w:r w:rsidRPr="0014655B">
        <w:rPr>
          <w:rFonts w:ascii="標楷體" w:eastAsia="標楷體" w:hAnsi="標楷體" w:hint="eastAsia"/>
          <w:color w:val="000000"/>
        </w:rPr>
        <w:t>及</w:t>
      </w:r>
      <w:r w:rsidRPr="0014655B">
        <w:rPr>
          <w:rFonts w:ascii="標楷體" w:eastAsia="標楷體" w:hAnsi="標楷體"/>
          <w:color w:val="000000"/>
        </w:rPr>
        <w:t>非鱗狀非小細胞肺癌第一線用藥除外），無效後或給付時程期滿後則不再給付該適應症相關之標靶藥物。（enfortumab vedotin用於局部晚期或轉移性泌尿道上皮癌第三線用藥除外 ）。(108/4/1、111/6/1、112/8/1、113/5/1)</w:t>
      </w:r>
    </w:p>
    <w:p w:rsidR="002465F4" w:rsidRPr="0014655B"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(5)給付時程期限：自初次處方用藥日起算2年（pembrolizumab用於早期三陰性乳癌依前述給付時程期限至多使用17個療程、durvalumab用於鞏固治療自初次處方用藥日起算1年）。(109/4/1、109/11/1、114/6/1</w:t>
      </w:r>
      <w:r w:rsidRPr="0014655B">
        <w:rPr>
          <w:rFonts w:ascii="標楷體" w:eastAsia="標楷體" w:hAnsi="標楷體" w:hint="eastAsia"/>
          <w:color w:val="000000"/>
        </w:rPr>
        <w:t>、114/8/1</w:t>
      </w:r>
      <w:r w:rsidRPr="0014655B">
        <w:rPr>
          <w:rFonts w:ascii="標楷體" w:eastAsia="標楷體" w:hAnsi="標楷體"/>
          <w:color w:val="000000"/>
        </w:rPr>
        <w:t>)</w:t>
      </w:r>
    </w:p>
    <w:p w:rsidR="002465F4" w:rsidRPr="0014655B"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(6)需經單筆電子申請事前審查核准後使用，申請時需上傳病歷資料(不適用特殊病例事前審查，亦不適用緊急報備，惟已獲核定用藥之病人因轉院可緊急報備申請續用)。(108/4/1、110/10/1、111/6/1)</w:t>
      </w:r>
    </w:p>
    <w:p w:rsidR="002465F4" w:rsidRPr="0014655B"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(7)每次申請以12週為限，初次申請時需檢附以下資料：(108/6/1、109/11/1、111/6/1、113/6/1、114/6/1)</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確實患有相關癌症之病理或細胞檢查報告，黑色素瘤患者需另檢附BRAF腫瘤基因檢測結果、非小細胞肺癌患者需另檢附符合給付適應症內容規定之腫瘤基因檢測結果報告，上述基因檢測須符合全民健康保險藥品給付規定之通則十二。(113/6/1)</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Ⅱ.生物標記表現量檢測報告：PD-L1表現量檢測結果需符合全民健康保險藥品</w:t>
      </w:r>
      <w:r w:rsidRPr="0014655B">
        <w:rPr>
          <w:rFonts w:ascii="標楷體" w:eastAsia="標楷體" w:hAnsi="標楷體"/>
          <w:color w:val="000000"/>
        </w:rPr>
        <w:lastRenderedPageBreak/>
        <w:t>給付規定之通則十二。(111/6/1、113/6/1)</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Ⅲ.病人身體狀況良好(ECOG≦1)及心肺與肝腎功能之評估資料。</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IV.病人12週內之疾病影像檢查及報告(如胸部X光、電腦斷層或其他可作為評估的影像)，此影像證明以可測量(measurable)的病灶為優先，如沒有可以測量的病灶，則可評估(evaluable)的病灶亦可採用。</w:t>
      </w:r>
    </w:p>
    <w:p w:rsidR="002465F4" w:rsidRPr="0014655B" w:rsidRDefault="002465F4" w:rsidP="002465F4">
      <w:pPr>
        <w:tabs>
          <w:tab w:val="left" w:pos="1418"/>
        </w:tabs>
        <w:spacing w:line="400" w:lineRule="exact"/>
        <w:ind w:left="1051" w:hanging="245"/>
        <w:rPr>
          <w:rFonts w:ascii="標楷體" w:eastAsia="標楷體" w:hAnsi="標楷體"/>
          <w:color w:val="000000"/>
        </w:rPr>
      </w:pPr>
      <w:r w:rsidRPr="0014655B">
        <w:rPr>
          <w:rFonts w:ascii="標楷體" w:eastAsia="標楷體" w:hAnsi="標楷體"/>
          <w:color w:val="000000"/>
        </w:rPr>
        <w:t>備註：上述影像檢查之給付範圍不包括正子造影(PET)。</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V.先前已接受過之治療與完整用藥資料(如化學治療、標靶藥物及自費等用藥之劑量及療程)及其治療結果；典型何杰金氏淋巴瘤患者需另檢附自體造血幹細胞移植之病歷紀錄；肝細胞癌患者需另檢附T.A.C.E.治療紀錄。</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VI.使用免疫檢查點抑制劑之治療計畫(treatment protocol)。</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Ⅶ.使用於泌尿道上皮癌第一線用藥時，須另檢附下列其中一項佐證資料：(111/2/1、114/6/1)</w:t>
      </w:r>
    </w:p>
    <w:p w:rsidR="002465F4" w:rsidRPr="0014655B" w:rsidRDefault="002465F4" w:rsidP="002465F4">
      <w:pPr>
        <w:tabs>
          <w:tab w:val="left" w:pos="1185"/>
        </w:tabs>
        <w:spacing w:line="400" w:lineRule="exact"/>
        <w:ind w:left="1985" w:hanging="284"/>
        <w:jc w:val="both"/>
        <w:rPr>
          <w:rFonts w:ascii="標楷體" w:eastAsia="標楷體" w:hAnsi="標楷體"/>
          <w:color w:val="000000"/>
        </w:rPr>
      </w:pPr>
      <w:r w:rsidRPr="0014655B">
        <w:rPr>
          <w:rFonts w:ascii="標楷體" w:eastAsia="標楷體" w:hAnsi="標楷體"/>
          <w:color w:val="000000"/>
        </w:rPr>
        <w:t>i.</w:t>
      </w:r>
      <w:r w:rsidRPr="00FE6497">
        <w:rPr>
          <w:rFonts w:ascii="標楷體" w:eastAsia="標楷體" w:hAnsi="標楷體"/>
          <w:color w:val="000000"/>
          <w:szCs w:val="24"/>
        </w:rPr>
        <w:t>CTCAE</w:t>
      </w:r>
      <w:r w:rsidRPr="0014655B">
        <w:rPr>
          <w:rFonts w:ascii="標楷體" w:eastAsia="標楷體" w:hAnsi="標楷體"/>
          <w:color w:val="000000"/>
        </w:rPr>
        <w:t>(the common terminology criteria for adverse events) v4.0 grade≧2 audiometric hearing loss</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ⅱ</w:t>
      </w:r>
      <w:r w:rsidRPr="0014655B">
        <w:rPr>
          <w:rFonts w:ascii="標楷體" w:eastAsia="標楷體" w:hAnsi="標楷體"/>
          <w:color w:val="000000"/>
        </w:rPr>
        <w:t>.CTCAE v4.0 grade≧2 peripheral neuropathy</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ⅲ</w:t>
      </w:r>
      <w:r w:rsidRPr="0014655B">
        <w:rPr>
          <w:rFonts w:ascii="標楷體" w:eastAsia="標楷體" w:hAnsi="標楷體"/>
          <w:color w:val="000000"/>
        </w:rPr>
        <w:t>.CIRS(the cumulative illness rating scale) score &gt;6</w:t>
      </w:r>
    </w:p>
    <w:p w:rsidR="002465F4"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Ⅷ.使用於早期三陰性乳癌</w:t>
      </w:r>
      <w:bookmarkStart w:id="23" w:name="_Hlk183189870"/>
      <w:r w:rsidRPr="0014655B">
        <w:rPr>
          <w:rFonts w:ascii="標楷體" w:eastAsia="標楷體" w:hAnsi="標楷體"/>
          <w:color w:val="000000"/>
        </w:rPr>
        <w:t>用藥時，初次申請時需檢附</w:t>
      </w:r>
      <w:bookmarkEnd w:id="23"/>
      <w:r w:rsidRPr="0014655B">
        <w:rPr>
          <w:rFonts w:ascii="標楷體" w:eastAsia="標楷體" w:hAnsi="標楷體"/>
          <w:color w:val="000000"/>
        </w:rPr>
        <w:t>ER、PR及HER2為陰性之</w:t>
      </w:r>
    </w:p>
    <w:p w:rsidR="002465F4" w:rsidRPr="0014655B" w:rsidRDefault="002465F4" w:rsidP="002465F4">
      <w:pPr>
        <w:tabs>
          <w:tab w:val="left" w:pos="1985"/>
        </w:tabs>
        <w:spacing w:line="400" w:lineRule="exact"/>
        <w:ind w:left="1701" w:hanging="141"/>
        <w:jc w:val="both"/>
        <w:rPr>
          <w:rFonts w:ascii="標楷體" w:eastAsia="標楷體" w:hAnsi="標楷體"/>
          <w:color w:val="000000"/>
        </w:rPr>
      </w:pPr>
      <w:r w:rsidRPr="0014655B">
        <w:rPr>
          <w:rFonts w:ascii="標楷體" w:eastAsia="標楷體" w:hAnsi="標楷體"/>
          <w:color w:val="000000"/>
        </w:rPr>
        <w:t>檢測報告。(114/6/1)</w:t>
      </w:r>
    </w:p>
    <w:p w:rsidR="002465F4" w:rsidRPr="0014655B" w:rsidRDefault="002465F4" w:rsidP="002465F4">
      <w:pPr>
        <w:numPr>
          <w:ilvl w:val="0"/>
          <w:numId w:val="30"/>
        </w:numPr>
        <w:suppressAutoHyphens w:val="0"/>
        <w:spacing w:line="400" w:lineRule="exact"/>
        <w:ind w:left="1701" w:hanging="422"/>
        <w:textAlignment w:val="auto"/>
        <w:rPr>
          <w:rFonts w:ascii="標楷體" w:eastAsia="標楷體" w:hAnsi="標楷體"/>
          <w:color w:val="000000"/>
        </w:rPr>
      </w:pPr>
      <w:r w:rsidRPr="0014655B">
        <w:rPr>
          <w:rFonts w:ascii="標楷體" w:eastAsia="標楷體" w:hAnsi="標楷體"/>
          <w:color w:val="000000"/>
        </w:rPr>
        <w:t>其他佐證病歷資料。</w:t>
      </w:r>
    </w:p>
    <w:p w:rsidR="002465F4" w:rsidRPr="0014655B"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 xml:space="preserve"> (8)用藥後每12週至少評估一次，以i-RECIST標準(HCC患者以mRECIST標準)評定藥物療效反應，依下列原則申請續用：(109/4/1、109/11/1、114/6/1</w:t>
      </w:r>
      <w:r w:rsidRPr="0014655B">
        <w:rPr>
          <w:rFonts w:ascii="標楷體" w:eastAsia="標楷體" w:hAnsi="標楷體" w:hint="eastAsia"/>
          <w:color w:val="000000"/>
        </w:rPr>
        <w:t>、114/8/1</w:t>
      </w:r>
      <w:r w:rsidRPr="0014655B">
        <w:rPr>
          <w:rFonts w:ascii="標楷體" w:eastAsia="標楷體" w:hAnsi="標楷體"/>
          <w:color w:val="000000"/>
        </w:rPr>
        <w:t>)</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I.有療效反應(PR及CR)者得繼續用藥；</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II.出現疾病惡化(PD)或出現中、重度或危及生命之藥物不良反應者，應停止用藥；</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Ⅲ.出現疾病併發症或輕度藥物不良反應等，暫停用藥超過原事前審查核定日起24週期限者，不得申請續用。</w:t>
      </w:r>
    </w:p>
    <w:p w:rsidR="002465F4" w:rsidRPr="0014655B" w:rsidRDefault="002465F4" w:rsidP="002465F4">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hint="eastAsia"/>
          <w:color w:val="000000"/>
          <w:kern w:val="0"/>
          <w:szCs w:val="24"/>
        </w:rPr>
        <w:t>Ⅳ</w:t>
      </w:r>
      <w:r w:rsidRPr="0014655B">
        <w:rPr>
          <w:rFonts w:ascii="標楷體" w:eastAsia="標楷體" w:hAnsi="標楷體" w:cs="新細明體"/>
          <w:color w:val="000000"/>
          <w:kern w:val="0"/>
          <w:szCs w:val="24"/>
        </w:rPr>
        <w:t>用藥後評估疾病呈穩定狀態者(SD)，可持續再用藥12週，並於12週後再次評估；經連續二次評估皆為SD者，不得申請續用。durvalumab用於非小細胞肺癌之鞏固治療不在此限。(114/8/1)</w:t>
      </w:r>
    </w:p>
    <w:p w:rsidR="002465F4" w:rsidRPr="0014655B" w:rsidRDefault="002465F4" w:rsidP="002465F4">
      <w:pPr>
        <w:tabs>
          <w:tab w:val="left" w:pos="1418"/>
        </w:tabs>
        <w:spacing w:line="400" w:lineRule="exact"/>
        <w:ind w:left="1418" w:hanging="141"/>
        <w:jc w:val="both"/>
        <w:rPr>
          <w:rFonts w:ascii="標楷體" w:eastAsia="標楷體" w:hAnsi="標楷體" w:cs="新細明體"/>
          <w:color w:val="000000"/>
          <w:kern w:val="0"/>
          <w:szCs w:val="24"/>
        </w:rPr>
      </w:pPr>
      <w:r>
        <w:rPr>
          <w:rFonts w:ascii="標楷體" w:eastAsia="標楷體" w:hAnsi="標楷體" w:cs="新細明體" w:hint="eastAsia"/>
          <w:color w:val="000000"/>
          <w:kern w:val="0"/>
          <w:szCs w:val="24"/>
        </w:rPr>
        <w:t>Ⅴ</w:t>
      </w:r>
      <w:r w:rsidRPr="0014655B">
        <w:rPr>
          <w:rFonts w:ascii="標楷體" w:eastAsia="標楷體" w:hAnsi="標楷體" w:cs="新細明體"/>
          <w:color w:val="000000"/>
          <w:kern w:val="0"/>
          <w:szCs w:val="24"/>
        </w:rPr>
        <w:t>使用於早期三陰性乳癌，術前前導性治療腫瘤惡化(PD)者，或術後輔助治療復發者，不得申請續用。(114/6/1)</w:t>
      </w:r>
    </w:p>
    <w:p w:rsidR="002465F4" w:rsidRPr="0014655B"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(9)申請續用時，需檢附病人12週內之評估資料如下：(108/6/1、109/11/1)</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I.病人身體狀況良好(ECOG≦1)及心肺與肝腎功能之評估資料。</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II.以i-RECIST標準(HCC患者以mRECIST標準)評定之藥物療效反應(PR、CR、SD)資料、影像檢查及報告(如胸部X光、電腦斷層或其他可作為評估的影像)，</w:t>
      </w:r>
      <w:r w:rsidRPr="0014655B">
        <w:rPr>
          <w:rFonts w:ascii="標楷體" w:eastAsia="標楷體" w:hAnsi="標楷體"/>
          <w:color w:val="000000"/>
        </w:rPr>
        <w:lastRenderedPageBreak/>
        <w:t>此影像證明以可測量(measurable)的病灶為優先，如沒有可以測量的病灶，則可評估(evaluable)的病灶亦可採用。</w:t>
      </w:r>
    </w:p>
    <w:p w:rsidR="002465F4" w:rsidRPr="0014655B" w:rsidRDefault="002465F4" w:rsidP="002465F4">
      <w:pPr>
        <w:tabs>
          <w:tab w:val="left" w:pos="1418"/>
        </w:tabs>
        <w:spacing w:line="400" w:lineRule="exact"/>
        <w:ind w:left="1051" w:hanging="245"/>
        <w:rPr>
          <w:rFonts w:ascii="標楷體" w:eastAsia="標楷體" w:hAnsi="標楷體"/>
          <w:color w:val="000000"/>
        </w:rPr>
      </w:pPr>
      <w:r w:rsidRPr="0014655B">
        <w:rPr>
          <w:rFonts w:ascii="標楷體" w:eastAsia="標楷體" w:hAnsi="標楷體"/>
          <w:color w:val="000000"/>
        </w:rPr>
        <w:t>備註：上述影像檢查之給付範圍不包括正子造影(PET)。</w:t>
      </w:r>
    </w:p>
    <w:p w:rsidR="002465F4" w:rsidRPr="0014655B" w:rsidRDefault="002465F4" w:rsidP="002465F4">
      <w:pPr>
        <w:tabs>
          <w:tab w:val="left" w:pos="1418"/>
        </w:tabs>
        <w:spacing w:line="400" w:lineRule="exact"/>
        <w:ind w:left="1418" w:hanging="141"/>
        <w:jc w:val="both"/>
        <w:rPr>
          <w:rFonts w:ascii="標楷體" w:eastAsia="標楷體" w:hAnsi="標楷體"/>
          <w:color w:val="000000"/>
        </w:rPr>
      </w:pPr>
      <w:r w:rsidRPr="0014655B">
        <w:rPr>
          <w:rFonts w:ascii="標楷體" w:eastAsia="標楷體" w:hAnsi="標楷體"/>
          <w:color w:val="000000"/>
        </w:rPr>
        <w:t>Ⅲ.使用於泌尿道上皮癌第一線用藥時，須另檢附下列其中一項佐證資料：(108/6/1、109/11/1、114/6/1)</w:t>
      </w:r>
    </w:p>
    <w:p w:rsidR="002465F4" w:rsidRPr="0014655B" w:rsidRDefault="002465F4" w:rsidP="002465F4">
      <w:pPr>
        <w:tabs>
          <w:tab w:val="left" w:pos="1185"/>
        </w:tabs>
        <w:spacing w:line="400" w:lineRule="exact"/>
        <w:ind w:left="1985" w:hanging="284"/>
        <w:jc w:val="both"/>
        <w:rPr>
          <w:rFonts w:ascii="標楷體" w:eastAsia="標楷體" w:hAnsi="標楷體"/>
          <w:color w:val="000000"/>
        </w:rPr>
      </w:pPr>
      <w:r w:rsidRPr="0014655B">
        <w:rPr>
          <w:rFonts w:ascii="標楷體" w:eastAsia="標楷體" w:hAnsi="標楷體"/>
          <w:color w:val="000000"/>
        </w:rPr>
        <w:t>i.CTCAE(the common terminology criteria for adverse events) v4.0 grade≧2 audiometric hearing loss</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ⅱ</w:t>
      </w:r>
      <w:r w:rsidRPr="0014655B">
        <w:rPr>
          <w:rFonts w:ascii="標楷體" w:eastAsia="標楷體" w:hAnsi="標楷體"/>
          <w:color w:val="000000"/>
        </w:rPr>
        <w:t>.CTCAE v4.0 grade≧2 peripheral neuropathy</w:t>
      </w:r>
    </w:p>
    <w:p w:rsidR="002465F4" w:rsidRPr="0014655B" w:rsidRDefault="002465F4" w:rsidP="002465F4">
      <w:pPr>
        <w:tabs>
          <w:tab w:val="left" w:pos="1185"/>
        </w:tabs>
        <w:spacing w:line="400" w:lineRule="exact"/>
        <w:ind w:left="1985" w:hanging="284"/>
        <w:jc w:val="both"/>
        <w:rPr>
          <w:rFonts w:ascii="標楷體" w:eastAsia="標楷體" w:hAnsi="標楷體"/>
        </w:rPr>
      </w:pPr>
      <w:r w:rsidRPr="0014655B">
        <w:rPr>
          <w:rFonts w:ascii="新細明體" w:hAnsi="新細明體" w:cs="新細明體" w:hint="eastAsia"/>
          <w:color w:val="000000"/>
        </w:rPr>
        <w:t>ⅲ</w:t>
      </w:r>
      <w:r w:rsidRPr="0014655B">
        <w:rPr>
          <w:rFonts w:ascii="標楷體" w:eastAsia="標楷體" w:hAnsi="標楷體"/>
          <w:color w:val="000000"/>
        </w:rPr>
        <w:t>.CIRS(the cumulative illness rating scale) score &gt;6</w:t>
      </w:r>
    </w:p>
    <w:p w:rsidR="002465F4" w:rsidRDefault="002465F4" w:rsidP="002465F4">
      <w:pPr>
        <w:tabs>
          <w:tab w:val="left" w:pos="1418"/>
        </w:tabs>
        <w:spacing w:line="400" w:lineRule="exact"/>
        <w:ind w:left="1418" w:hanging="141"/>
        <w:jc w:val="both"/>
        <w:rPr>
          <w:rFonts w:ascii="標楷體" w:eastAsia="標楷體" w:hAnsi="標楷體"/>
        </w:rPr>
      </w:pPr>
      <w:r w:rsidRPr="0014655B">
        <w:rPr>
          <w:rFonts w:ascii="標楷體" w:eastAsia="標楷體" w:hAnsi="標楷體"/>
          <w:color w:val="000000"/>
          <w:szCs w:val="24"/>
        </w:rPr>
        <w:t>IV.</w:t>
      </w:r>
      <w:r w:rsidRPr="0014655B">
        <w:rPr>
          <w:rFonts w:ascii="標楷體" w:eastAsia="標楷體" w:hAnsi="標楷體"/>
          <w:szCs w:val="24"/>
        </w:rPr>
        <w:t>使用於早期三陰性乳癌術後輔助治療時，須檢附於乳房和/或手術切除的淋巴結中發現有殘餘的侵襲性癌症(non-pCR)佐證。(114/6/1)</w:t>
      </w:r>
    </w:p>
    <w:p w:rsidR="002465F4" w:rsidRPr="0014655B" w:rsidRDefault="002465F4" w:rsidP="002465F4">
      <w:pPr>
        <w:tabs>
          <w:tab w:val="left" w:pos="1418"/>
        </w:tabs>
        <w:spacing w:line="400" w:lineRule="exact"/>
        <w:ind w:left="1418" w:hanging="141"/>
        <w:jc w:val="both"/>
        <w:rPr>
          <w:rFonts w:ascii="標楷體" w:eastAsia="標楷體" w:hAnsi="標楷體"/>
        </w:rPr>
      </w:pPr>
      <w:r>
        <w:rPr>
          <w:rFonts w:ascii="標楷體" w:eastAsia="標楷體" w:hAnsi="標楷體" w:cs="新細明體" w:hint="eastAsia"/>
          <w:color w:val="000000"/>
          <w:kern w:val="0"/>
          <w:szCs w:val="24"/>
        </w:rPr>
        <w:t>Ⅴ</w:t>
      </w:r>
      <w:r w:rsidRPr="0014655B">
        <w:rPr>
          <w:rFonts w:ascii="標楷體" w:eastAsia="標楷體" w:hAnsi="標楷體" w:cs="新細明體"/>
          <w:color w:val="000000"/>
          <w:kern w:val="0"/>
          <w:szCs w:val="24"/>
        </w:rPr>
        <w:t>其他佐證病歷資料。</w:t>
      </w:r>
    </w:p>
    <w:p w:rsidR="002465F4" w:rsidRPr="0014655B" w:rsidRDefault="002465F4" w:rsidP="002465F4">
      <w:pPr>
        <w:tabs>
          <w:tab w:val="left" w:pos="710"/>
        </w:tabs>
        <w:spacing w:line="400" w:lineRule="exact"/>
        <w:ind w:leftChars="237" w:left="991" w:hangingChars="176" w:hanging="422"/>
        <w:rPr>
          <w:rFonts w:ascii="標楷體" w:eastAsia="標楷體" w:hAnsi="標楷體"/>
          <w:color w:val="000000"/>
        </w:rPr>
      </w:pPr>
      <w:r w:rsidRPr="0014655B">
        <w:rPr>
          <w:rFonts w:ascii="標楷體" w:eastAsia="標楷體" w:hAnsi="標楷體"/>
          <w:color w:val="000000"/>
        </w:rPr>
        <w:t>4.登錄與結案作業：(109/11/1、114/1/1）</w:t>
      </w:r>
    </w:p>
    <w:p w:rsidR="002465F4" w:rsidRPr="0014655B"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(1)醫師處方使用本類藥品，倘病人結束治療、停止用藥、未通過續用申請或達給付時程期限時，醫事機構須在28天內於VPN系統登錄結案。逾期未登錄結案者，系統自動結案，且不予支付該個案自前次事前審查核定日後申報之藥費。(109/11/1、114/1/1)</w:t>
      </w:r>
    </w:p>
    <w:p w:rsidR="00B96EA0" w:rsidRDefault="002465F4" w:rsidP="002465F4">
      <w:pPr>
        <w:tabs>
          <w:tab w:val="left" w:pos="1185"/>
        </w:tabs>
        <w:spacing w:line="400" w:lineRule="exact"/>
        <w:ind w:left="1291" w:hanging="440"/>
        <w:rPr>
          <w:rFonts w:ascii="標楷體" w:eastAsia="標楷體" w:hAnsi="標楷體"/>
          <w:color w:val="000000"/>
        </w:rPr>
      </w:pPr>
      <w:r w:rsidRPr="0014655B">
        <w:rPr>
          <w:rFonts w:ascii="標楷體" w:eastAsia="標楷體" w:hAnsi="標楷體"/>
          <w:color w:val="000000"/>
        </w:rPr>
        <w:t>(2)已結案者自結案日後不予支付藥費。</w:t>
      </w:r>
      <w:bookmarkEnd w:id="15"/>
    </w:p>
    <w:p w:rsidR="00A15393" w:rsidRDefault="002F7398" w:rsidP="00A15393">
      <w:pPr>
        <w:spacing w:line="400" w:lineRule="exact"/>
        <w:ind w:left="283"/>
        <w:rPr>
          <w:rFonts w:ascii="標楷體" w:eastAsia="標楷體" w:hAnsi="標楷體"/>
          <w:color w:val="000000"/>
        </w:rPr>
      </w:pPr>
      <w:bookmarkStart w:id="24" w:name="_Hlk212113299"/>
      <w:r>
        <w:rPr>
          <w:rFonts w:ascii="標楷體" w:eastAsia="標楷體" w:hAnsi="標楷體"/>
          <w:color w:val="000000"/>
        </w:rPr>
        <w:t>9.70.</w:t>
      </w:r>
      <w:bookmarkEnd w:id="24"/>
      <w:r w:rsidR="00A15393" w:rsidRPr="00A15393">
        <w:rPr>
          <w:rFonts w:ascii="標楷體" w:eastAsia="標楷體" w:hAnsi="標楷體"/>
          <w:color w:val="000000"/>
        </w:rPr>
        <w:t xml:space="preserve"> </w:t>
      </w:r>
      <w:r w:rsidR="00A15393">
        <w:rPr>
          <w:rFonts w:ascii="標楷體" w:eastAsia="標楷體" w:hAnsi="標楷體"/>
          <w:color w:val="000000"/>
        </w:rPr>
        <w:t>Pertuzumab(如Perjeta)：(108/5/1、108/12/1、112/8/1、113/12/1、114/1/1、114/5/1</w:t>
      </w:r>
      <w:r w:rsidR="00A15393" w:rsidRPr="00C437AA">
        <w:rPr>
          <w:rFonts w:ascii="標楷體" w:eastAsia="標楷體" w:hAnsi="標楷體"/>
          <w:color w:val="000000"/>
        </w:rPr>
        <w:t>、114/12/1</w:t>
      </w:r>
      <w:r w:rsidR="00A15393">
        <w:rPr>
          <w:rFonts w:ascii="標楷體" w:eastAsia="標楷體" w:hAnsi="標楷體"/>
          <w:color w:val="000000"/>
        </w:rPr>
        <w:t>)</w:t>
      </w:r>
    </w:p>
    <w:p w:rsidR="00A15393" w:rsidRDefault="00A15393" w:rsidP="00A15393">
      <w:pPr>
        <w:spacing w:line="400" w:lineRule="exact"/>
        <w:ind w:left="806" w:hanging="240"/>
        <w:rPr>
          <w:rFonts w:ascii="標楷體" w:eastAsia="標楷體" w:hAnsi="標楷體"/>
          <w:color w:val="000000"/>
        </w:rPr>
      </w:pPr>
      <w:r>
        <w:rPr>
          <w:rFonts w:ascii="標楷體" w:eastAsia="標楷體" w:hAnsi="標楷體"/>
          <w:color w:val="000000"/>
        </w:rPr>
        <w:t>1.本藥品與trastuzumab及化學療法併用於具HER2過度表現（IHC3+或FISH+），且具腋下淋巴結轉移但無遠處臟器轉移之早期乳癌病人（113/12/1、114/5/1</w:t>
      </w:r>
      <w:r w:rsidRPr="00C437AA">
        <w:rPr>
          <w:rFonts w:ascii="標楷體" w:eastAsia="標楷體" w:hAnsi="標楷體"/>
          <w:color w:val="000000"/>
        </w:rPr>
        <w:t>、114/12/1</w:t>
      </w:r>
      <w:r>
        <w:rPr>
          <w:rFonts w:ascii="標楷體" w:eastAsia="標楷體" w:hAnsi="標楷體"/>
          <w:color w:val="000000"/>
        </w:rPr>
        <w:t>）</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(1)使用於術前輔助治療，經外科手術後達病理上完全緩解者（pCR），得繼續使用至18個療程為上限。</w:t>
      </w:r>
    </w:p>
    <w:p w:rsidR="00A15393" w:rsidRDefault="00A15393" w:rsidP="00A15393">
      <w:pPr>
        <w:spacing w:line="400" w:lineRule="exact"/>
        <w:ind w:left="1166" w:hanging="600"/>
        <w:rPr>
          <w:rFonts w:ascii="標楷體" w:eastAsia="標楷體" w:hAnsi="標楷體"/>
          <w:color w:val="000000"/>
        </w:rPr>
      </w:pPr>
      <w:r>
        <w:rPr>
          <w:rFonts w:ascii="標楷體" w:eastAsia="標楷體" w:hAnsi="標楷體"/>
          <w:color w:val="000000"/>
        </w:rPr>
        <w:t xml:space="preserve">  (2)若未接受術前輔助治療，即先行手術者，可給予術後輔助治療，以18個療程為使用上限。</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(3)下列Ｉ~Ⅲ使用於外科手術前後之總療程合併計算，依藥品仿單記載以18個療程為上限：</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Ⅱ：trastuzumab</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Ⅲ：pertuzumab與trastuzumab皮下注射複方製劑(如Phesgo)</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(4)須經事前審查核准後使用，核准後每24週須檢附療效評估資料再次申請，若疾病有惡化情形即不應再行申請。（113/12/1、114/5/1）</w:t>
      </w:r>
    </w:p>
    <w:p w:rsidR="00A15393" w:rsidRDefault="00A15393" w:rsidP="00A15393">
      <w:pPr>
        <w:spacing w:line="400" w:lineRule="exact"/>
        <w:ind w:left="566"/>
        <w:rPr>
          <w:rFonts w:ascii="標楷體" w:eastAsia="標楷體" w:hAnsi="標楷體"/>
          <w:color w:val="000000"/>
        </w:rPr>
      </w:pPr>
      <w:r>
        <w:rPr>
          <w:rFonts w:ascii="標楷體" w:eastAsia="標楷體" w:hAnsi="標楷體"/>
          <w:color w:val="000000"/>
        </w:rPr>
        <w:t>2.轉移性乳癌(108/5/1、108/12/1、112/8/1、113/12/1)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(1)Pertuzumab與trastuzumab及docetaxel併用於治療轉移後未曾以抗HER2或化</w:t>
      </w:r>
      <w:r>
        <w:rPr>
          <w:rFonts w:ascii="標楷體" w:eastAsia="標楷體" w:hAnsi="標楷體"/>
          <w:color w:val="000000"/>
        </w:rPr>
        <w:lastRenderedPageBreak/>
        <w:t>學療法治療之HER2過度表現(IHC3+或FISH+)轉移性乳癌病人。(108/12/1、112/8/1)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(2)須經事前審查核准後使用，核准後每18週須檢附療效評估資料再次申請，若疾病有惡化情形即不應再行申請，每位病人至多給付18個月為限。(108/5/1)</w:t>
      </w:r>
    </w:p>
    <w:p w:rsidR="00A15393" w:rsidRDefault="00A15393" w:rsidP="00A15393">
      <w:pPr>
        <w:spacing w:line="400" w:lineRule="exact"/>
        <w:ind w:left="1260" w:hanging="408"/>
        <w:rPr>
          <w:rFonts w:ascii="標楷體" w:eastAsia="標楷體" w:hAnsi="標楷體"/>
          <w:color w:val="000000"/>
        </w:rPr>
      </w:pPr>
      <w:r>
        <w:rPr>
          <w:rFonts w:ascii="標楷體" w:eastAsia="標楷體" w:hAnsi="標楷體"/>
          <w:color w:val="000000"/>
        </w:rPr>
        <w:t>(3)下列Ｉ~Ⅱ使用於轉移性乳癌總療程合併計算，以全部18個月為上限(113/12/1)：</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Ｉ：pertuzumab與trastuzumab併用</w:t>
      </w:r>
    </w:p>
    <w:p w:rsidR="00A15393" w:rsidRDefault="00A15393" w:rsidP="00A15393">
      <w:pPr>
        <w:tabs>
          <w:tab w:val="left" w:pos="1418"/>
        </w:tabs>
        <w:spacing w:line="400" w:lineRule="exact"/>
        <w:ind w:left="1291" w:hanging="245"/>
        <w:rPr>
          <w:rFonts w:ascii="標楷體" w:eastAsia="標楷體" w:hAnsi="標楷體"/>
          <w:color w:val="000000"/>
        </w:rPr>
      </w:pPr>
      <w:r>
        <w:rPr>
          <w:rFonts w:ascii="標楷體" w:eastAsia="標楷體" w:hAnsi="標楷體"/>
          <w:color w:val="000000"/>
        </w:rPr>
        <w:t>Ⅱ：pertuzumab與trastuzumab皮下注射複方製劑(如Phesgo)</w:t>
      </w:r>
    </w:p>
    <w:p w:rsidR="00B96EA0" w:rsidRDefault="00A15393" w:rsidP="00A15393">
      <w:pPr>
        <w:spacing w:line="400" w:lineRule="exact"/>
        <w:ind w:left="851"/>
        <w:rPr>
          <w:rFonts w:ascii="標楷體" w:eastAsia="標楷體" w:hAnsi="標楷體"/>
          <w:color w:val="000000"/>
        </w:rPr>
      </w:pPr>
      <w:r>
        <w:rPr>
          <w:rFonts w:ascii="標楷體" w:eastAsia="標楷體" w:hAnsi="標楷體"/>
          <w:color w:val="000000"/>
        </w:rPr>
        <w:t>(4)先前於早期乳癌已使用pertuzumab與trastuzumab併用或使用pertuzumab與trastuzumab皮下注射複方製劑(如Phesgo)者，不得再次申請pertuzumab與trastuzumab併用，惟於早期乳癌治療結束至首次疾病復發轉移時間超過12個月以上者得再次申請。(113/12/1)</w:t>
      </w:r>
    </w:p>
    <w:p w:rsidR="008B5474" w:rsidRPr="008E774D" w:rsidRDefault="008B5474" w:rsidP="008B5474">
      <w:pPr>
        <w:spacing w:line="400" w:lineRule="exact"/>
        <w:ind w:left="283"/>
      </w:pPr>
      <w:bookmarkStart w:id="25" w:name="_Hlk75424822"/>
      <w:bookmarkStart w:id="26" w:name="_Hlk204092271"/>
      <w:r w:rsidRPr="008E774D">
        <w:rPr>
          <w:rFonts w:ascii="標楷體" w:eastAsia="標楷體" w:hAnsi="標楷體"/>
          <w:color w:val="000000"/>
        </w:rPr>
        <w:t>9.71.</w:t>
      </w:r>
      <w:bookmarkEnd w:id="25"/>
      <w:r w:rsidRPr="008E774D">
        <w:t xml:space="preserve"> </w:t>
      </w:r>
      <w:r w:rsidRPr="008E774D">
        <w:rPr>
          <w:rFonts w:ascii="標楷體" w:eastAsia="標楷體" w:hAnsi="標楷體"/>
          <w:color w:val="000000"/>
        </w:rPr>
        <w:t>Venetoclax (如Venclexta)：(108/9/1、110/7/1、112/7/1</w:t>
      </w:r>
      <w:r w:rsidRPr="008E774D">
        <w:rPr>
          <w:rFonts w:ascii="標楷體" w:eastAsia="標楷體" w:hAnsi="標楷體" w:hint="eastAsia"/>
          <w:color w:val="000000"/>
        </w:rPr>
        <w:t>、114/8/1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993" w:hanging="426"/>
        <w:rPr>
          <w:rFonts w:ascii="標楷體" w:eastAsia="標楷體" w:hAnsi="標楷體"/>
          <w:color w:val="000000"/>
        </w:rPr>
      </w:pPr>
      <w:r w:rsidRPr="008E774D">
        <w:rPr>
          <w:rFonts w:ascii="標楷體" w:eastAsia="標楷體" w:hAnsi="標楷體"/>
          <w:color w:val="000000"/>
        </w:rPr>
        <w:t>1.單獨使用於具有17p 缺失的慢性淋巴球性白血病(CLL) 成年患者。（108/9/1、112/7/1</w:t>
      </w:r>
      <w:r w:rsidR="00086754">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(1)限先前曾接受至少1種包括alkylating agent與anti-CD20 (如R-CVP、R-CHOP、rituximab加bendamustine等)的治療2個療程以上仍惡化或復發者。</w:t>
      </w:r>
    </w:p>
    <w:p w:rsidR="008B5474" w:rsidRPr="008E774D" w:rsidRDefault="008B5474" w:rsidP="008B5474">
      <w:pPr>
        <w:spacing w:line="400" w:lineRule="exact"/>
        <w:ind w:leftChars="381" w:left="914"/>
        <w:rPr>
          <w:rFonts w:ascii="標楷體" w:eastAsia="標楷體" w:hAnsi="標楷體"/>
          <w:color w:val="000000"/>
        </w:rPr>
      </w:pPr>
      <w:r w:rsidRPr="008E774D">
        <w:rPr>
          <w:rFonts w:ascii="標楷體" w:eastAsia="標楷體" w:hAnsi="標楷體"/>
          <w:color w:val="000000"/>
        </w:rPr>
        <w:t>(2)開始使用前之疾病狀態需出現下列任一情形：</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Ⅰ.進行性的血液相惡化至Hb&lt; 10.0gm/dL或PLT&lt;100K/uL，且無其他原因可以解釋。</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Ⅱ.脾臟腫大超過左肋骨下緣6cm。</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Ⅲ.淋巴結腫大，最長徑超過10cm。</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Ⅳ.周邊血液淋巴球在2個月內增加50%以上，或倍增時間(doubling time)小於6個月。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Ⅴ.出現自體免疫併發症，且經類固醇治療無效。</w:t>
      </w:r>
    </w:p>
    <w:p w:rsidR="008B5474" w:rsidRPr="008E774D" w:rsidRDefault="008B5474" w:rsidP="008B5474">
      <w:pPr>
        <w:spacing w:line="400" w:lineRule="exact"/>
        <w:ind w:leftChars="558" w:left="1339"/>
        <w:rPr>
          <w:rFonts w:ascii="標楷體" w:eastAsia="標楷體" w:hAnsi="標楷體"/>
          <w:color w:val="000000"/>
        </w:rPr>
      </w:pPr>
      <w:r w:rsidRPr="008E774D">
        <w:rPr>
          <w:rFonts w:ascii="標楷體" w:eastAsia="標楷體" w:hAnsi="標楷體"/>
          <w:color w:val="000000"/>
        </w:rPr>
        <w:t>Ⅵ.出現具症狀的淋巴結外病灶。</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(3)需經事前審查核准後使用，每3個月需再次申請。再次申請時需檢附療效評估資料，若未達iwCLL(International Workshop on CLL)最新定義之partial remission或complete remission，則不予給付。</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 xml:space="preserve">(4) </w:t>
      </w:r>
      <w:r>
        <w:rPr>
          <w:rFonts w:ascii="標楷體" w:eastAsia="標楷體" w:hAnsi="標楷體" w:hint="eastAsia"/>
          <w:color w:val="000000"/>
        </w:rPr>
        <w:t>在具有17</w:t>
      </w:r>
      <w:r>
        <w:rPr>
          <w:rFonts w:ascii="標楷體" w:eastAsia="標楷體" w:hAnsi="標楷體"/>
          <w:color w:val="000000"/>
        </w:rPr>
        <w:t>p</w:t>
      </w:r>
      <w:r>
        <w:rPr>
          <w:rFonts w:ascii="標楷體" w:eastAsia="標楷體" w:hAnsi="標楷體" w:hint="eastAsia"/>
          <w:color w:val="000000"/>
        </w:rPr>
        <w:t>缺失病人，v</w:t>
      </w:r>
      <w:r w:rsidRPr="008E774D">
        <w:rPr>
          <w:rFonts w:ascii="標楷體" w:eastAsia="標楷體" w:hAnsi="標楷體"/>
          <w:color w:val="000000"/>
        </w:rPr>
        <w:t>enetoclax、acalabrutinib</w:t>
      </w:r>
      <w:r>
        <w:rPr>
          <w:rFonts w:ascii="標楷體" w:eastAsia="標楷體" w:hAnsi="標楷體" w:hint="eastAsia"/>
          <w:color w:val="000000"/>
        </w:rPr>
        <w:t>、</w:t>
      </w:r>
      <w:r w:rsidRPr="008E774D">
        <w:rPr>
          <w:rFonts w:ascii="標楷體" w:eastAsia="標楷體" w:hAnsi="標楷體"/>
          <w:color w:val="000000"/>
        </w:rPr>
        <w:t>ibrutinib</w:t>
      </w:r>
      <w:r>
        <w:rPr>
          <w:rFonts w:ascii="標楷體" w:eastAsia="標楷體" w:hAnsi="標楷體" w:hint="eastAsia"/>
          <w:color w:val="000000"/>
        </w:rPr>
        <w:t>及z</w:t>
      </w:r>
      <w:r>
        <w:rPr>
          <w:rFonts w:ascii="標楷體" w:eastAsia="標楷體" w:hAnsi="標楷體"/>
          <w:color w:val="000000"/>
        </w:rPr>
        <w:t>anubrutinib</w:t>
      </w:r>
      <w:r>
        <w:rPr>
          <w:rFonts w:ascii="標楷體" w:eastAsia="標楷體" w:hAnsi="標楷體" w:hint="eastAsia"/>
          <w:color w:val="000000"/>
        </w:rPr>
        <w:t>四</w:t>
      </w:r>
      <w:r w:rsidRPr="008E774D">
        <w:rPr>
          <w:rFonts w:ascii="標楷體" w:eastAsia="標楷體" w:hAnsi="標楷體"/>
          <w:color w:val="000000"/>
        </w:rPr>
        <w:t>者僅能擇一使用，唯有在出現無法忍受其副作用時方可互換。三者使用總療程合併計算，以全部24個月為上限。（108/9/1、112/7/1</w:t>
      </w:r>
      <w:r>
        <w:rPr>
          <w:rFonts w:ascii="標楷體" w:eastAsia="標楷體" w:hAnsi="標楷體" w:hint="eastAsia"/>
          <w:color w:val="000000"/>
        </w:rPr>
        <w:t>、114/10/1</w:t>
      </w:r>
      <w:r w:rsidRPr="008E774D">
        <w:rPr>
          <w:rFonts w:ascii="標楷體" w:eastAsia="標楷體" w:hAnsi="標楷體"/>
          <w:color w:val="000000"/>
        </w:rPr>
        <w:t>)</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(5)每日至多處方4粒。</w:t>
      </w:r>
    </w:p>
    <w:p w:rsidR="008B5474" w:rsidRPr="008E774D" w:rsidRDefault="008B5474" w:rsidP="008B5474">
      <w:pPr>
        <w:spacing w:line="400" w:lineRule="exact"/>
        <w:ind w:left="993" w:hanging="240"/>
        <w:rPr>
          <w:rFonts w:ascii="標楷體" w:eastAsia="標楷體" w:hAnsi="標楷體"/>
          <w:color w:val="000000"/>
        </w:rPr>
      </w:pPr>
      <w:r w:rsidRPr="008E774D">
        <w:rPr>
          <w:rFonts w:ascii="標楷體" w:eastAsia="標楷體" w:hAnsi="標楷體"/>
          <w:color w:val="000000"/>
        </w:rPr>
        <w:t>2.</w:t>
      </w:r>
      <w:r w:rsidRPr="008E774D">
        <w:rPr>
          <w:rFonts w:ascii="標楷體" w:eastAsia="標楷體" w:hAnsi="標楷體" w:hint="eastAsia"/>
          <w:color w:val="000000"/>
        </w:rPr>
        <w:t>併用低劑量cytarabine或azacitidine(除Winduza及Azacitidine Lyophilized Inj 100mg"GBC"以外)，使用於無法接受高強度化學治療之初診斷急性骨髓性白血</w:t>
      </w:r>
      <w:r w:rsidRPr="008E774D">
        <w:rPr>
          <w:rFonts w:ascii="標楷體" w:eastAsia="標楷體" w:hAnsi="標楷體" w:hint="eastAsia"/>
          <w:color w:val="000000"/>
        </w:rPr>
        <w:lastRenderedPageBreak/>
        <w:t>病(AML)病人：(110/7/1、114/8/1)</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(1)需具有下列I.或Ⅱ.的條件之一：</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I.75歲以上。</w:t>
      </w:r>
    </w:p>
    <w:p w:rsidR="008B5474" w:rsidRPr="008E774D" w:rsidRDefault="008B5474" w:rsidP="008B5474">
      <w:pPr>
        <w:spacing w:line="400" w:lineRule="exact"/>
        <w:ind w:leftChars="558" w:left="1699" w:hangingChars="150" w:hanging="360"/>
        <w:rPr>
          <w:rFonts w:ascii="標楷體" w:eastAsia="標楷體" w:hAnsi="標楷體"/>
          <w:color w:val="000000"/>
        </w:rPr>
      </w:pPr>
      <w:r w:rsidRPr="008E774D">
        <w:rPr>
          <w:rFonts w:ascii="標楷體" w:eastAsia="標楷體" w:hAnsi="標楷體"/>
          <w:color w:val="000000"/>
        </w:rPr>
        <w:t>Ⅱ.18歲以上但未滿75歲時，需ECOG performance status為2或3，且符合下列任一條件者：</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A.具有心臟衰竭治療病史，且left ventricle ejection fraction (LVEF)＜50%。</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B.具慢性肺部疾病史，且 DLCO＜65%。</w:t>
      </w:r>
    </w:p>
    <w:p w:rsidR="008B5474" w:rsidRPr="008E774D" w:rsidRDefault="008B5474" w:rsidP="008B5474">
      <w:pPr>
        <w:spacing w:line="400" w:lineRule="exact"/>
        <w:ind w:left="1701"/>
        <w:rPr>
          <w:rFonts w:ascii="標楷體" w:eastAsia="標楷體" w:hAnsi="標楷體"/>
          <w:color w:val="000000"/>
        </w:rPr>
      </w:pPr>
      <w:r w:rsidRPr="008E774D">
        <w:rPr>
          <w:rFonts w:ascii="標楷體" w:eastAsia="標楷體" w:hAnsi="標楷體"/>
          <w:color w:val="000000"/>
        </w:rPr>
        <w:t>C.具肝功能異常：Bilirubin level 在1.5-3.0倍正常值間。</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(2)需未曾因骨髓化生不良症候群(myelodysplastic syndrome, MDS)接受過azacitidine治療者。</w:t>
      </w:r>
    </w:p>
    <w:p w:rsidR="008B5474" w:rsidRPr="008E774D"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(3)需經事前審查核准後使用，每2個療程需再次申請；再次申請時需檢附療效評估資料，若病情惡化應即停止使用。</w:t>
      </w:r>
    </w:p>
    <w:p w:rsidR="00B96EA0" w:rsidRDefault="008B5474" w:rsidP="008B5474">
      <w:pPr>
        <w:spacing w:line="400" w:lineRule="exact"/>
        <w:ind w:leftChars="381" w:left="1274" w:hangingChars="150" w:hanging="360"/>
        <w:rPr>
          <w:rFonts w:ascii="標楷體" w:eastAsia="標楷體" w:hAnsi="標楷體"/>
          <w:color w:val="000000"/>
        </w:rPr>
      </w:pPr>
      <w:r w:rsidRPr="008E774D">
        <w:rPr>
          <w:rFonts w:ascii="標楷體" w:eastAsia="標楷體" w:hAnsi="標楷體"/>
          <w:color w:val="000000"/>
        </w:rPr>
        <w:t>(4)</w:t>
      </w:r>
      <w:r w:rsidRPr="008E774D">
        <w:rPr>
          <w:rFonts w:ascii="標楷體" w:eastAsia="標楷體" w:hAnsi="標楷體" w:hint="eastAsia"/>
          <w:color w:val="000000"/>
        </w:rPr>
        <w:t>若併用低劑</w:t>
      </w:r>
      <w:r w:rsidRPr="008E774D">
        <w:rPr>
          <w:rFonts w:ascii="標楷體" w:eastAsia="標楷體" w:hAnsi="標楷體" w:hint="eastAsia"/>
        </w:rPr>
        <w:t>量cytarabine，每日至多處方6粒，最多給付4個療程。若併用azacitidine治療，每日至多處方4粒，最多給付6個療程。(110/7/1、114/8/1)</w:t>
      </w:r>
      <w:bookmarkEnd w:id="26"/>
    </w:p>
    <w:p w:rsidR="00C51017" w:rsidRDefault="00C51017" w:rsidP="00C51017">
      <w:pPr>
        <w:spacing w:line="400" w:lineRule="exact"/>
        <w:ind w:left="993" w:hanging="708"/>
      </w:pPr>
      <w:r>
        <w:rPr>
          <w:rFonts w:ascii="標楷體" w:eastAsia="標楷體" w:hAnsi="標楷體"/>
          <w:color w:val="000000"/>
        </w:rPr>
        <w:t>9.72.</w:t>
      </w:r>
      <w:r>
        <w:rPr>
          <w:rFonts w:ascii="標楷體" w:eastAsia="標楷體" w:hAnsi="標楷體"/>
        </w:rPr>
        <w:t xml:space="preserve"> </w:t>
      </w:r>
      <w:r>
        <w:rPr>
          <w:rFonts w:ascii="標楷體" w:eastAsia="標楷體" w:hAnsi="標楷體"/>
          <w:color w:val="000000"/>
        </w:rPr>
        <w:t>CDK4/6抑制劑 (如 ribociclib；palbociclib)：(108/10/1、108/12/1、109/4/1、109/10/1、110/5/1、110/10/1、113/1/1、113/3/1、114/7/1</w:t>
      </w:r>
      <w:r w:rsidR="003F2C2F">
        <w:rPr>
          <w:rFonts w:ascii="標楷體" w:eastAsia="標楷體" w:hAnsi="標楷體" w:hint="eastAsia"/>
          <w:color w:val="000000"/>
        </w:rPr>
        <w:t>、115/1/1</w:t>
      </w:r>
      <w:r>
        <w:rPr>
          <w:rFonts w:ascii="標楷體" w:eastAsia="標楷體" w:hAnsi="標楷體"/>
          <w:color w:val="000000"/>
        </w:rPr>
        <w:t>)</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1.用於停經後乳癌婦女發生遠端轉移後之全身性藥物治療，須完全符合以下條件：(109/10/1、110/5/1、110/10/1、113/1/1)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(1)荷爾蒙接受體為：ER或PR &gt;30%。（109/10/1、113/1/1)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(2)HER-2 檢測為陰性。</w:t>
      </w:r>
      <w:bookmarkStart w:id="27" w:name="_GoBack"/>
      <w:bookmarkEnd w:id="27"/>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(4)骨轉移不可為唯一轉移部位。（110/10/1）</w:t>
      </w:r>
    </w:p>
    <w:p w:rsidR="00C51017" w:rsidRDefault="00C51017" w:rsidP="00C51017">
      <w:pPr>
        <w:spacing w:line="400" w:lineRule="exact"/>
        <w:ind w:leftChars="354" w:left="1131" w:hangingChars="117" w:hanging="281"/>
        <w:rPr>
          <w:rFonts w:ascii="標楷體" w:eastAsia="標楷體" w:hAnsi="標楷體"/>
          <w:color w:val="000000"/>
        </w:rPr>
      </w:pPr>
      <w:r>
        <w:rPr>
          <w:rFonts w:ascii="標楷體" w:eastAsia="標楷體" w:hAnsi="標楷體"/>
          <w:color w:val="000000"/>
        </w:rPr>
        <w:t>(5)病患目前未接受卵巢功能抑制治療 (包含GnRH analogue等) 且滿足下列條件之一：（110/5/1）</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Ⅰ.年齡滿55歲。</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Ⅱ.曾接受雙側卵巢切除術。</w:t>
      </w:r>
    </w:p>
    <w:p w:rsidR="00C51017" w:rsidRDefault="00C51017" w:rsidP="00C51017">
      <w:pPr>
        <w:spacing w:line="400" w:lineRule="exact"/>
        <w:ind w:left="1134" w:hanging="141"/>
        <w:rPr>
          <w:rFonts w:ascii="標楷體" w:eastAsia="標楷體" w:hAnsi="標楷體"/>
          <w:color w:val="000000"/>
        </w:rPr>
      </w:pPr>
      <w:r>
        <w:rPr>
          <w:rFonts w:ascii="標楷體" w:eastAsia="標楷體" w:hAnsi="標楷體"/>
          <w:color w:val="000000"/>
        </w:rPr>
        <w:t>Ⅲ.FSH及estradiol血液檢測值在停經後數值範圍內。</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2.用於停經前/正在停經乳癌婦女及男性乳癌發生遠端轉移後之全身性藥物治療，須與芳香環轉化酶抑制劑及GnRH analogue 併用。（113/1/1、114/7/1）</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(1)荷爾蒙接受體為：ER或PR &gt;30%。</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(2)HER-2 檢測為陰性。</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t>(3)經完整疾病評估後未出現器官轉移危急症狀 (visceral crisis)且無中樞神經系統(CNS)轉移。</w:t>
      </w:r>
    </w:p>
    <w:p w:rsidR="00C51017" w:rsidRDefault="00C51017" w:rsidP="00C51017">
      <w:pPr>
        <w:spacing w:line="400" w:lineRule="exact"/>
        <w:ind w:left="1134" w:hanging="283"/>
        <w:rPr>
          <w:rFonts w:ascii="標楷體" w:eastAsia="標楷體" w:hAnsi="標楷體"/>
          <w:color w:val="000000"/>
        </w:rPr>
      </w:pPr>
      <w:r>
        <w:rPr>
          <w:rFonts w:ascii="標楷體" w:eastAsia="標楷體" w:hAnsi="標楷體"/>
          <w:color w:val="000000"/>
        </w:rPr>
        <w:lastRenderedPageBreak/>
        <w:t>(4)骨轉移不可為唯一轉移部位。</w:t>
      </w:r>
    </w:p>
    <w:p w:rsidR="00C51017" w:rsidRPr="002E042D" w:rsidRDefault="00C51017" w:rsidP="00C51017">
      <w:pPr>
        <w:spacing w:line="400" w:lineRule="exact"/>
        <w:ind w:left="993" w:hanging="426"/>
        <w:rPr>
          <w:rFonts w:ascii="標楷體" w:eastAsia="標楷體" w:hAnsi="標楷體"/>
          <w:color w:val="000000"/>
        </w:rPr>
      </w:pPr>
      <w:r>
        <w:rPr>
          <w:rFonts w:ascii="標楷體" w:eastAsia="標楷體" w:hAnsi="標楷體"/>
          <w:color w:val="000000"/>
        </w:rPr>
        <w:t>3.</w:t>
      </w:r>
      <w:r w:rsidRPr="002E042D">
        <w:rPr>
          <w:rFonts w:ascii="標楷體" w:eastAsia="標楷體" w:hAnsi="標楷體"/>
          <w:color w:val="000000"/>
        </w:rPr>
        <w:t>限palbociclib與fulvestrant併用於治療曾接受過內分泌療法之局部晚期或轉移性乳癌病人，且須完全符合下列條件：(115/1/1)</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(1)荷爾蒙接受體為：ER或PR &gt;30%。</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(2)HER-2 檢測為陰性。</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(3)經完整疾病評估後未出現器官轉移危急症狀 (visceral crisis)且無中樞神經系統(CNS)轉移。</w:t>
      </w:r>
    </w:p>
    <w:p w:rsidR="00C51017" w:rsidRPr="002E042D" w:rsidRDefault="00C51017" w:rsidP="00C51017">
      <w:pPr>
        <w:snapToGrid w:val="0"/>
        <w:spacing w:line="400" w:lineRule="exact"/>
        <w:ind w:leftChars="353" w:left="1130" w:hangingChars="118" w:hanging="283"/>
        <w:jc w:val="both"/>
        <w:rPr>
          <w:rFonts w:ascii="標楷體" w:eastAsia="標楷體" w:hAnsi="標楷體"/>
          <w:color w:val="000000"/>
        </w:rPr>
      </w:pPr>
      <w:r w:rsidRPr="002E042D">
        <w:rPr>
          <w:rFonts w:ascii="標楷體" w:eastAsia="標楷體" w:hAnsi="標楷體"/>
          <w:color w:val="000000"/>
        </w:rPr>
        <w:t>(4)骨轉移不可為唯一轉移部位。</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4.</w:t>
      </w:r>
      <w:r>
        <w:rPr>
          <w:rFonts w:ascii="標楷體" w:eastAsia="標楷體" w:hAnsi="標楷體"/>
          <w:color w:val="000000"/>
        </w:rPr>
        <w:t>經事前審查核准後使用，核准後每24週須檢附療效評估資料再次申請，若疾病惡化即必須停止使用，且後續不得再申請使用</w:t>
      </w:r>
      <w:r w:rsidRPr="002E042D">
        <w:rPr>
          <w:rFonts w:ascii="標楷體" w:eastAsia="標楷體" w:hAnsi="標楷體"/>
          <w:color w:val="000000"/>
        </w:rPr>
        <w:t>ribociclib、palbociclib</w:t>
      </w:r>
      <w:r>
        <w:rPr>
          <w:rFonts w:ascii="標楷體" w:eastAsia="標楷體" w:hAnsi="標楷體"/>
          <w:color w:val="000000"/>
        </w:rPr>
        <w:t>。（110/10/1）</w:t>
      </w:r>
    </w:p>
    <w:p w:rsidR="00C51017"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5</w:t>
      </w:r>
      <w:r>
        <w:rPr>
          <w:rFonts w:ascii="標楷體" w:eastAsia="標楷體" w:hAnsi="標楷體"/>
          <w:color w:val="000000"/>
        </w:rPr>
        <w:t>.使用限制：</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(1)ribociclib 每日最多處方3粒。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(2)palbociclib 每日最多處方1粒。</w:t>
      </w:r>
    </w:p>
    <w:p w:rsidR="00C51017" w:rsidRDefault="00C51017" w:rsidP="00C51017">
      <w:pPr>
        <w:spacing w:line="400" w:lineRule="exact"/>
        <w:ind w:left="1275" w:hanging="424"/>
        <w:rPr>
          <w:rFonts w:ascii="標楷體" w:eastAsia="標楷體" w:hAnsi="標楷體"/>
          <w:color w:val="000000"/>
        </w:rPr>
      </w:pPr>
      <w:r>
        <w:rPr>
          <w:rFonts w:ascii="標楷體" w:eastAsia="標楷體" w:hAnsi="標楷體"/>
          <w:color w:val="000000"/>
        </w:rPr>
        <w:t>(3)</w:t>
      </w:r>
      <w:r w:rsidRPr="00B14F70">
        <w:rPr>
          <w:rFonts w:ascii="標楷體" w:eastAsia="標楷體" w:hAnsi="標楷體"/>
          <w:color w:val="000000"/>
        </w:rPr>
        <w:t xml:space="preserve"> ribociclib與palbociclib</w:t>
      </w:r>
      <w:r>
        <w:rPr>
          <w:rFonts w:ascii="標楷體" w:eastAsia="標楷體" w:hAnsi="標楷體"/>
          <w:color w:val="000000"/>
        </w:rPr>
        <w:t>僅得擇一使用，唯有在耐受不良時方可轉換使用，使用總療程合併計算，以每人終生給付24個月為上限。</w:t>
      </w:r>
      <w:r w:rsidRPr="00B14F70">
        <w:rPr>
          <w:rFonts w:ascii="標楷體" w:eastAsia="標楷體" w:hAnsi="標楷體"/>
          <w:color w:val="000000"/>
        </w:rPr>
        <w:t>(108/12/1)</w:t>
      </w:r>
    </w:p>
    <w:p w:rsidR="00C51017" w:rsidRPr="00C51017" w:rsidRDefault="00C51017" w:rsidP="00C51017">
      <w:pPr>
        <w:spacing w:line="400" w:lineRule="exact"/>
        <w:ind w:left="1275" w:hanging="424"/>
        <w:rPr>
          <w:rFonts w:ascii="標楷體" w:eastAsia="標楷體" w:hAnsi="標楷體"/>
          <w:color w:val="000000"/>
        </w:rPr>
      </w:pPr>
      <w:r w:rsidRPr="00B14F70">
        <w:rPr>
          <w:rFonts w:ascii="標楷體" w:eastAsia="標楷體" w:hAnsi="標楷體"/>
          <w:color w:val="000000"/>
        </w:rPr>
        <w:t>(4)若先前於早期乳癌使用abemaciclib無效後，或於晚期乳癌使用ribociclib、palbociclib無效後，不得再申請ribociclib、palbociclib。(113/3/1、115/1/1)</w:t>
      </w:r>
    </w:p>
    <w:p w:rsidR="00C51017" w:rsidRDefault="00C51017" w:rsidP="00C51017">
      <w:pPr>
        <w:spacing w:line="400" w:lineRule="exact"/>
        <w:ind w:left="851" w:hanging="283"/>
        <w:rPr>
          <w:rFonts w:ascii="標楷體" w:eastAsia="標楷體" w:hAnsi="標楷體"/>
          <w:color w:val="000000"/>
        </w:rPr>
      </w:pPr>
      <w:r>
        <w:rPr>
          <w:rFonts w:ascii="標楷體" w:eastAsia="標楷體" w:hAnsi="標楷體" w:hint="eastAsia"/>
          <w:color w:val="000000"/>
        </w:rPr>
        <w:t>6</w:t>
      </w:r>
      <w:r>
        <w:rPr>
          <w:rFonts w:ascii="標楷體" w:eastAsia="標楷體" w:hAnsi="標楷體"/>
          <w:color w:val="000000"/>
        </w:rPr>
        <w:t>.110年9月30日以前已核定用藥之病人，得經事前審查核准後，使用至總療程(即終生24個月)或總療程期間疾病惡化為止，且後續不得再申請使用本類藥品。（110/10/1、113/1/1）</w:t>
      </w:r>
    </w:p>
    <w:p w:rsidR="00B96EA0" w:rsidRDefault="00C51017" w:rsidP="00C51017">
      <w:pPr>
        <w:spacing w:line="400" w:lineRule="exact"/>
        <w:ind w:left="993" w:hanging="426"/>
        <w:rPr>
          <w:rFonts w:ascii="標楷體" w:eastAsia="標楷體" w:hAnsi="標楷體"/>
          <w:color w:val="000000"/>
        </w:rPr>
      </w:pPr>
      <w:r>
        <w:rPr>
          <w:rFonts w:ascii="標楷體" w:eastAsia="標楷體" w:hAnsi="標楷體" w:hint="eastAsia"/>
          <w:color w:val="000000"/>
        </w:rPr>
        <w:t>7</w:t>
      </w:r>
      <w:r>
        <w:rPr>
          <w:rFonts w:ascii="標楷體" w:eastAsia="標楷體" w:hAnsi="標楷體"/>
          <w:color w:val="000000"/>
        </w:rPr>
        <w:t>.若先前使用 everolimus 無效後，不得再申請本類藥品。(109/4/1)</w:t>
      </w:r>
    </w:p>
    <w:p w:rsidR="00B96EA0" w:rsidRDefault="007D66B8" w:rsidP="005142EB">
      <w:pPr>
        <w:spacing w:line="400" w:lineRule="exact"/>
        <w:ind w:left="708" w:hanging="425"/>
        <w:rPr>
          <w:rFonts w:ascii="標楷體" w:eastAsia="標楷體" w:hAnsi="標楷體"/>
          <w:color w:val="000000"/>
        </w:rPr>
      </w:pPr>
      <w:r>
        <w:rPr>
          <w:rFonts w:ascii="標楷體" w:eastAsia="標楷體" w:hAnsi="標楷體"/>
          <w:color w:val="000000"/>
        </w:rPr>
        <w:t>9.73.Inotuzumab ozogamicin (如Besponsa)：(108/11/1、112/12/1)</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1.適用於治療患有復發型或頑固型且CD22為陽性之B細胞前驅因子之急性淋巴芽細胞白血病(B-ALL)，且計畫進行造血幹細胞移植之成人病患。</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2.上述成人病患如具費城染色體陽性(Ph+)，應至少使用過兩種酪胺酸激酶抑制劑(TKI)藥物治療無效。</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3.每位病人限給付2療程，需事前審查核准後使用。申請時需檢附完整之造血幹細胞移植計畫，並詳細記載確認移植之執行醫院及移植前調適治療等資料。</w:t>
      </w:r>
    </w:p>
    <w:p w:rsidR="00B96EA0" w:rsidRDefault="007D66B8" w:rsidP="005142EB">
      <w:pPr>
        <w:spacing w:line="400" w:lineRule="exact"/>
        <w:ind w:left="960" w:hanging="240"/>
        <w:rPr>
          <w:rFonts w:ascii="標楷體" w:eastAsia="標楷體" w:hAnsi="標楷體"/>
          <w:color w:val="000000"/>
        </w:rPr>
      </w:pPr>
      <w:r>
        <w:rPr>
          <w:rFonts w:ascii="標楷體" w:eastAsia="標楷體" w:hAnsi="標楷體"/>
          <w:color w:val="000000"/>
        </w:rPr>
        <w:t>4.不得與blinatumomab（如Blincyto）或酪胺酸激酶抑制劑(TKI)（如imatinib、dasatinib、ponatinib）等併用。</w:t>
      </w:r>
    </w:p>
    <w:p w:rsidR="00B96EA0" w:rsidRDefault="007D66B8" w:rsidP="005142EB">
      <w:pPr>
        <w:spacing w:line="400" w:lineRule="exact"/>
        <w:ind w:left="960" w:hanging="240"/>
      </w:pPr>
      <w:r>
        <w:rPr>
          <w:rFonts w:ascii="標楷體" w:eastAsia="標楷體" w:hAnsi="標楷體"/>
          <w:szCs w:val="24"/>
        </w:rPr>
        <w:t>5.病人若已依達完全緩解但仍有殘餘疾病(MRD)之條件取得 blinatumomab 給付同意並接受治療後</w:t>
      </w:r>
      <w:r>
        <w:rPr>
          <w:rFonts w:ascii="新細明體" w:hAnsi="新細明體"/>
          <w:szCs w:val="24"/>
        </w:rPr>
        <w:t>，</w:t>
      </w:r>
      <w:r>
        <w:rPr>
          <w:rFonts w:ascii="標楷體" w:eastAsia="標楷體" w:hAnsi="標楷體"/>
          <w:szCs w:val="24"/>
        </w:rPr>
        <w:t>MRD若未消失但疾病仍在完全緩解時</w:t>
      </w:r>
      <w:r>
        <w:rPr>
          <w:rFonts w:ascii="新細明體" w:hAnsi="新細明體"/>
          <w:szCs w:val="24"/>
        </w:rPr>
        <w:t>，</w:t>
      </w:r>
      <w:r>
        <w:rPr>
          <w:rFonts w:ascii="標楷體" w:eastAsia="標楷體" w:hAnsi="標楷體"/>
          <w:szCs w:val="24"/>
        </w:rPr>
        <w:t>不得申請給付inotuzumab ozogamicin。（112</w:t>
      </w:r>
      <w:r>
        <w:rPr>
          <w:rFonts w:ascii="標楷體" w:eastAsia="標楷體" w:hAnsi="標楷體"/>
          <w:bCs/>
          <w:szCs w:val="24"/>
        </w:rPr>
        <w:t>/12/1）</w:t>
      </w:r>
    </w:p>
    <w:p w:rsidR="00105765" w:rsidRPr="00105765" w:rsidRDefault="00105765" w:rsidP="00105765">
      <w:pPr>
        <w:spacing w:line="400" w:lineRule="exact"/>
        <w:ind w:left="284"/>
        <w:rPr>
          <w:rFonts w:ascii="標楷體" w:eastAsia="標楷體" w:hAnsi="標楷體"/>
          <w:color w:val="000000"/>
        </w:rPr>
      </w:pPr>
      <w:bookmarkStart w:id="28" w:name="_Hlk204092375"/>
      <w:r w:rsidRPr="00105765">
        <w:rPr>
          <w:rFonts w:ascii="標楷體" w:eastAsia="標楷體" w:hAnsi="標楷體"/>
          <w:color w:val="000000"/>
        </w:rPr>
        <w:t>9.74.Cabozantinib (如Cabometyx)： (108/12/1、110/12/1、</w:t>
      </w:r>
      <w:r w:rsidRPr="00105765">
        <w:rPr>
          <w:rFonts w:ascii="標楷體" w:eastAsia="標楷體" w:hAnsi="標楷體" w:hint="eastAsia"/>
          <w:color w:val="000000"/>
        </w:rPr>
        <w:t>114/8/1</w:t>
      </w:r>
      <w:r w:rsidRPr="00105765">
        <w:rPr>
          <w:rFonts w:ascii="標楷體" w:eastAsia="標楷體" w:hAnsi="標楷體"/>
          <w:color w:val="000000"/>
        </w:rPr>
        <w:t>)</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lastRenderedPageBreak/>
        <w:t xml:space="preserve">      1.腎細胞癌(108/12/1、110/12/1)</w:t>
      </w:r>
    </w:p>
    <w:p w:rsidR="00105765" w:rsidRPr="00105765" w:rsidRDefault="00105765" w:rsidP="00105765">
      <w:pPr>
        <w:spacing w:line="400" w:lineRule="exact"/>
        <w:ind w:leftChars="100" w:left="960" w:hangingChars="300" w:hanging="720"/>
        <w:rPr>
          <w:rFonts w:ascii="標楷體" w:eastAsia="標楷體" w:hAnsi="標楷體"/>
        </w:rPr>
      </w:pPr>
      <w:r w:rsidRPr="00105765">
        <w:rPr>
          <w:rFonts w:ascii="標楷體" w:eastAsia="標楷體" w:hAnsi="標楷體" w:hint="eastAsia"/>
        </w:rPr>
        <w:t xml:space="preserve">     (1)適用於未曾接受過治療的中度/重度風險晚期腎細胞癌病人。（110/12/1）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color w:val="000000"/>
        </w:rPr>
        <w:t xml:space="preserve">         </w:t>
      </w:r>
      <w:r w:rsidRPr="00105765">
        <w:rPr>
          <w:rFonts w:ascii="標楷體" w:eastAsia="標楷體" w:hAnsi="標楷體"/>
          <w:color w:val="000000"/>
        </w:rPr>
        <w:t>Ⅰ.</w:t>
      </w:r>
      <w:r w:rsidRPr="00105765">
        <w:rPr>
          <w:rFonts w:ascii="標楷體" w:eastAsia="標楷體" w:hAnsi="標楷體" w:hint="eastAsia"/>
        </w:rPr>
        <w:t>無效後則不給付temsirolimus。</w:t>
      </w:r>
    </w:p>
    <w:p w:rsidR="00105765" w:rsidRPr="00105765" w:rsidRDefault="00105765" w:rsidP="00105765">
      <w:pPr>
        <w:spacing w:line="400" w:lineRule="exact"/>
        <w:ind w:leftChars="450" w:left="1440" w:hangingChars="150" w:hanging="360"/>
        <w:rPr>
          <w:rFonts w:ascii="標楷體" w:eastAsia="標楷體" w:hAnsi="標楷體"/>
        </w:rPr>
      </w:pPr>
      <w:r w:rsidRPr="00105765">
        <w:rPr>
          <w:rFonts w:ascii="標楷體" w:eastAsia="標楷體" w:hAnsi="標楷體"/>
          <w:color w:val="000000"/>
        </w:rPr>
        <w:t>Ⅱ.</w:t>
      </w:r>
      <w:r w:rsidRPr="00105765">
        <w:rPr>
          <w:rFonts w:ascii="標楷體" w:eastAsia="標楷體" w:hAnsi="標楷體" w:hint="eastAsia"/>
        </w:rPr>
        <w:t>病人若對藥物產生耐受性不佳（intolerance），則以原來藥物減量為原則，若嚴重耐受性不佳，可以換其他TKI。</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(2)適用於先前經抗血管新生療法 (anti-angiogenic therapy)治療無效的晚期腎細胞癌病人。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(3)須經事前審查核准後使用，每次申請療程以3個月為限，送審時需檢送影像資料，每3個月評估一次，無疾病惡化方可繼續使用。（110/12/1）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(4)病人於第一線使用本藥物後再復發或惡化時，不得再次申請使用。（110/12/1）</w:t>
      </w:r>
    </w:p>
    <w:p w:rsidR="00105765" w:rsidRPr="00105765" w:rsidRDefault="00105765" w:rsidP="00105765">
      <w:pPr>
        <w:spacing w:line="400" w:lineRule="exact"/>
        <w:rPr>
          <w:rFonts w:ascii="標楷體" w:eastAsia="標楷體" w:hAnsi="標楷體"/>
        </w:rPr>
      </w:pPr>
      <w:r w:rsidRPr="00105765">
        <w:rPr>
          <w:rFonts w:ascii="標楷體" w:eastAsia="標楷體" w:hAnsi="標楷體" w:hint="eastAsia"/>
        </w:rPr>
        <w:t xml:space="preserve">     2.甲狀腺癌(1</w:t>
      </w:r>
      <w:r w:rsidRPr="00105765">
        <w:rPr>
          <w:rFonts w:ascii="標楷體" w:eastAsia="標楷體" w:hAnsi="標楷體"/>
        </w:rPr>
        <w:t>14</w:t>
      </w:r>
      <w:r w:rsidRPr="00105765">
        <w:rPr>
          <w:rFonts w:ascii="標楷體" w:eastAsia="標楷體" w:hAnsi="標楷體" w:hint="eastAsia"/>
        </w:rPr>
        <w:t>/8/1)</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(1)適用於治療成人及12歲以上兒童曾接受VEGFR標靶治療後惡化、放射碘治療無效或不適用放射碘治療的局部晚期或轉移性分化型甲狀腺癌病人。</w:t>
      </w:r>
    </w:p>
    <w:p w:rsidR="00105765" w:rsidRPr="00105765" w:rsidRDefault="00105765" w:rsidP="00105765">
      <w:pPr>
        <w:spacing w:line="400" w:lineRule="exact"/>
        <w:ind w:leftChars="350" w:left="1200" w:hangingChars="150" w:hanging="360"/>
        <w:rPr>
          <w:rFonts w:ascii="標楷體" w:eastAsia="標楷體" w:hAnsi="標楷體"/>
        </w:rPr>
      </w:pPr>
      <w:r w:rsidRPr="00105765">
        <w:rPr>
          <w:rFonts w:ascii="標楷體" w:eastAsia="標楷體" w:hAnsi="標楷體" w:hint="eastAsia"/>
        </w:rPr>
        <w:t>(2)須經事前審查核准後使用，每次申請療程以3個月為限，送審時需檢送影像資料，每3個月評估一次，無疾病惡化方可繼續使用。</w:t>
      </w:r>
    </w:p>
    <w:p w:rsidR="00105765" w:rsidRPr="00105765" w:rsidRDefault="00105765" w:rsidP="00105765">
      <w:pPr>
        <w:spacing w:line="400" w:lineRule="exact"/>
        <w:ind w:firstLineChars="200" w:firstLine="480"/>
        <w:rPr>
          <w:rFonts w:ascii="標楷體" w:eastAsia="標楷體" w:hAnsi="標楷體"/>
        </w:rPr>
      </w:pPr>
      <w:r w:rsidRPr="00105765">
        <w:rPr>
          <w:rFonts w:ascii="標楷體" w:eastAsia="標楷體" w:hAnsi="標楷體" w:hint="eastAsia"/>
        </w:rPr>
        <w:t xml:space="preserve"> 3.每日限用1粒。</w:t>
      </w:r>
      <w:bookmarkEnd w:id="28"/>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9.75. Carfilzomib (如Kyprolis)：(109/2/1、112/4/1、113/4/1)</w:t>
      </w:r>
    </w:p>
    <w:p w:rsidR="00B96EA0" w:rsidRDefault="007D66B8" w:rsidP="005142EB">
      <w:pPr>
        <w:spacing w:line="400" w:lineRule="exact"/>
        <w:ind w:left="991" w:hanging="283"/>
      </w:pPr>
      <w:r>
        <w:rPr>
          <w:rFonts w:ascii="標楷體" w:eastAsia="標楷體" w:hAnsi="標楷體"/>
          <w:color w:val="000000"/>
        </w:rPr>
        <w:t xml:space="preserve">1.與dexamethasone合併使用於先前曾接受含bortezomib及lenalidomide兩種治療後無法耐受或惡化之病患，且須具有良好日常體能狀態(ECOG &lt; 2)及足夠腎功能(CrCl </w:t>
      </w:r>
      <w:r>
        <w:rPr>
          <w:rFonts w:ascii="Times New Roman" w:eastAsia="標楷體" w:hAnsi="Times New Roman"/>
          <w:sz w:val="28"/>
          <w:szCs w:val="28"/>
        </w:rPr>
        <w:t>≥</w:t>
      </w:r>
      <w:r>
        <w:rPr>
          <w:rFonts w:ascii="標楷體" w:eastAsia="標楷體" w:hAnsi="標楷體"/>
          <w:color w:val="000000"/>
        </w:rPr>
        <w:t>50 ml/minute)的多發性骨髓瘤成年患者。</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2.與isatuximab/dexamethasone併用，治療先前曾接受至少一種含bortezomib 或 lenalidomide 之療法治療失敗的多發性骨髓瘤成人患者，且須具有良好日常體能狀態 (ECOG &lt; 2) 者。（113/4/1）</w:t>
      </w:r>
    </w:p>
    <w:p w:rsidR="00B96EA0" w:rsidRDefault="007D66B8" w:rsidP="005142EB">
      <w:pPr>
        <w:spacing w:line="400" w:lineRule="exact"/>
        <w:ind w:left="708"/>
      </w:pPr>
      <w:r>
        <w:rPr>
          <w:rFonts w:ascii="標楷體" w:eastAsia="標楷體" w:hAnsi="標楷體"/>
          <w:color w:val="000000"/>
        </w:rPr>
        <w:t>3.</w:t>
      </w:r>
      <w:r>
        <w:t xml:space="preserve"> </w:t>
      </w:r>
      <w:r>
        <w:rPr>
          <w:rFonts w:ascii="標楷體" w:eastAsia="標楷體" w:hAnsi="標楷體"/>
          <w:color w:val="000000"/>
        </w:rPr>
        <w:t>需經事前審查核准後使用：（109/2/1、112/4/1）</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(1)初次申請以4個療程(每療程為4週)為限，且需同時符合下列Ⅰ.與Ⅱ.的條件：（109/2/1、112/4/1）</w:t>
      </w:r>
    </w:p>
    <w:p w:rsidR="00B96EA0" w:rsidRDefault="007D66B8" w:rsidP="005142EB">
      <w:pPr>
        <w:spacing w:line="400" w:lineRule="exact"/>
        <w:ind w:left="1548" w:hanging="360"/>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.Urine M-protein需增加≧0.2 gm/24Hr，且需較前一線治療中的最低值增加≧25%。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lastRenderedPageBreak/>
        <w:t>iv.新產生的bone lesion(s)或plasmacytoma；且須經病理切片證實。</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188"/>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788" w:hanging="360"/>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788" w:hanging="360"/>
      </w:pPr>
      <w:r>
        <w:rPr>
          <w:rFonts w:ascii="新細明體" w:hAnsi="新細明體" w:cs="新細明體"/>
          <w:color w:val="000000"/>
        </w:rPr>
        <w:t>ⅱ</w:t>
      </w:r>
      <w:r>
        <w:rPr>
          <w:rFonts w:ascii="標楷體" w:eastAsia="標楷體" w:hAnsi="標楷體"/>
          <w:color w:val="000000"/>
        </w:rPr>
        <w:t>.Plasmacytoma 體積增加≧50%。</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788"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428" w:hanging="480"/>
        <w:rPr>
          <w:rFonts w:ascii="標楷體" w:eastAsia="標楷體" w:hAnsi="標楷體"/>
          <w:color w:val="000000"/>
        </w:rPr>
      </w:pPr>
      <w:r>
        <w:rPr>
          <w:rFonts w:ascii="標楷體" w:eastAsia="標楷體" w:hAnsi="標楷體"/>
          <w:color w:val="000000"/>
        </w:rPr>
        <w:t>(2)再次申請時必須確定paraprotein (M-protein)未上升(即表示對藥物有反應或為穩定狀態);或對部分non-secretory type MM病人以骨髓檢查plasma cell為療效依據，證明為對藥物有反應或為穩定狀態，方可繼續使用。續用時的申請每次以3個療程為限。</w:t>
      </w:r>
    </w:p>
    <w:p w:rsidR="00B96EA0" w:rsidRDefault="007D66B8" w:rsidP="005142EB">
      <w:pPr>
        <w:spacing w:line="400" w:lineRule="exact"/>
        <w:ind w:left="948"/>
        <w:rPr>
          <w:rFonts w:ascii="標楷體" w:eastAsia="標楷體" w:hAnsi="標楷體"/>
          <w:color w:val="000000"/>
        </w:rPr>
      </w:pPr>
      <w:r>
        <w:rPr>
          <w:rFonts w:ascii="標楷體" w:eastAsia="標楷體" w:hAnsi="標楷體"/>
          <w:color w:val="000000"/>
        </w:rPr>
        <w:t xml:space="preserve">(3)每人終生以10個療程為上限。 （109/2/1、112/4/1） </w:t>
      </w:r>
    </w:p>
    <w:p w:rsidR="00B96EA0" w:rsidRDefault="007D66B8" w:rsidP="005142EB">
      <w:pPr>
        <w:spacing w:line="400" w:lineRule="exact"/>
        <w:ind w:left="991" w:hanging="283"/>
      </w:pPr>
      <w:r>
        <w:rPr>
          <w:rFonts w:ascii="標楷體" w:eastAsia="標楷體" w:hAnsi="標楷體"/>
          <w:color w:val="000000"/>
        </w:rPr>
        <w:t>4.</w:t>
      </w:r>
      <w:r>
        <w:t xml:space="preserve"> </w:t>
      </w:r>
      <w:r>
        <w:rPr>
          <w:rFonts w:ascii="標楷體" w:eastAsia="標楷體" w:hAnsi="標楷體"/>
          <w:color w:val="000000"/>
        </w:rPr>
        <w:t>不得與其他蛋白酶體抑制劑(proteasome inhibitor)或免疫調節劑(immunomodulatory drugs) 或daratumumab併用。（109/2/1、112/4/1、113/4/1）</w:t>
      </w:r>
    </w:p>
    <w:p w:rsidR="00B96EA0" w:rsidRDefault="007D66B8" w:rsidP="005142EB">
      <w:pPr>
        <w:spacing w:line="400" w:lineRule="exact"/>
        <w:ind w:left="991" w:hanging="283"/>
      </w:pPr>
      <w:r>
        <w:rPr>
          <w:rFonts w:ascii="標楷體" w:eastAsia="標楷體" w:hAnsi="標楷體"/>
          <w:color w:val="000000"/>
        </w:rPr>
        <w:t>5.</w:t>
      </w:r>
      <w:r>
        <w:t xml:space="preserve"> </w:t>
      </w:r>
      <w:r>
        <w:rPr>
          <w:rFonts w:ascii="標楷體" w:eastAsia="標楷體" w:hAnsi="標楷體"/>
          <w:color w:val="000000"/>
        </w:rPr>
        <w:t>112年3月31日以前已核定用藥之病人，得經事前審查核准後，使用至總療程上限（即終生10個療程）或使用期間發生疾病惡化為止。（112/4/1）</w:t>
      </w:r>
    </w:p>
    <w:p w:rsidR="00F95F32" w:rsidRDefault="00F95F32" w:rsidP="00F95F32">
      <w:pPr>
        <w:spacing w:line="400" w:lineRule="exact"/>
        <w:rPr>
          <w:rFonts w:ascii="標楷體" w:eastAsia="標楷體" w:hAnsi="標楷體"/>
          <w:color w:val="000000"/>
        </w:rPr>
      </w:pPr>
      <w:bookmarkStart w:id="29" w:name="_Hlk209192170"/>
      <w:r>
        <w:rPr>
          <w:rFonts w:ascii="標楷體" w:eastAsia="標楷體" w:hAnsi="標楷體"/>
          <w:color w:val="000000"/>
        </w:rPr>
        <w:t>9.76.Midostaurin (如Rydapt)：(109/2/1、113/6/1、114/10/1)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 xml:space="preserve">限用於新確診為FLT3突變陽性的急性骨髓性白血病(AML)成人病患之標準前導與鞏固性化療時合併使用。 </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需排除急性前骨髓性細胞白血病（acute promyelocytic leukemia，APL）的患者。</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3.</w:t>
      </w:r>
      <w:r>
        <w:rPr>
          <w:rFonts w:ascii="標楷體" w:eastAsia="標楷體" w:hAnsi="標楷體"/>
          <w:color w:val="000000"/>
        </w:rPr>
        <w:tab/>
        <w:t>首次用於標準前導期，可免事前審查，以2個療程為限，若2個療程後仍未達完全緩解之病患即不得再使用。</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4.</w:t>
      </w:r>
      <w:r>
        <w:rPr>
          <w:rFonts w:ascii="標楷體" w:eastAsia="標楷體" w:hAnsi="標楷體"/>
          <w:color w:val="000000"/>
        </w:rPr>
        <w:tab/>
        <w:t>續用時需經事前審查核准後使用，申請時須檢附FLT3突變陽性檢測結果報告，且需符合全民健康保險藥品給付規定之通則十二，及日期、化學治療處方紀錄及療效評估，每次續用申請以2個療程為限，並需檢附前次治療結果評估資料證實無疾病進展，才可繼續使用。每人以總共給付6個療程為上限。(113/6/1)</w:t>
      </w:r>
    </w:p>
    <w:p w:rsidR="00F95F32"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5.</w:t>
      </w:r>
      <w:r>
        <w:rPr>
          <w:rFonts w:ascii="標楷體" w:eastAsia="標楷體" w:hAnsi="標楷體"/>
          <w:color w:val="000000"/>
        </w:rPr>
        <w:tab/>
        <w:t>若病患接受造血幹細胞移植後則將不再給付本藥品。</w:t>
      </w:r>
    </w:p>
    <w:p w:rsidR="00B96EA0" w:rsidRDefault="00F95F32" w:rsidP="00F95F32">
      <w:pPr>
        <w:spacing w:line="400" w:lineRule="exact"/>
        <w:ind w:left="567" w:hanging="282"/>
        <w:rPr>
          <w:rFonts w:ascii="標楷體" w:eastAsia="標楷體" w:hAnsi="標楷體"/>
          <w:color w:val="000000"/>
        </w:rPr>
      </w:pPr>
      <w:r>
        <w:rPr>
          <w:rFonts w:ascii="標楷體" w:eastAsia="標楷體" w:hAnsi="標楷體"/>
          <w:color w:val="000000"/>
        </w:rPr>
        <w:t>6.本藥品與quizartinib僅得擇一使用，除因耐受性不良，不得互換。(114/10/1)</w:t>
      </w:r>
      <w:bookmarkEnd w:id="29"/>
    </w:p>
    <w:p w:rsidR="00B96EA0" w:rsidRDefault="007D66B8" w:rsidP="00F95F32">
      <w:pPr>
        <w:spacing w:line="400" w:lineRule="exact"/>
      </w:pPr>
      <w:r>
        <w:rPr>
          <w:rFonts w:ascii="標楷體" w:eastAsia="標楷體" w:hAnsi="標楷體"/>
          <w:color w:val="000000"/>
        </w:rPr>
        <w:t>9.77.</w:t>
      </w:r>
      <w:r>
        <w:t xml:space="preserve"> </w:t>
      </w:r>
      <w:r>
        <w:rPr>
          <w:rFonts w:ascii="標楷體" w:eastAsia="標楷體" w:hAnsi="標楷體"/>
          <w:color w:val="000000"/>
        </w:rPr>
        <w:t>Ixazomib (如Ninlaro)：(109/3/1、112/4/1)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1.與lenalidomide及dexamethasone合併使用於先前已接受至少一種治療失敗之多發性骨髓瘤病患，並符合下列條件之一：</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(1)體能不適合(unfit)化療標靶注射治療者。</w:t>
      </w:r>
    </w:p>
    <w:p w:rsidR="00B96EA0" w:rsidRDefault="007D66B8" w:rsidP="005142EB">
      <w:pPr>
        <w:spacing w:line="400" w:lineRule="exact"/>
        <w:ind w:left="1231" w:hanging="283"/>
      </w:pPr>
      <w:r>
        <w:rPr>
          <w:rFonts w:ascii="標楷體" w:eastAsia="標楷體" w:hAnsi="標楷體"/>
          <w:color w:val="000000"/>
        </w:rPr>
        <w:lastRenderedPageBreak/>
        <w:t>(2)</w:t>
      </w:r>
      <w:r>
        <w:t xml:space="preserve"> </w:t>
      </w:r>
      <w:r>
        <w:rPr>
          <w:rFonts w:ascii="標楷體" w:eastAsia="標楷體" w:hAnsi="標楷體"/>
          <w:color w:val="000000"/>
        </w:rPr>
        <w:t>曾接受bortezomib治療失敗，但有嚴重心血管共病無法接受carfizomib 治療之病患。（109/3/1、112/4/1）</w:t>
      </w:r>
    </w:p>
    <w:p w:rsidR="00B96EA0"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2.前述病患若於第二線治療使用，則需為具高風險細胞遺傳異常的病人群 (包括具del（17p）、t（4；14）、t(14；16)及1q21 amplification等染色體變化者)；若為第三線以上治療使用，則不需為具高風險遺傳異常者。</w:t>
      </w:r>
    </w:p>
    <w:p w:rsidR="00B96EA0" w:rsidRDefault="007D66B8" w:rsidP="00F95F32">
      <w:pPr>
        <w:spacing w:line="400" w:lineRule="exact"/>
        <w:ind w:left="567" w:hanging="282"/>
      </w:pPr>
      <w:r>
        <w:rPr>
          <w:rFonts w:ascii="標楷體" w:eastAsia="標楷體" w:hAnsi="標楷體"/>
          <w:color w:val="000000"/>
        </w:rPr>
        <w:t>3.</w:t>
      </w:r>
      <w:r w:rsidRPr="00F95F32">
        <w:rPr>
          <w:rFonts w:ascii="標楷體" w:eastAsia="標楷體" w:hAnsi="標楷體"/>
          <w:color w:val="000000"/>
        </w:rPr>
        <w:t xml:space="preserve"> </w:t>
      </w:r>
      <w:r>
        <w:rPr>
          <w:rFonts w:ascii="標楷體" w:eastAsia="標楷體" w:hAnsi="標楷體"/>
          <w:color w:val="000000"/>
        </w:rPr>
        <w:t>需經事前審查核准後使用：（109/3/1、112/4/1）</w:t>
      </w:r>
    </w:p>
    <w:p w:rsidR="00B96EA0" w:rsidRDefault="007D66B8" w:rsidP="005142EB">
      <w:pPr>
        <w:spacing w:line="400" w:lineRule="exact"/>
        <w:ind w:left="1231" w:hanging="283"/>
      </w:pPr>
      <w:r>
        <w:rPr>
          <w:rFonts w:ascii="標楷體" w:eastAsia="標楷體" w:hAnsi="標楷體"/>
          <w:color w:val="000000"/>
        </w:rPr>
        <w:t>(1)</w:t>
      </w:r>
      <w:r>
        <w:t xml:space="preserve"> </w:t>
      </w:r>
      <w:r>
        <w:rPr>
          <w:rFonts w:ascii="標楷體" w:eastAsia="標楷體" w:hAnsi="標楷體"/>
          <w:color w:val="000000"/>
        </w:rPr>
        <w:t>初次申請以4個療程為限，且需同時符合下列Ⅰ.與Ⅱ.的條件：（109/3/1、112/4/1）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Ⅰ.具有下列任一疾病惡化的指標： 病患開始治療前須在連續2次評估中均符合同一指標 (但若為plamacytoma 體積增加，或是新產生的bone lesion(s)或新plasmacytoma，則僅需1次評估)：（112/4/1）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.若前一線治療中M component 最低值≧5 g/dL，血清M蛋白需增加≧1 g/dL；若前一線治療中M component最低值＜5 g/dL，血清M蛋白需增加≧0.5g/dL。</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xml:space="preserve">.Urine M-protein需增加≧0.2 gm/24Hr，且需較前一線治療中的最低值增加≧25%。 </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iii.在non-secretary myeloma 病患，骨髓漿細胞 (plasma cells)之比例絕對值增加≧10%，且需較前一線治療中的最低值增加≧25%。</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 Plasmacytoma體積增加≧50%。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Ⅱ.出現下列任一臨床症狀：（112/4/1）</w:t>
      </w:r>
    </w:p>
    <w:p w:rsidR="00B96EA0" w:rsidRDefault="007D66B8" w:rsidP="005142EB">
      <w:pPr>
        <w:spacing w:line="400" w:lineRule="exact"/>
        <w:ind w:left="1231" w:hanging="283"/>
      </w:pPr>
      <w:r>
        <w:rPr>
          <w:rFonts w:ascii="新細明體" w:hAnsi="新細明體" w:cs="新細明體"/>
          <w:color w:val="000000"/>
        </w:rPr>
        <w:t>ⅰ</w:t>
      </w:r>
      <w:r>
        <w:rPr>
          <w:rFonts w:ascii="標楷體" w:eastAsia="標楷體" w:hAnsi="標楷體"/>
          <w:color w:val="000000"/>
        </w:rPr>
        <w:t>.新產生的bone lesion(s)或plasmacytoma；且須經病理切片證實。</w:t>
      </w:r>
    </w:p>
    <w:p w:rsidR="00B96EA0" w:rsidRDefault="007D66B8" w:rsidP="005142EB">
      <w:pPr>
        <w:spacing w:line="400" w:lineRule="exact"/>
        <w:ind w:left="1231" w:hanging="283"/>
      </w:pPr>
      <w:r>
        <w:rPr>
          <w:rFonts w:ascii="新細明體" w:hAnsi="新細明體" w:cs="新細明體"/>
          <w:color w:val="000000"/>
        </w:rPr>
        <w:t>ⅱ</w:t>
      </w:r>
      <w:r>
        <w:rPr>
          <w:rFonts w:ascii="標楷體" w:eastAsia="標楷體" w:hAnsi="標楷體"/>
          <w:color w:val="000000"/>
        </w:rPr>
        <w:t>. Plasmacytoma 體積增加≧50%。</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iii.高血鈣(corrected serum calcium＞11.0 mg/dL 或 2.75 mmol/L)。</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iv.貧血(Hemoglobin 下降幅度≧ 2gm/dL且無其他原因可以解釋)。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vi.出現其他end-organ dysfunctions。</w:t>
      </w:r>
    </w:p>
    <w:p w:rsidR="00B96EA0" w:rsidRDefault="007D66B8" w:rsidP="005142EB">
      <w:pPr>
        <w:spacing w:line="400" w:lineRule="exact"/>
        <w:ind w:left="1231" w:hanging="283"/>
      </w:pPr>
      <w:r>
        <w:rPr>
          <w:rFonts w:ascii="標楷體" w:eastAsia="標楷體" w:hAnsi="標楷體"/>
          <w:color w:val="000000"/>
        </w:rPr>
        <w:t>(2)</w:t>
      </w:r>
      <w:r>
        <w:t xml:space="preserve"> </w:t>
      </w:r>
      <w:r>
        <w:rPr>
          <w:rFonts w:ascii="標楷體" w:eastAsia="標楷體" w:hAnsi="標楷體"/>
          <w:color w:val="000000"/>
        </w:rPr>
        <w:t>後續每次申請以4個療程(每療程為4週)為限，續用申請時必須確定paraprotein (M-protein)未上升(即表示對藥物有反應或為穩定狀態)或對部分non-secretory type MM病人以骨髓檢查plasma cell為療效依據，方可繼續使用。（109/3/1、112/4/1）</w:t>
      </w:r>
    </w:p>
    <w:p w:rsidR="00B96EA0" w:rsidRDefault="007D66B8" w:rsidP="005142EB">
      <w:pPr>
        <w:spacing w:line="400" w:lineRule="exact"/>
        <w:ind w:left="1231" w:hanging="283"/>
      </w:pPr>
      <w:r>
        <w:rPr>
          <w:rFonts w:ascii="標楷體" w:eastAsia="標楷體" w:hAnsi="標楷體"/>
          <w:color w:val="000000"/>
        </w:rPr>
        <w:t>(3)</w:t>
      </w:r>
      <w:r>
        <w:t xml:space="preserve"> </w:t>
      </w:r>
      <w:r>
        <w:rPr>
          <w:rFonts w:ascii="標楷體" w:eastAsia="標楷體" w:hAnsi="標楷體"/>
          <w:color w:val="000000"/>
        </w:rPr>
        <w:t xml:space="preserve">每人終生以12個療程為上限。（109/3/1、112/4/1） </w:t>
      </w:r>
    </w:p>
    <w:p w:rsidR="00B96EA0" w:rsidRPr="00F95F32" w:rsidRDefault="007D66B8" w:rsidP="00F95F32">
      <w:pPr>
        <w:spacing w:line="400" w:lineRule="exact"/>
        <w:ind w:left="567" w:hanging="282"/>
        <w:rPr>
          <w:rFonts w:ascii="標楷體" w:eastAsia="標楷體" w:hAnsi="標楷體"/>
          <w:color w:val="000000"/>
        </w:rPr>
      </w:pPr>
      <w:r>
        <w:rPr>
          <w:rFonts w:ascii="標楷體" w:eastAsia="標楷體" w:hAnsi="標楷體"/>
          <w:color w:val="000000"/>
        </w:rPr>
        <w:t>4.</w:t>
      </w:r>
      <w:r>
        <w:t xml:space="preserve"> </w:t>
      </w:r>
      <w:r>
        <w:rPr>
          <w:rFonts w:ascii="標楷體" w:eastAsia="標楷體" w:hAnsi="標楷體"/>
          <w:color w:val="000000"/>
        </w:rPr>
        <w:t>除lenalidomide外，本案藥品不得與其他蛋白酶體抑制劑(proteasome inhibitor)或免疫調節劑(immunomodulatory drugs)併用。（109/3/1、112/4/1）</w:t>
      </w:r>
    </w:p>
    <w:p w:rsidR="00B96EA0" w:rsidRDefault="007D66B8" w:rsidP="00F95F32">
      <w:pPr>
        <w:spacing w:line="400" w:lineRule="exact"/>
        <w:ind w:left="567" w:hanging="282"/>
      </w:pPr>
      <w:r>
        <w:rPr>
          <w:rFonts w:ascii="標楷體" w:eastAsia="標楷體" w:hAnsi="標楷體"/>
          <w:color w:val="000000"/>
        </w:rPr>
        <w:t>5.</w:t>
      </w:r>
      <w:r w:rsidRPr="00F95F32">
        <w:rPr>
          <w:rFonts w:ascii="標楷體" w:eastAsia="標楷體" w:hAnsi="標楷體"/>
          <w:color w:val="000000"/>
        </w:rPr>
        <w:t xml:space="preserve"> </w:t>
      </w:r>
      <w:r>
        <w:rPr>
          <w:rFonts w:ascii="標楷體" w:eastAsia="標楷體" w:hAnsi="標楷體"/>
          <w:color w:val="000000"/>
        </w:rPr>
        <w:t>112年3月31日以前已核定用藥之病人，得經事前審查核准後，使用至總療程上限（即終生12個療程）或使用期間發生疾病惡化為止。（112/4/1）</w:t>
      </w:r>
    </w:p>
    <w:p w:rsidR="00D3675A" w:rsidRPr="00276A1A" w:rsidRDefault="007D66B8" w:rsidP="00D3675A">
      <w:pPr>
        <w:adjustRightInd w:val="0"/>
        <w:snapToGrid w:val="0"/>
        <w:spacing w:line="400" w:lineRule="exact"/>
        <w:ind w:left="480" w:hangingChars="200" w:hanging="480"/>
        <w:rPr>
          <w:rFonts w:ascii="標楷體" w:eastAsia="標楷體" w:hAnsi="標楷體"/>
          <w:szCs w:val="24"/>
        </w:rPr>
      </w:pPr>
      <w:r>
        <w:rPr>
          <w:rFonts w:ascii="標楷體" w:eastAsia="標楷體" w:hAnsi="標楷體"/>
          <w:color w:val="000000"/>
        </w:rPr>
        <w:lastRenderedPageBreak/>
        <w:t>9.78.</w:t>
      </w:r>
      <w:r>
        <w:t xml:space="preserve"> </w:t>
      </w:r>
      <w:bookmarkStart w:id="30" w:name="_Hlk206605233"/>
      <w:r w:rsidR="00D3675A" w:rsidRPr="00276A1A">
        <w:rPr>
          <w:rFonts w:ascii="標楷體" w:eastAsia="標楷體" w:hAnsi="標楷體"/>
          <w:szCs w:val="24"/>
        </w:rPr>
        <w:t>Daratumumab(</w:t>
      </w:r>
      <w:r w:rsidR="00D3675A" w:rsidRPr="00276A1A">
        <w:rPr>
          <w:rFonts w:ascii="標楷體" w:eastAsia="標楷體" w:hAnsi="標楷體" w:hint="eastAsia"/>
          <w:szCs w:val="24"/>
        </w:rPr>
        <w:t>如Darzalex</w:t>
      </w:r>
      <w:r w:rsidR="00D3675A" w:rsidRPr="00276A1A">
        <w:rPr>
          <w:rFonts w:ascii="標楷體" w:eastAsia="標楷體" w:hAnsi="標楷體"/>
          <w:kern w:val="0"/>
          <w:szCs w:val="24"/>
        </w:rPr>
        <w:t>靜脈注射劑</w:t>
      </w:r>
      <w:r w:rsidR="00D3675A" w:rsidRPr="00276A1A">
        <w:rPr>
          <w:rFonts w:ascii="標楷體" w:eastAsia="標楷體" w:hAnsi="標楷體" w:hint="eastAsia"/>
          <w:kern w:val="0"/>
          <w:szCs w:val="24"/>
        </w:rPr>
        <w:t>與皮下</w:t>
      </w:r>
      <w:r w:rsidR="00D3675A" w:rsidRPr="00276A1A">
        <w:rPr>
          <w:rFonts w:ascii="標楷體" w:eastAsia="標楷體" w:hAnsi="標楷體"/>
          <w:kern w:val="0"/>
          <w:szCs w:val="24"/>
        </w:rPr>
        <w:t>注射劑</w:t>
      </w:r>
      <w:r w:rsidR="00D3675A" w:rsidRPr="00276A1A">
        <w:rPr>
          <w:rFonts w:ascii="標楷體" w:eastAsia="標楷體" w:hAnsi="標楷體" w:hint="eastAsia"/>
          <w:szCs w:val="24"/>
        </w:rPr>
        <w:t>)</w:t>
      </w:r>
      <w:r w:rsidR="00D3675A" w:rsidRPr="00276A1A">
        <w:rPr>
          <w:rFonts w:ascii="標楷體" w:eastAsia="標楷體" w:hAnsi="標楷體"/>
          <w:szCs w:val="24"/>
        </w:rPr>
        <w:t>：(109/4/1、112/4/1、113/4/1、</w:t>
      </w:r>
      <w:r w:rsidR="00D3675A" w:rsidRPr="00276A1A">
        <w:rPr>
          <w:rFonts w:ascii="標楷體" w:eastAsia="標楷體" w:hAnsi="標楷體" w:hint="eastAsia"/>
          <w:szCs w:val="24"/>
        </w:rPr>
        <w:t>114</w:t>
      </w:r>
      <w:r w:rsidR="00D3675A" w:rsidRPr="00276A1A">
        <w:rPr>
          <w:rFonts w:ascii="標楷體" w:eastAsia="標楷體" w:hAnsi="標楷體"/>
          <w:szCs w:val="24"/>
        </w:rPr>
        <w:t>/</w:t>
      </w:r>
      <w:r w:rsidR="00D3675A" w:rsidRPr="00276A1A">
        <w:rPr>
          <w:rFonts w:ascii="標楷體" w:eastAsia="標楷體" w:hAnsi="標楷體" w:hint="eastAsia"/>
          <w:szCs w:val="24"/>
        </w:rPr>
        <w:t>9</w:t>
      </w:r>
      <w:r w:rsidR="00D3675A" w:rsidRPr="00276A1A">
        <w:rPr>
          <w:rFonts w:ascii="標楷體" w:eastAsia="標楷體" w:hAnsi="標楷體"/>
          <w:szCs w:val="24"/>
        </w:rPr>
        <w:t>/1)</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1.治療適合接受自體幹細胞移植的新診斷多發性骨髓瘤成人病人：(</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numPr>
          <w:ilvl w:val="0"/>
          <w:numId w:val="40"/>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限與bortezomib、thalidomide及dexamethasone併用。</w:t>
      </w:r>
    </w:p>
    <w:p w:rsidR="00D3675A" w:rsidRPr="00276A1A" w:rsidRDefault="00D3675A" w:rsidP="00D3675A">
      <w:pPr>
        <w:numPr>
          <w:ilvl w:val="0"/>
          <w:numId w:val="40"/>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開始治療時病</w:t>
      </w:r>
      <w:r w:rsidRPr="00276A1A">
        <w:rPr>
          <w:rFonts w:ascii="標楷體" w:eastAsia="標楷體" w:hAnsi="標楷體" w:hint="eastAsia"/>
          <w:szCs w:val="24"/>
        </w:rPr>
        <w:t>人</w:t>
      </w:r>
      <w:r w:rsidRPr="00276A1A">
        <w:rPr>
          <w:rFonts w:ascii="標楷體" w:eastAsia="標楷體" w:hAnsi="標楷體"/>
          <w:szCs w:val="24"/>
        </w:rPr>
        <w:t>須同時符合下列Ⅰ.與Ⅱ.的條件：</w:t>
      </w:r>
    </w:p>
    <w:p w:rsidR="00D3675A" w:rsidRPr="00276A1A" w:rsidRDefault="00D3675A" w:rsidP="00D3675A">
      <w:pPr>
        <w:numPr>
          <w:ilvl w:val="0"/>
          <w:numId w:val="41"/>
        </w:numPr>
        <w:suppressAutoHyphens w:val="0"/>
        <w:autoSpaceDN/>
        <w:adjustRightInd w:val="0"/>
        <w:snapToGrid w:val="0"/>
        <w:spacing w:line="400" w:lineRule="exact"/>
        <w:ind w:left="909" w:hanging="283"/>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10%，或是經切片確認且有</w:t>
      </w:r>
      <w:r w:rsidRPr="00276A1A">
        <w:rPr>
          <w:rFonts w:ascii="標楷體" w:eastAsia="標楷體" w:hAnsi="標楷體" w:cs="新細明體" w:hint="eastAsia"/>
          <w:szCs w:val="24"/>
        </w:rPr>
        <w:t>≧</w:t>
      </w:r>
      <w:r w:rsidRPr="00276A1A">
        <w:rPr>
          <w:rFonts w:ascii="標楷體" w:eastAsia="標楷體" w:hAnsi="標楷體"/>
          <w:szCs w:val="24"/>
        </w:rPr>
        <w:t>1顆的plasmacytoma。</w:t>
      </w:r>
    </w:p>
    <w:p w:rsidR="00D3675A" w:rsidRPr="00276A1A" w:rsidRDefault="00D3675A" w:rsidP="00D3675A">
      <w:pPr>
        <w:numPr>
          <w:ilvl w:val="0"/>
          <w:numId w:val="41"/>
        </w:numPr>
        <w:suppressAutoHyphens w:val="0"/>
        <w:autoSpaceDN/>
        <w:adjustRightInd w:val="0"/>
        <w:snapToGrid w:val="0"/>
        <w:spacing w:line="400" w:lineRule="exact"/>
        <w:ind w:left="1051" w:hanging="425"/>
        <w:textAlignment w:val="auto"/>
        <w:rPr>
          <w:rFonts w:ascii="標楷體" w:eastAsia="標楷體" w:hAnsi="標楷體"/>
          <w:szCs w:val="24"/>
        </w:rPr>
      </w:pPr>
      <w:r w:rsidRPr="00276A1A">
        <w:rPr>
          <w:rFonts w:ascii="標楷體" w:eastAsia="標楷體" w:hAnsi="標楷體"/>
          <w:szCs w:val="24"/>
        </w:rPr>
        <w:t>出現下列任一臨床症狀：</w:t>
      </w:r>
    </w:p>
    <w:p w:rsidR="00D3675A" w:rsidRPr="00276A1A" w:rsidRDefault="00D3675A" w:rsidP="00D3675A">
      <w:pPr>
        <w:numPr>
          <w:ilvl w:val="0"/>
          <w:numId w:val="42"/>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腎功能不全：serum creatinine＞2.0mg/dL或estimated GFR (eGFR)＜40 ml/min，且無其他原因可以解釋。</w:t>
      </w:r>
    </w:p>
    <w:p w:rsidR="00D3675A" w:rsidRPr="00276A1A" w:rsidRDefault="00D3675A" w:rsidP="00D3675A">
      <w:pPr>
        <w:numPr>
          <w:ilvl w:val="0"/>
          <w:numId w:val="42"/>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D3675A">
      <w:pPr>
        <w:numPr>
          <w:ilvl w:val="0"/>
          <w:numId w:val="42"/>
        </w:numPr>
        <w:suppressAutoHyphens w:val="0"/>
        <w:autoSpaceDN/>
        <w:adjustRightInd w:val="0"/>
        <w:snapToGrid w:val="0"/>
        <w:spacing w:line="400" w:lineRule="exact"/>
        <w:ind w:left="1476" w:hanging="567"/>
        <w:textAlignment w:val="auto"/>
        <w:rPr>
          <w:rFonts w:ascii="標楷體" w:eastAsia="標楷體" w:hAnsi="標楷體"/>
          <w:szCs w:val="24"/>
        </w:rPr>
      </w:pPr>
      <w:r w:rsidRPr="00276A1A">
        <w:rPr>
          <w:rFonts w:ascii="標楷體" w:eastAsia="標楷體" w:hAnsi="標楷體"/>
          <w:szCs w:val="24"/>
        </w:rPr>
        <w:t>貧血(Hemoglobin＜10 gm/dL且無其他原因可以解釋)。</w:t>
      </w:r>
    </w:p>
    <w:p w:rsidR="00D3675A" w:rsidRPr="00276A1A" w:rsidRDefault="00D3675A" w:rsidP="00D3675A">
      <w:pPr>
        <w:numPr>
          <w:ilvl w:val="0"/>
          <w:numId w:val="42"/>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影像檢查確認之osteolytic bone lesion(s)。</w:t>
      </w:r>
    </w:p>
    <w:p w:rsidR="00D3675A" w:rsidRPr="00276A1A" w:rsidRDefault="00D3675A" w:rsidP="00D3675A">
      <w:pPr>
        <w:numPr>
          <w:ilvl w:val="0"/>
          <w:numId w:val="42"/>
        </w:numPr>
        <w:suppressAutoHyphens w:val="0"/>
        <w:autoSpaceDN/>
        <w:adjustRightInd w:val="0"/>
        <w:snapToGrid w:val="0"/>
        <w:spacing w:line="400" w:lineRule="exact"/>
        <w:ind w:left="1193" w:hanging="284"/>
        <w:textAlignment w:val="auto"/>
        <w:rPr>
          <w:rFonts w:ascii="標楷體" w:eastAsia="標楷體" w:hAnsi="標楷體"/>
          <w:szCs w:val="24"/>
        </w:rPr>
      </w:pPr>
      <w:r w:rsidRPr="00276A1A">
        <w:rPr>
          <w:rFonts w:ascii="標楷體" w:eastAsia="標楷體" w:hAnsi="標楷體"/>
          <w:szCs w:val="24"/>
        </w:rPr>
        <w:t>骨髓漿細胞(plasma cells)比例</w:t>
      </w:r>
      <w:r w:rsidRPr="00276A1A">
        <w:rPr>
          <w:rFonts w:ascii="標楷體" w:eastAsia="標楷體" w:hAnsi="標楷體" w:cs="新細明體" w:hint="eastAsia"/>
          <w:szCs w:val="24"/>
        </w:rPr>
        <w:t>≧</w:t>
      </w:r>
      <w:r w:rsidRPr="00276A1A">
        <w:rPr>
          <w:rFonts w:ascii="標楷體" w:eastAsia="標楷體" w:hAnsi="標楷體"/>
          <w:szCs w:val="24"/>
        </w:rPr>
        <w:t>60%。</w:t>
      </w:r>
    </w:p>
    <w:p w:rsidR="00D3675A" w:rsidRPr="00276A1A" w:rsidRDefault="00D3675A" w:rsidP="00D3675A">
      <w:pPr>
        <w:numPr>
          <w:ilvl w:val="0"/>
          <w:numId w:val="42"/>
        </w:numPr>
        <w:suppressAutoHyphens w:val="0"/>
        <w:autoSpaceDN/>
        <w:adjustRightInd w:val="0"/>
        <w:snapToGrid w:val="0"/>
        <w:spacing w:line="400" w:lineRule="exact"/>
        <w:ind w:left="1335" w:hanging="426"/>
        <w:textAlignment w:val="auto"/>
        <w:rPr>
          <w:rFonts w:ascii="標楷體" w:eastAsia="標楷體" w:hAnsi="標楷體"/>
          <w:szCs w:val="24"/>
        </w:rPr>
      </w:pPr>
      <w:r w:rsidRPr="00276A1A">
        <w:rPr>
          <w:rFonts w:ascii="標楷體" w:eastAsia="標楷體" w:hAnsi="標楷體"/>
          <w:szCs w:val="24"/>
        </w:rPr>
        <w:t>Serum free light-chain ratio</w:t>
      </w:r>
      <w:r w:rsidRPr="00276A1A">
        <w:rPr>
          <w:rFonts w:ascii="標楷體" w:eastAsia="標楷體" w:hAnsi="標楷體" w:cs="新細明體" w:hint="eastAsia"/>
          <w:szCs w:val="24"/>
        </w:rPr>
        <w:t>≧</w:t>
      </w:r>
      <w:r w:rsidRPr="00276A1A">
        <w:rPr>
          <w:rFonts w:ascii="標楷體" w:eastAsia="標楷體" w:hAnsi="標楷體"/>
          <w:szCs w:val="24"/>
        </w:rPr>
        <w:t>100。</w:t>
      </w:r>
    </w:p>
    <w:p w:rsidR="00D3675A" w:rsidRPr="00276A1A" w:rsidRDefault="00D3675A" w:rsidP="00D3675A">
      <w:pPr>
        <w:numPr>
          <w:ilvl w:val="0"/>
          <w:numId w:val="40"/>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首次申請為12次輸注，須檢附完整之造血幹細胞移植計畫</w:t>
      </w:r>
      <w:r w:rsidRPr="00276A1A">
        <w:rPr>
          <w:rFonts w:ascii="標楷體" w:eastAsia="標楷體" w:hAnsi="標楷體" w:hint="eastAsia"/>
          <w:szCs w:val="24"/>
        </w:rPr>
        <w:t>，並詳細記載確認捐贈者名單及移植前調適治療等資料。需由具訓練血液及骨髓移植醫師能力之醫院申請，並由完成血液及骨髓移植訓練之醫師確認移植計畫。</w:t>
      </w:r>
    </w:p>
    <w:p w:rsidR="00D3675A" w:rsidRPr="00276A1A" w:rsidRDefault="00D3675A" w:rsidP="00D3675A">
      <w:pPr>
        <w:numPr>
          <w:ilvl w:val="0"/>
          <w:numId w:val="40"/>
        </w:numPr>
        <w:suppressAutoHyphens w:val="0"/>
        <w:autoSpaceDN/>
        <w:adjustRightInd w:val="0"/>
        <w:snapToGrid w:val="0"/>
        <w:spacing w:line="400" w:lineRule="exact"/>
        <w:ind w:left="909" w:hanging="429"/>
        <w:textAlignment w:val="auto"/>
        <w:rPr>
          <w:rFonts w:ascii="標楷體" w:eastAsia="標楷體" w:hAnsi="標楷體"/>
          <w:szCs w:val="24"/>
        </w:rPr>
      </w:pPr>
      <w:r w:rsidRPr="00276A1A">
        <w:rPr>
          <w:rFonts w:ascii="標楷體" w:eastAsia="標楷體" w:hAnsi="標楷體"/>
          <w:szCs w:val="24"/>
        </w:rPr>
        <w:t>再次申請為4次輸注，應檢附移植相關資料，且第一線治療總共以16次輸注為上限。</w:t>
      </w:r>
    </w:p>
    <w:p w:rsidR="00D3675A" w:rsidRPr="00276A1A" w:rsidRDefault="00D3675A" w:rsidP="00D3675A">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2.限與bortezomib/dexamethasone或lenalidomide/dexamethasone併用，治療先前曾接受至少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 或 lenalidomide 之療法治療失敗的多發性骨髓瘤成人患者，且須具有良好日常體能狀態(ECOG &lt; 2)者，以總共22次輸注為上限。(109/4/1、112/4/1、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adjustRightInd w:val="0"/>
        <w:snapToGrid w:val="0"/>
        <w:spacing w:line="400" w:lineRule="exact"/>
        <w:ind w:leftChars="177" w:left="708" w:hangingChars="118" w:hanging="283"/>
        <w:rPr>
          <w:rFonts w:ascii="標楷體" w:eastAsia="標楷體" w:hAnsi="標楷體"/>
          <w:szCs w:val="24"/>
        </w:rPr>
      </w:pPr>
      <w:r w:rsidRPr="00276A1A">
        <w:rPr>
          <w:rFonts w:ascii="標楷體" w:eastAsia="標楷體" w:hAnsi="標楷體"/>
          <w:szCs w:val="24"/>
        </w:rPr>
        <w:t>(1)須經事前審查核准後使用：首次申請為10次輸注，且需同時符合下列Ⅰ.、Ⅱ.與Ⅲ.的條件：(109/4/1、112/4/1、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numPr>
          <w:ilvl w:val="2"/>
          <w:numId w:val="39"/>
        </w:numPr>
        <w:suppressAutoHyphens w:val="0"/>
        <w:autoSpaceDN/>
        <w:adjustRightInd w:val="0"/>
        <w:snapToGrid w:val="0"/>
        <w:spacing w:line="400" w:lineRule="exact"/>
        <w:ind w:leftChars="295" w:left="708" w:firstLine="1"/>
        <w:textAlignment w:val="auto"/>
        <w:rPr>
          <w:rFonts w:ascii="標楷體" w:eastAsia="標楷體" w:hAnsi="標楷體"/>
          <w:szCs w:val="24"/>
        </w:rPr>
      </w:pPr>
      <w:r w:rsidRPr="00276A1A">
        <w:rPr>
          <w:rFonts w:ascii="標楷體" w:eastAsia="標楷體" w:hAnsi="標楷體"/>
          <w:szCs w:val="24"/>
        </w:rPr>
        <w:t>病人先前未曾接受過daratumumab之治療。(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numPr>
          <w:ilvl w:val="2"/>
          <w:numId w:val="39"/>
        </w:numPr>
        <w:suppressAutoHyphens w:val="0"/>
        <w:autoSpaceDN/>
        <w:adjustRightInd w:val="0"/>
        <w:snapToGrid w:val="0"/>
        <w:spacing w:line="400" w:lineRule="exact"/>
        <w:ind w:left="1134" w:hanging="425"/>
        <w:textAlignment w:val="auto"/>
        <w:rPr>
          <w:rFonts w:ascii="標楷體" w:eastAsia="標楷體" w:hAnsi="標楷體"/>
          <w:szCs w:val="24"/>
        </w:rPr>
      </w:pPr>
      <w:r w:rsidRPr="00276A1A">
        <w:rPr>
          <w:rFonts w:ascii="標楷體" w:eastAsia="標楷體" w:hAnsi="標楷體"/>
          <w:szCs w:val="24"/>
        </w:rPr>
        <w:t>具有下列任一疾病惡化的指標：病患開始治療前須在連續2次評估中均符合同一指標(但若為plamacytoma 體積增加，或是新產生的bone lesion(s)或新plasmacytoma，則僅需1次評估)：（112/4/1）</w:t>
      </w:r>
    </w:p>
    <w:p w:rsidR="00D3675A" w:rsidRPr="00276A1A" w:rsidRDefault="00D3675A" w:rsidP="00D3675A">
      <w:pPr>
        <w:numPr>
          <w:ilvl w:val="3"/>
          <w:numId w:val="39"/>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D3675A" w:rsidRPr="00276A1A" w:rsidRDefault="00D3675A" w:rsidP="00D3675A">
      <w:pPr>
        <w:numPr>
          <w:ilvl w:val="3"/>
          <w:numId w:val="39"/>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D3675A" w:rsidRPr="00276A1A" w:rsidRDefault="00D3675A" w:rsidP="00D3675A">
      <w:pPr>
        <w:numPr>
          <w:ilvl w:val="3"/>
          <w:numId w:val="39"/>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D3675A" w:rsidRPr="00276A1A" w:rsidRDefault="00D3675A" w:rsidP="00D3675A">
      <w:pPr>
        <w:numPr>
          <w:ilvl w:val="3"/>
          <w:numId w:val="39"/>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lastRenderedPageBreak/>
        <w:t>新產生的bone lesion(s)或plasmacytoma；且須經病理切片證實。</w:t>
      </w:r>
    </w:p>
    <w:p w:rsidR="00D3675A" w:rsidRPr="00276A1A" w:rsidRDefault="00D3675A" w:rsidP="00D3675A">
      <w:pPr>
        <w:numPr>
          <w:ilvl w:val="3"/>
          <w:numId w:val="39"/>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D3675A">
      <w:pPr>
        <w:numPr>
          <w:ilvl w:val="3"/>
          <w:numId w:val="39"/>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D3675A" w:rsidRPr="00276A1A" w:rsidRDefault="00D3675A" w:rsidP="00D3675A">
      <w:pPr>
        <w:adjustRightInd w:val="0"/>
        <w:snapToGrid w:val="0"/>
        <w:spacing w:line="400" w:lineRule="exact"/>
        <w:ind w:left="993"/>
        <w:rPr>
          <w:rFonts w:ascii="標楷體" w:eastAsia="標楷體" w:hAnsi="標楷體"/>
          <w:szCs w:val="24"/>
        </w:rPr>
      </w:pPr>
      <w:r w:rsidRPr="00276A1A">
        <w:rPr>
          <w:rFonts w:ascii="標楷體" w:eastAsia="標楷體" w:hAnsi="標楷體"/>
          <w:szCs w:val="24"/>
        </w:rPr>
        <w:t>Ⅲ出現下列任一臨床症狀：（112/4/1）</w:t>
      </w:r>
    </w:p>
    <w:p w:rsidR="00D3675A" w:rsidRPr="00276A1A" w:rsidRDefault="00D3675A" w:rsidP="00D3675A">
      <w:pPr>
        <w:numPr>
          <w:ilvl w:val="3"/>
          <w:numId w:val="39"/>
        </w:numPr>
        <w:suppressAutoHyphens w:val="0"/>
        <w:autoSpaceDN/>
        <w:adjustRightInd w:val="0"/>
        <w:snapToGrid w:val="0"/>
        <w:spacing w:line="400" w:lineRule="exact"/>
        <w:ind w:left="1276" w:firstLine="0"/>
        <w:textAlignment w:val="auto"/>
        <w:rPr>
          <w:rFonts w:ascii="標楷體" w:eastAsia="標楷體" w:hAnsi="標楷體"/>
          <w:szCs w:val="24"/>
        </w:rPr>
      </w:pPr>
      <w:r w:rsidRPr="00276A1A">
        <w:rPr>
          <w:rFonts w:ascii="標楷體" w:eastAsia="標楷體" w:hAnsi="標楷體"/>
          <w:szCs w:val="24"/>
        </w:rPr>
        <w:t>新產生的bone lesion(s)或plasmacytoma；且須經病理切片證實。</w:t>
      </w:r>
    </w:p>
    <w:p w:rsidR="00D3675A" w:rsidRPr="00276A1A" w:rsidRDefault="00D3675A" w:rsidP="00D3675A">
      <w:pPr>
        <w:numPr>
          <w:ilvl w:val="3"/>
          <w:numId w:val="39"/>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D3675A" w:rsidRPr="00276A1A" w:rsidRDefault="00D3675A" w:rsidP="00D3675A">
      <w:pPr>
        <w:numPr>
          <w:ilvl w:val="3"/>
          <w:numId w:val="39"/>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高血鈣(corrected serum calcium＞11.0 mg/dL 或 2.75 mmol/L)。</w:t>
      </w:r>
    </w:p>
    <w:p w:rsidR="00D3675A" w:rsidRPr="00276A1A" w:rsidRDefault="00D3675A" w:rsidP="00D3675A">
      <w:pPr>
        <w:numPr>
          <w:ilvl w:val="3"/>
          <w:numId w:val="39"/>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D3675A" w:rsidRPr="00276A1A" w:rsidRDefault="00D3675A" w:rsidP="00D3675A">
      <w:pPr>
        <w:numPr>
          <w:ilvl w:val="3"/>
          <w:numId w:val="39"/>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D3675A" w:rsidRPr="00276A1A" w:rsidRDefault="00D3675A" w:rsidP="00D3675A">
      <w:pPr>
        <w:numPr>
          <w:ilvl w:val="3"/>
          <w:numId w:val="39"/>
        </w:numPr>
        <w:suppressAutoHyphens w:val="0"/>
        <w:autoSpaceDN/>
        <w:adjustRightInd w:val="0"/>
        <w:snapToGrid w:val="0"/>
        <w:spacing w:line="400" w:lineRule="exact"/>
        <w:ind w:left="1276" w:hanging="16"/>
        <w:textAlignment w:val="auto"/>
        <w:rPr>
          <w:rFonts w:ascii="標楷體" w:eastAsia="標楷體" w:hAnsi="標楷體"/>
          <w:szCs w:val="24"/>
        </w:rPr>
      </w:pPr>
      <w:r w:rsidRPr="00276A1A">
        <w:rPr>
          <w:rFonts w:ascii="標楷體" w:eastAsia="標楷體" w:hAnsi="標楷體"/>
          <w:szCs w:val="24"/>
        </w:rPr>
        <w:t>出現其他end-organ dysfunctions。</w:t>
      </w:r>
    </w:p>
    <w:p w:rsidR="00D3675A" w:rsidRPr="00276A1A" w:rsidRDefault="00D3675A" w:rsidP="00D3675A">
      <w:pPr>
        <w:spacing w:line="400" w:lineRule="exact"/>
        <w:ind w:leftChars="355" w:left="1133" w:hangingChars="117" w:hanging="281"/>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cell為療效依據，方可繼續使用。(109/4/1、112/4/1)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3.除lenalidomide、thalidomide或bortezomib外，本案藥品不得與其他蛋白酶體抑制劑(proteasome inhibitor)或免疫調節劑(immunomodulatory drugs)併用。(109/4/1、112/4/1、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D3675A" w:rsidRPr="00276A1A" w:rsidRDefault="00D3675A" w:rsidP="00D3675A">
      <w:pPr>
        <w:spacing w:line="400" w:lineRule="exact"/>
        <w:ind w:leftChars="237" w:left="850" w:hangingChars="117" w:hanging="281"/>
        <w:rPr>
          <w:rFonts w:ascii="標楷體" w:eastAsia="標楷體" w:hAnsi="標楷體"/>
          <w:szCs w:val="24"/>
        </w:rPr>
      </w:pPr>
      <w:r w:rsidRPr="00276A1A">
        <w:rPr>
          <w:rFonts w:ascii="標楷體" w:eastAsia="標楷體" w:hAnsi="標楷體"/>
          <w:szCs w:val="24"/>
        </w:rPr>
        <w:t>4.112年3月31日以前已核定用藥之病人，得經事前審查核准後，使用至總療程上限（第一線治療以總共16輸注為上限，第二線以上治療以總共22次輸注為上限，接受第一線治療以後，不再給付第二線以上治療）或使用期間發生疾病惡化為止。（112/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B96EA0" w:rsidRDefault="00D3675A" w:rsidP="00D3675A">
      <w:pPr>
        <w:spacing w:line="400" w:lineRule="exact"/>
        <w:ind w:leftChars="237" w:left="850" w:hangingChars="117" w:hanging="281"/>
        <w:rPr>
          <w:rFonts w:ascii="標楷體" w:eastAsia="標楷體" w:hAnsi="標楷體"/>
          <w:color w:val="000000"/>
        </w:rPr>
      </w:pPr>
      <w:r w:rsidRPr="00276A1A">
        <w:rPr>
          <w:rFonts w:ascii="標楷體" w:eastAsia="標楷體" w:hAnsi="標楷體"/>
          <w:szCs w:val="24"/>
        </w:rPr>
        <w:t>5.Daratumumab與isatuximab二者</w:t>
      </w:r>
      <w:r w:rsidRPr="00276A1A">
        <w:rPr>
          <w:rFonts w:ascii="標楷體" w:eastAsia="標楷體" w:hAnsi="標楷體" w:hint="eastAsia"/>
          <w:szCs w:val="24"/>
        </w:rPr>
        <w:t>僅能擇一使用，除因藥物耐受不良以外，不可以其他原因申請互換使用。（113/4/1）</w:t>
      </w:r>
      <w:bookmarkEnd w:id="30"/>
    </w:p>
    <w:p w:rsidR="00275C39" w:rsidRPr="00275C39" w:rsidRDefault="00275C39" w:rsidP="00275C39">
      <w:pPr>
        <w:spacing w:line="400" w:lineRule="exact"/>
        <w:ind w:left="672" w:hanging="386"/>
        <w:rPr>
          <w:rFonts w:ascii="標楷體" w:eastAsia="標楷體" w:hAnsi="標楷體"/>
          <w:color w:val="000000"/>
        </w:rPr>
      </w:pPr>
      <w:bookmarkStart w:id="31" w:name="_Hlk204089600"/>
      <w:r w:rsidRPr="00275C39">
        <w:rPr>
          <w:rFonts w:ascii="標楷體" w:eastAsia="標楷體" w:hAnsi="標楷體"/>
          <w:color w:val="000000"/>
        </w:rPr>
        <w:t>9.79.Obinutuzumab(如Gazyva)：（109/4/1、113/2/1</w:t>
      </w:r>
      <w:r w:rsidRPr="00275C39">
        <w:rPr>
          <w:rFonts w:ascii="標楷體" w:eastAsia="標楷體" w:hAnsi="標楷體" w:hint="eastAsia"/>
          <w:color w:val="000000"/>
        </w:rPr>
        <w:t>、114/8/1</w:t>
      </w:r>
      <w:r w:rsidRPr="00275C39">
        <w:rPr>
          <w:rFonts w:ascii="標楷體" w:eastAsia="標楷體" w:hAnsi="標楷體"/>
          <w:color w:val="000000"/>
        </w:rPr>
        <w:t>）</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1.限用於第一次接受含rituximab治療後治療無效或治療結束後6個月內復發的濾泡性淋巴瘤(follicular lymphoma)患者。</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(1)需經事前審查核准後使用：</w:t>
      </w:r>
    </w:p>
    <w:p w:rsidR="00275C39" w:rsidRPr="00275C39" w:rsidRDefault="00275C39" w:rsidP="00347CE0">
      <w:pPr>
        <w:spacing w:line="400" w:lineRule="exact"/>
        <w:ind w:left="1560" w:hanging="386"/>
        <w:rPr>
          <w:rFonts w:ascii="標楷體" w:eastAsia="標楷體" w:hAnsi="標楷體"/>
          <w:color w:val="000000"/>
        </w:rPr>
      </w:pPr>
      <w:bookmarkStart w:id="32" w:name="_Hlk206605286"/>
      <w:r w:rsidRPr="00275C39">
        <w:rPr>
          <w:rFonts w:ascii="標楷體" w:eastAsia="標楷體" w:hAnsi="標楷體"/>
          <w:color w:val="000000"/>
        </w:rPr>
        <w:t>Ⅰ.</w:t>
      </w:r>
      <w:bookmarkEnd w:id="32"/>
      <w:r w:rsidRPr="00275C39">
        <w:rPr>
          <w:rFonts w:ascii="標楷體" w:eastAsia="標楷體" w:hAnsi="標楷體"/>
          <w:color w:val="000000"/>
        </w:rPr>
        <w:t>首次申請限6個療程(共8次治療)，且需與bendamustine 併用。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Ⅱ.經治療後達partial remission 或complete remission病患可續申請obinutuzumab 單一藥物維持治療，每次申請最多12個月(6個療程)，每12個月須進行疾病評估，若病情惡化應即停止使用。</w:t>
      </w:r>
    </w:p>
    <w:p w:rsidR="00275C39" w:rsidRPr="00275C39" w:rsidRDefault="00275C39" w:rsidP="00275C39">
      <w:pPr>
        <w:spacing w:line="400" w:lineRule="exact"/>
        <w:ind w:left="1632" w:hanging="386"/>
        <w:rPr>
          <w:rFonts w:ascii="標楷體" w:eastAsia="標楷體" w:hAnsi="標楷體"/>
          <w:color w:val="000000"/>
        </w:rPr>
      </w:pPr>
      <w:r w:rsidRPr="00275C39">
        <w:rPr>
          <w:rFonts w:ascii="標楷體" w:eastAsia="標楷體" w:hAnsi="標楷體"/>
          <w:color w:val="000000"/>
        </w:rPr>
        <w:t>Ⅲ.每位病人最多給付24個月(12個療程)維持治療。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color w:val="000000"/>
        </w:rPr>
        <w:t>2.限與chlorambucil併用於治療先前未曾接受過治療，且具有合併症(comorbidities)而不適合接受含 fludarabine治療的CD20陽性慢性淋巴球性白血病（CLL）患者。（113/2/1）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color w:val="000000"/>
        </w:rPr>
        <w:t xml:space="preserve">(1)Rai Stage Ⅲ/Ⅳ(或Binet C級)之CLL病人。若用於Rai StageⅠ/Ⅱ(或Binet </w:t>
      </w:r>
      <w:r w:rsidRPr="00275C39">
        <w:rPr>
          <w:rFonts w:ascii="標楷體" w:eastAsia="標楷體" w:hAnsi="標楷體"/>
          <w:color w:val="000000"/>
        </w:rPr>
        <w:lastRenderedPageBreak/>
        <w:t>A/B級)併有疾病相關免疫性症候(如自體免疫性溶血、免疫性血小板低下紫瘢症等)的病人時，需符合具有CD20陽性。</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(2)需經事前審查核准後使用，首次申請限6個療程(共8次治療)。</w:t>
      </w:r>
    </w:p>
    <w:p w:rsidR="00275C39" w:rsidRPr="00275C39" w:rsidRDefault="00275C39" w:rsidP="00347CE0">
      <w:pPr>
        <w:spacing w:line="400" w:lineRule="exact"/>
        <w:ind w:left="993" w:hanging="142"/>
        <w:rPr>
          <w:rFonts w:ascii="標楷體" w:eastAsia="標楷體" w:hAnsi="標楷體"/>
          <w:color w:val="000000"/>
        </w:rPr>
      </w:pPr>
      <w:r w:rsidRPr="00275C39">
        <w:rPr>
          <w:rFonts w:ascii="標楷體" w:eastAsia="標楷體" w:hAnsi="標楷體"/>
          <w:color w:val="000000"/>
        </w:rPr>
        <w:t>(3)病患曾使用本藥物後再復發或惡化時，不得再申請使用。</w:t>
      </w:r>
    </w:p>
    <w:p w:rsidR="00275C39" w:rsidRPr="00275C39"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限與zanubrutinib併用，治療先前曾接受至少兩線(每線至少4個療程)全身性治療無效或復發的濾泡性淋巴瘤成人病人。(</w:t>
      </w:r>
      <w:r w:rsidRPr="00275C39">
        <w:rPr>
          <w:rFonts w:ascii="標楷體" w:eastAsia="標楷體" w:hAnsi="標楷體" w:hint="eastAsia"/>
          <w:color w:val="000000"/>
        </w:rPr>
        <w:t>114</w:t>
      </w:r>
      <w:r w:rsidRPr="00275C39">
        <w:rPr>
          <w:rFonts w:ascii="標楷體" w:eastAsia="標楷體" w:hAnsi="標楷體"/>
          <w:color w:val="000000"/>
        </w:rPr>
        <w:t>/</w:t>
      </w:r>
      <w:r w:rsidRPr="00275C39">
        <w:rPr>
          <w:rFonts w:ascii="標楷體" w:eastAsia="標楷體" w:hAnsi="標楷體" w:hint="eastAsia"/>
          <w:color w:val="000000"/>
        </w:rPr>
        <w:t>8</w:t>
      </w:r>
      <w:r w:rsidRPr="00275C39">
        <w:rPr>
          <w:rFonts w:ascii="標楷體" w:eastAsia="標楷體" w:hAnsi="標楷體"/>
          <w:color w:val="000000"/>
        </w:rPr>
        <w:t>/1)</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(1)</w:t>
      </w:r>
      <w:r w:rsidRPr="00275C39">
        <w:rPr>
          <w:rFonts w:ascii="標楷體" w:eastAsia="標楷體" w:hAnsi="標楷體"/>
          <w:color w:val="000000"/>
        </w:rPr>
        <w:t>需曾接受過至少一種anti-CD20 monoclonal antibody及一種靜脈注射型之alkylating agent治療。</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(2)</w:t>
      </w:r>
      <w:r w:rsidRPr="00275C39">
        <w:rPr>
          <w:rFonts w:ascii="標楷體" w:eastAsia="標楷體" w:hAnsi="標楷體"/>
          <w:color w:val="000000"/>
        </w:rPr>
        <w:t>需符合WHO 淋巴瘤分類為I、II或IIIa期的診斷。</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(3)</w:t>
      </w:r>
      <w:r w:rsidRPr="00275C39">
        <w:rPr>
          <w:rFonts w:ascii="標楷體" w:eastAsia="標楷體" w:hAnsi="標楷體"/>
          <w:color w:val="000000"/>
        </w:rPr>
        <w:t>開始使用前之疾病狀態需出現下列任一情形：</w:t>
      </w:r>
    </w:p>
    <w:p w:rsidR="00347CE0" w:rsidRDefault="00275C39" w:rsidP="00347CE0">
      <w:pPr>
        <w:numPr>
          <w:ilvl w:val="0"/>
          <w:numId w:val="32"/>
        </w:numPr>
        <w:spacing w:line="400" w:lineRule="exact"/>
        <w:ind w:leftChars="472" w:left="1272" w:hangingChars="58" w:hanging="139"/>
        <w:rPr>
          <w:rFonts w:ascii="標楷體" w:eastAsia="標楷體" w:hAnsi="標楷體" w:cs="BiauKai"/>
          <w:szCs w:val="24"/>
        </w:rPr>
      </w:pPr>
      <w:r w:rsidRPr="00275C39">
        <w:rPr>
          <w:rFonts w:ascii="標楷體" w:eastAsia="標楷體" w:hAnsi="標楷體" w:cs="BiauKai"/>
          <w:szCs w:val="24"/>
        </w:rPr>
        <w:t>有單一腫瘤直徑7公分以上者；</w:t>
      </w:r>
    </w:p>
    <w:p w:rsidR="00275C39" w:rsidRPr="00347CE0" w:rsidRDefault="00275C39" w:rsidP="00347CE0">
      <w:pPr>
        <w:numPr>
          <w:ilvl w:val="0"/>
          <w:numId w:val="32"/>
        </w:numPr>
        <w:spacing w:line="400" w:lineRule="exact"/>
        <w:ind w:leftChars="353" w:left="847" w:firstLineChars="60" w:firstLine="144"/>
        <w:rPr>
          <w:rFonts w:ascii="標楷體" w:eastAsia="標楷體" w:hAnsi="標楷體" w:cs="BiauKai"/>
          <w:szCs w:val="24"/>
        </w:rPr>
      </w:pPr>
      <w:r w:rsidRPr="00347CE0">
        <w:rPr>
          <w:rFonts w:ascii="標楷體" w:eastAsia="標楷體" w:hAnsi="標楷體" w:cs="BiauKai"/>
          <w:szCs w:val="24"/>
        </w:rPr>
        <w:t>有三顆以上之腫瘤其直徑大於3公分以上者；</w:t>
      </w:r>
    </w:p>
    <w:p w:rsidR="00275C39" w:rsidRPr="00275C39" w:rsidRDefault="00275C39" w:rsidP="00347CE0">
      <w:pPr>
        <w:numPr>
          <w:ilvl w:val="0"/>
          <w:numId w:val="35"/>
        </w:numPr>
        <w:spacing w:line="400" w:lineRule="exact"/>
        <w:rPr>
          <w:rFonts w:ascii="標楷體" w:eastAsia="標楷體" w:hAnsi="標楷體" w:cs="BiauKai"/>
          <w:szCs w:val="24"/>
        </w:rPr>
      </w:pPr>
      <w:r w:rsidRPr="00275C39">
        <w:rPr>
          <w:rFonts w:ascii="標楷體" w:eastAsia="標楷體" w:hAnsi="標楷體" w:cs="BiauKai"/>
          <w:szCs w:val="24"/>
        </w:rPr>
        <w:t>脾臟腫大，其長度16公分以上者；</w:t>
      </w:r>
    </w:p>
    <w:p w:rsidR="00275C39" w:rsidRPr="00275C39" w:rsidRDefault="00275C39" w:rsidP="00347CE0">
      <w:pPr>
        <w:numPr>
          <w:ilvl w:val="0"/>
          <w:numId w:val="35"/>
        </w:numPr>
        <w:spacing w:line="400" w:lineRule="exact"/>
        <w:rPr>
          <w:rFonts w:ascii="標楷體" w:eastAsia="標楷體" w:hAnsi="標楷體" w:cs="BiauKai"/>
          <w:szCs w:val="24"/>
        </w:rPr>
      </w:pPr>
      <w:r w:rsidRPr="00275C39">
        <w:rPr>
          <w:rFonts w:ascii="標楷體" w:eastAsia="標楷體" w:hAnsi="標楷體" w:cs="BiauKai"/>
          <w:szCs w:val="24"/>
        </w:rPr>
        <w:t>對vitalorgans造成擠壓者；</w:t>
      </w:r>
    </w:p>
    <w:p w:rsidR="00347CE0" w:rsidRDefault="00275C39" w:rsidP="00347CE0">
      <w:pPr>
        <w:numPr>
          <w:ilvl w:val="0"/>
          <w:numId w:val="37"/>
        </w:numPr>
        <w:spacing w:line="400" w:lineRule="exact"/>
        <w:rPr>
          <w:rFonts w:ascii="標楷體" w:eastAsia="標楷體" w:hAnsi="標楷體" w:cs="BiauKai"/>
          <w:szCs w:val="24"/>
        </w:rPr>
      </w:pPr>
      <w:r w:rsidRPr="00275C39">
        <w:rPr>
          <w:rFonts w:ascii="標楷體" w:eastAsia="標楷體" w:hAnsi="標楷體" w:cs="BiauKai"/>
          <w:szCs w:val="24"/>
        </w:rPr>
        <w:t>周邊血中出現淋巴球增生超過5000/mm</w:t>
      </w:r>
      <w:r w:rsidRPr="00347CE0">
        <w:rPr>
          <w:rFonts w:ascii="標楷體" w:eastAsia="標楷體" w:hAnsi="標楷體" w:cs="BiauKai"/>
          <w:szCs w:val="24"/>
        </w:rPr>
        <w:t>3</w:t>
      </w:r>
      <w:r w:rsidRPr="00275C39">
        <w:rPr>
          <w:rFonts w:ascii="標楷體" w:eastAsia="標楷體" w:hAnsi="標楷體" w:cs="BiauKai"/>
          <w:szCs w:val="24"/>
        </w:rPr>
        <w:t>者；</w:t>
      </w:r>
    </w:p>
    <w:p w:rsidR="00275C39" w:rsidRPr="00347CE0" w:rsidRDefault="00275C39" w:rsidP="00347CE0">
      <w:pPr>
        <w:numPr>
          <w:ilvl w:val="0"/>
          <w:numId w:val="36"/>
        </w:numPr>
        <w:spacing w:line="400" w:lineRule="exact"/>
        <w:rPr>
          <w:rFonts w:ascii="標楷體" w:eastAsia="標楷體" w:hAnsi="標楷體" w:cs="BiauKai"/>
          <w:szCs w:val="24"/>
        </w:rPr>
      </w:pPr>
      <w:r w:rsidRPr="00347CE0">
        <w:rPr>
          <w:rFonts w:ascii="標楷體" w:eastAsia="標楷體" w:hAnsi="標楷體" w:cs="BiauKai"/>
          <w:szCs w:val="24"/>
        </w:rPr>
        <w:t>出現任一系列血球低下者（platelet&lt;100,000/ mm3，或 Hb&lt;10gm/dL，或absolute neutrophil count&lt;1500/ mm3)。</w:t>
      </w:r>
    </w:p>
    <w:p w:rsidR="00275C39" w:rsidRPr="00275C39" w:rsidRDefault="00275C39" w:rsidP="00347CE0">
      <w:pPr>
        <w:numPr>
          <w:ilvl w:val="0"/>
          <w:numId w:val="36"/>
        </w:numPr>
        <w:spacing w:line="400" w:lineRule="exact"/>
        <w:rPr>
          <w:rFonts w:ascii="標楷體" w:eastAsia="標楷體" w:hAnsi="標楷體" w:cs="BiauKai"/>
          <w:szCs w:val="24"/>
        </w:rPr>
      </w:pPr>
      <w:r w:rsidRPr="00275C39">
        <w:rPr>
          <w:rFonts w:ascii="標楷體" w:eastAsia="標楷體" w:hAnsi="標楷體" w:cs="BiauKai"/>
          <w:szCs w:val="24"/>
        </w:rPr>
        <w:t>B symptoms。</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(4)</w:t>
      </w:r>
      <w:r w:rsidRPr="00275C39">
        <w:rPr>
          <w:rFonts w:ascii="標楷體" w:eastAsia="標楷體" w:hAnsi="標楷體"/>
          <w:color w:val="000000"/>
        </w:rPr>
        <w:t>需經事前審查核准後使用，每3 個月需再次申請，再次申請時需檢附療效評估資料，若未達partial remission或 complete remission，則不予給付。</w:t>
      </w:r>
    </w:p>
    <w:p w:rsidR="00275C39" w:rsidRPr="00275C39" w:rsidRDefault="00275C39" w:rsidP="00347CE0">
      <w:pPr>
        <w:spacing w:line="400" w:lineRule="exact"/>
        <w:ind w:left="1276" w:hanging="425"/>
        <w:rPr>
          <w:rFonts w:ascii="標楷體" w:eastAsia="標楷體" w:hAnsi="標楷體"/>
          <w:color w:val="000000"/>
        </w:rPr>
      </w:pPr>
      <w:r w:rsidRPr="00275C39">
        <w:rPr>
          <w:rFonts w:ascii="標楷體" w:eastAsia="標楷體" w:hAnsi="標楷體" w:hint="eastAsia"/>
          <w:color w:val="000000"/>
        </w:rPr>
        <w:t>(5)</w:t>
      </w:r>
      <w:r w:rsidRPr="00275C39">
        <w:rPr>
          <w:rFonts w:ascii="標楷體" w:eastAsia="標楷體" w:hAnsi="標楷體"/>
          <w:color w:val="000000"/>
        </w:rPr>
        <w:t>總療程以全部24個月為上限。Obinutuzumab總療程以給付18支為限。</w:t>
      </w:r>
    </w:p>
    <w:p w:rsidR="00B96EA0" w:rsidRDefault="00275C39" w:rsidP="00347CE0">
      <w:pPr>
        <w:spacing w:line="400" w:lineRule="exact"/>
        <w:ind w:left="851" w:hanging="244"/>
        <w:rPr>
          <w:rFonts w:ascii="標楷體" w:eastAsia="標楷體" w:hAnsi="標楷體"/>
          <w:color w:val="000000"/>
        </w:rPr>
      </w:pPr>
      <w:r w:rsidRPr="00275C39">
        <w:rPr>
          <w:rFonts w:ascii="標楷體" w:eastAsia="標楷體" w:hAnsi="標楷體" w:hint="eastAsia"/>
          <w:color w:val="000000"/>
        </w:rPr>
        <w:t>4.限以obinutuzumab 1,000mg作為glofitamab用於治療先前曾接受至少兩線全身治療之復發性或難治性瀰漫性大B細胞淋巴瘤 (DLBCL) 的成人病人之前置治療，需與glofitamab首次治療同時申請事前審查並經核准後使用。(114/8/1）</w:t>
      </w:r>
      <w:bookmarkEnd w:id="31"/>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9.80.Osimertinib (如Tagrisso)：(109/4/1、109/6/1、109/10/1、111/4/1、113/6/1、113/10/1)</w:t>
      </w:r>
    </w:p>
    <w:p w:rsidR="00B96EA0" w:rsidRDefault="007D66B8" w:rsidP="005142EB">
      <w:pPr>
        <w:spacing w:line="400" w:lineRule="exact"/>
        <w:ind w:left="993" w:hanging="280"/>
        <w:rPr>
          <w:rFonts w:ascii="標楷體" w:eastAsia="標楷體" w:hAnsi="標楷體"/>
          <w:color w:val="000000"/>
        </w:rPr>
      </w:pPr>
      <w:r>
        <w:rPr>
          <w:rFonts w:ascii="標楷體" w:eastAsia="標楷體" w:hAnsi="標楷體"/>
          <w:color w:val="000000"/>
        </w:rPr>
        <w:t>1.限單獨使用於：</w:t>
      </w:r>
    </w:p>
    <w:p w:rsidR="00B96EA0" w:rsidRDefault="007D66B8" w:rsidP="005142EB">
      <w:pPr>
        <w:spacing w:line="400" w:lineRule="exact"/>
        <w:ind w:left="1418" w:hanging="423"/>
      </w:pPr>
      <w:r>
        <w:rPr>
          <w:rFonts w:ascii="標楷體" w:eastAsia="標楷體" w:hAnsi="標楷體"/>
          <w:color w:val="000000"/>
        </w:rPr>
        <w:t>(1)</w:t>
      </w:r>
      <w:r>
        <w:t xml:space="preserve"> </w:t>
      </w:r>
      <w:r>
        <w:rPr>
          <w:rFonts w:ascii="標楷體" w:eastAsia="標楷體" w:hAnsi="標楷體"/>
          <w:color w:val="000000"/>
        </w:rPr>
        <w:t>具有EGFR Exon 19 Del或Exon 21 L858R基因突變之局部侵犯性或轉移性（即為IIIB、IIIC期或第Ⅳ期）肺腺癌病患之第一線治療。 (111/4/1、113/10/1)</w:t>
      </w:r>
    </w:p>
    <w:p w:rsidR="00B96EA0" w:rsidRDefault="007D66B8" w:rsidP="005142EB">
      <w:pPr>
        <w:spacing w:line="400" w:lineRule="exact"/>
        <w:ind w:left="1418" w:hanging="426"/>
        <w:rPr>
          <w:rFonts w:ascii="標楷體" w:eastAsia="標楷體" w:hAnsi="標楷體"/>
          <w:color w:val="000000"/>
        </w:rPr>
      </w:pPr>
      <w:r>
        <w:rPr>
          <w:rFonts w:ascii="標楷體" w:eastAsia="標楷體" w:hAnsi="標楷體"/>
          <w:color w:val="000000"/>
        </w:rPr>
        <w:t>(2)先前已使用過EGFR標靶藥物gefitinib、erlotinib、afatinib或dacomitinib治療失敗，且具有EGFR　T790M基因突變之局部侵犯性或轉移性之非小細胞肺癌之第二線治療。(109/10/1）</w:t>
      </w:r>
    </w:p>
    <w:p w:rsidR="00B96EA0" w:rsidRDefault="007D66B8" w:rsidP="005142EB">
      <w:pPr>
        <w:spacing w:line="400" w:lineRule="exact"/>
        <w:ind w:left="709"/>
      </w:pPr>
      <w:r>
        <w:rPr>
          <w:rFonts w:ascii="標楷體" w:eastAsia="標楷體" w:hAnsi="標楷體"/>
          <w:color w:val="000000"/>
        </w:rPr>
        <w:t>2.使用注意事項：(109/10/1</w:t>
      </w:r>
      <w:r>
        <w:rPr>
          <w:rFonts w:ascii="新細明體" w:hAnsi="新細明體"/>
          <w:color w:val="000000"/>
        </w:rPr>
        <w:t>、</w:t>
      </w:r>
      <w:r>
        <w:rPr>
          <w:rFonts w:ascii="標楷體" w:eastAsia="標楷體" w:hAnsi="標楷體"/>
          <w:color w:val="000000"/>
        </w:rPr>
        <w:t>111/4/1、113/6/1、113/10/1）</w:t>
      </w:r>
    </w:p>
    <w:p w:rsidR="00B96EA0" w:rsidRDefault="007D66B8" w:rsidP="005142EB">
      <w:pPr>
        <w:spacing w:line="400" w:lineRule="exact"/>
        <w:ind w:left="426"/>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tabs>
          <w:tab w:val="left" w:pos="851"/>
        </w:tabs>
        <w:spacing w:line="400" w:lineRule="exact"/>
        <w:ind w:left="1133" w:hanging="425"/>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lastRenderedPageBreak/>
        <w:t>II.初次申請時需檢具確實患有肺腺癌或非小細胞肺癌之病理或細胞檢查報告，及檢附EGFR基因檢測結果報告，且需符合全民健康保險藥品給付規定之通則十二。(113/6/1、113/10/1)</w:t>
      </w:r>
    </w:p>
    <w:p w:rsidR="00B96EA0" w:rsidRDefault="007D66B8" w:rsidP="005142EB">
      <w:pPr>
        <w:tabs>
          <w:tab w:val="left" w:pos="1185"/>
        </w:tabs>
        <w:spacing w:line="400" w:lineRule="exact"/>
        <w:ind w:left="991" w:hanging="425"/>
        <w:rPr>
          <w:rFonts w:ascii="標楷體" w:eastAsia="標楷體" w:hAnsi="標楷體"/>
          <w:color w:val="000000"/>
        </w:rPr>
      </w:pPr>
      <w:r>
        <w:rPr>
          <w:rFonts w:ascii="標楷體" w:eastAsia="標楷體" w:hAnsi="標楷體"/>
          <w:color w:val="000000"/>
        </w:rPr>
        <w:t>III.再次申請時需附上治療後相關臨床資料（如：影像學）證實無惡化，才可繼續使用。每次處方以4週為限，如給藥4週後需追蹤胸部X光或電腦斷層等影像檢查評估療效，每8至12週需進行完整療效評估(如胸部X光或電腦斷層)，若病情惡化、復發或產生不可接受之毒性，即不得再次申請。</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(2)用於第一線治療用藥：與gefitinib、erlotinib、afatinib及dacomitinib僅得擇一使用，除因耐受性不良，不得互換。如需更換使用本藥品，必須符合本藥品具有EGFR Exon 19 Del或Exon 21 L858R基因突變之局部侵犯性或轉移性（即為IIIB、IIIC期或第Ⅳ期）肺腺癌病患。(109/6/1、111/4/1、113/10/1)</w:t>
      </w:r>
    </w:p>
    <w:p w:rsidR="00B96EA0" w:rsidRDefault="007D66B8" w:rsidP="005142EB">
      <w:pPr>
        <w:spacing w:line="400" w:lineRule="exact"/>
        <w:ind w:left="993" w:hanging="567"/>
        <w:rPr>
          <w:rFonts w:ascii="標楷體" w:eastAsia="標楷體" w:hAnsi="標楷體"/>
          <w:color w:val="000000"/>
          <w:szCs w:val="28"/>
        </w:rPr>
      </w:pPr>
      <w:r>
        <w:rPr>
          <w:rFonts w:ascii="標楷體" w:eastAsia="標楷體" w:hAnsi="標楷體"/>
          <w:color w:val="000000"/>
          <w:szCs w:val="28"/>
        </w:rPr>
        <w:t>(3)用於第二線治療用藥：須符合本藥品具有EGFR T790M基因突變，及檢附曾經接受gefitinib、erlotinib、afatinib或dacomitinib治療之證明，以及目前又有疾病惡化之影像診斷證明（如胸部X光、電腦斷層或其他可作為評估的影像），此影像證明以可測量（measurable）的病灶為優先，如沒有可以測量的病灶，則可評估（evaluable）的病灶亦可採用。 (109/10/1、113/10/1)</w:t>
      </w:r>
    </w:p>
    <w:p w:rsidR="00B96EA0" w:rsidRDefault="007D66B8" w:rsidP="005142EB">
      <w:pPr>
        <w:spacing w:line="400" w:lineRule="exact"/>
        <w:ind w:left="709" w:hanging="283"/>
      </w:pPr>
      <w:r>
        <w:rPr>
          <w:rFonts w:ascii="標楷體" w:eastAsia="標楷體" w:hAnsi="標楷體"/>
          <w:color w:val="000000"/>
          <w:szCs w:val="28"/>
        </w:rPr>
        <w:t>(4)每日限用1粒。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9.81.Lorlatinib (如Lorviqua)：(109/6/1、112/11/1、113/4/1、113/6/1)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1.適用於ALK陽性的晚期非小細胞肺癌第一線治療。(112/11/1)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I.每次申請事前審查之療程以三個月為限，每三個月需再次申請。</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II.初次申請時需檢具確實患有非小細胞肺癌之病理或細胞檢查報告，及ALK突變檢測報告且需符合全民健康保險藥品給付規定之通則十二。</w:t>
      </w:r>
    </w:p>
    <w:p w:rsidR="00B96EA0" w:rsidRDefault="007D66B8" w:rsidP="005142EB">
      <w:pPr>
        <w:spacing w:line="400" w:lineRule="exact"/>
        <w:ind w:left="1432" w:hanging="340"/>
        <w:rPr>
          <w:rFonts w:ascii="標楷體" w:eastAsia="標楷體" w:hAnsi="標楷體"/>
          <w:color w:val="000000"/>
        </w:rPr>
      </w:pPr>
      <w:r>
        <w:rPr>
          <w:rFonts w:ascii="標楷體" w:eastAsia="標楷體" w:hAnsi="標楷體"/>
          <w:color w:val="000000"/>
        </w:rPr>
        <w:t>III.再次申請時並需附上治療後相關臨床資料，如給藥4週後，需追蹤胸部X光或電腦斷層等影像檢查評估療效，往後每4週做胸部X光檢查，每3個月需追蹤其作為評估藥效的影像（如胸部X光或電腦斷層），若病情惡化即不得再次申請。</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(2)Lorlatinib與alectinib、ceritinib、crizotinib、brigatinib用於ALK陽性之晚期非小細胞肺癌第一線治療時，僅得擇一使用，除因病人使用後，發生嚴重不良反應或耐受不良之情形外，不得互換。</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2.適用於在ceritinib、alectinib或brigatinib治療中惡化之ALK陽性的晚期非小細胞肺癌患者。(109/6/1、112/11/1、113/4/1)</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231" w:hanging="283"/>
        <w:rPr>
          <w:rFonts w:ascii="標楷體" w:eastAsia="標楷體" w:hAnsi="標楷體"/>
          <w:color w:val="000000"/>
        </w:rPr>
      </w:pPr>
      <w:r>
        <w:rPr>
          <w:rFonts w:ascii="標楷體" w:eastAsia="標楷體" w:hAnsi="標楷體"/>
          <w:color w:val="000000"/>
        </w:rPr>
        <w:t>(2)每次申請事前審查之療程以三個月為限，每三個月需再次申請，再次申請時並需附上治療後相關臨床資料，若病情惡化即不得再次申請。</w:t>
      </w:r>
    </w:p>
    <w:p w:rsidR="00B96EA0" w:rsidRDefault="007D66B8" w:rsidP="005142EB">
      <w:pPr>
        <w:spacing w:line="400" w:lineRule="exact"/>
        <w:ind w:left="567" w:hanging="283"/>
        <w:rPr>
          <w:rFonts w:ascii="標楷體" w:eastAsia="標楷體" w:hAnsi="標楷體"/>
          <w:color w:val="000000"/>
        </w:rPr>
      </w:pPr>
      <w:r>
        <w:rPr>
          <w:rFonts w:ascii="標楷體" w:eastAsia="標楷體" w:hAnsi="標楷體"/>
          <w:color w:val="000000"/>
        </w:rPr>
        <w:t>9.82.Brigatinib (如Alunbrig)：(109/8/1、111/8/1、112/11/1、113/6/1)</w:t>
      </w:r>
    </w:p>
    <w:p w:rsidR="00B96EA0" w:rsidRDefault="007D66B8" w:rsidP="005142EB">
      <w:pPr>
        <w:pStyle w:val="a9"/>
        <w:numPr>
          <w:ilvl w:val="0"/>
          <w:numId w:val="10"/>
        </w:numPr>
        <w:suppressAutoHyphens w:val="0"/>
        <w:spacing w:line="400" w:lineRule="exact"/>
        <w:ind w:left="992" w:hanging="284"/>
        <w:textAlignment w:val="auto"/>
      </w:pPr>
      <w:r>
        <w:rPr>
          <w:rFonts w:ascii="標楷體" w:eastAsia="標楷體" w:hAnsi="標楷體"/>
        </w:rPr>
        <w:lastRenderedPageBreak/>
        <w:t>適用</w:t>
      </w:r>
      <w:r>
        <w:rPr>
          <w:rFonts w:ascii="標楷體" w:eastAsia="標楷體" w:hAnsi="標楷體"/>
          <w:color w:val="000000"/>
        </w:rPr>
        <w:t>於ALK陽性的晚期非小細胞肺癌第一線治療。（111/8/1、113/6/1)</w:t>
      </w:r>
    </w:p>
    <w:p w:rsidR="00B96EA0" w:rsidRDefault="007D66B8" w:rsidP="005142EB">
      <w:pPr>
        <w:pStyle w:val="a9"/>
        <w:numPr>
          <w:ilvl w:val="1"/>
          <w:numId w:val="3"/>
        </w:numPr>
        <w:suppressAutoHyphens w:val="0"/>
        <w:spacing w:line="400" w:lineRule="exact"/>
        <w:ind w:left="1308"/>
        <w:textAlignment w:val="auto"/>
      </w:pPr>
      <w:r>
        <w:rPr>
          <w:rFonts w:ascii="標楷體" w:eastAsia="標楷體" w:hAnsi="標楷體"/>
          <w:color w:val="000000"/>
        </w:rPr>
        <w:t>需經</w:t>
      </w:r>
      <w:r>
        <w:rPr>
          <w:rFonts w:ascii="標楷體" w:eastAsia="標楷體" w:hAnsi="標楷體"/>
        </w:rPr>
        <w:t>事前</w:t>
      </w:r>
      <w:r>
        <w:rPr>
          <w:rFonts w:ascii="標楷體" w:eastAsia="標楷體" w:hAnsi="標楷體"/>
          <w:color w:val="000000"/>
        </w:rPr>
        <w:t>審查核准後使用：</w:t>
      </w:r>
    </w:p>
    <w:p w:rsidR="00B96EA0" w:rsidRDefault="007D66B8" w:rsidP="005142EB">
      <w:pPr>
        <w:pStyle w:val="a9"/>
        <w:numPr>
          <w:ilvl w:val="2"/>
          <w:numId w:val="10"/>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w:t>
      </w:r>
    </w:p>
    <w:p w:rsidR="00B96EA0" w:rsidRDefault="007D66B8" w:rsidP="005142EB">
      <w:pPr>
        <w:pStyle w:val="a9"/>
        <w:numPr>
          <w:ilvl w:val="2"/>
          <w:numId w:val="10"/>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初次申請時需檢具確實患有非小細胞肺癌之病理或細胞檢查報告，及ALK突變檢測報告且需符合全民健康保險藥品給付規定之通則十二。</w:t>
      </w:r>
    </w:p>
    <w:p w:rsidR="00B96EA0" w:rsidRDefault="007D66B8" w:rsidP="005142EB">
      <w:pPr>
        <w:pStyle w:val="a9"/>
        <w:numPr>
          <w:ilvl w:val="2"/>
          <w:numId w:val="10"/>
        </w:numPr>
        <w:suppressAutoHyphens w:val="0"/>
        <w:spacing w:line="400" w:lineRule="exact"/>
        <w:ind w:left="1680" w:hanging="564"/>
        <w:textAlignment w:val="auto"/>
        <w:rPr>
          <w:rFonts w:ascii="標楷體" w:eastAsia="標楷體" w:hAnsi="標楷體"/>
          <w:color w:val="000000"/>
        </w:rPr>
      </w:pPr>
      <w:r>
        <w:rPr>
          <w:rFonts w:ascii="標楷體" w:eastAsia="標楷體" w:hAnsi="標楷體"/>
          <w:color w:val="000000"/>
        </w:rPr>
        <w:t>再次申請時並需附上治療後相關臨床資料，如給藥4週後，需追蹤胸部X光或電腦斷層等影像檢查評估療效，往後每4週做胸部X光檢查，每3個月需追蹤其作為評估藥效的影像（如胸部X光或電腦斷層），若病情惡化即不得再次申請。(112/11/1)</w:t>
      </w:r>
    </w:p>
    <w:p w:rsidR="00B96EA0" w:rsidRDefault="007D66B8" w:rsidP="005142EB">
      <w:pPr>
        <w:pStyle w:val="a9"/>
        <w:numPr>
          <w:ilvl w:val="1"/>
          <w:numId w:val="3"/>
        </w:numPr>
        <w:suppressAutoHyphens w:val="0"/>
        <w:spacing w:line="400" w:lineRule="exact"/>
        <w:ind w:left="1308"/>
        <w:textAlignment w:val="auto"/>
        <w:rPr>
          <w:rFonts w:ascii="標楷體" w:eastAsia="標楷體" w:hAnsi="標楷體"/>
          <w:color w:val="000000"/>
        </w:rPr>
      </w:pPr>
      <w:r>
        <w:rPr>
          <w:rFonts w:ascii="標楷體" w:eastAsia="標楷體" w:hAnsi="標楷體"/>
          <w:color w:val="000000"/>
        </w:rPr>
        <w:t>Brigatinib與alectinib、ceritinib、crizotinib、lorlatinib用於ALK陽性之晚期非小細胞肺癌第一線治療時，僅得擇一使用，除因病人使用後，發生嚴重不良反應或耐受不良之情形外，不得互換。(112/11/1)</w:t>
      </w:r>
    </w:p>
    <w:p w:rsidR="00B96EA0" w:rsidRDefault="007D66B8" w:rsidP="005142EB">
      <w:pPr>
        <w:pStyle w:val="a9"/>
        <w:numPr>
          <w:ilvl w:val="0"/>
          <w:numId w:val="10"/>
        </w:numPr>
        <w:suppressAutoHyphens w:val="0"/>
        <w:spacing w:line="400" w:lineRule="exact"/>
        <w:ind w:left="992" w:hanging="284"/>
        <w:textAlignment w:val="auto"/>
        <w:rPr>
          <w:rFonts w:ascii="標楷體" w:eastAsia="標楷體" w:hAnsi="標楷體"/>
          <w:color w:val="000000"/>
        </w:rPr>
      </w:pPr>
      <w:r>
        <w:rPr>
          <w:rFonts w:ascii="標楷體" w:eastAsia="標楷體" w:hAnsi="標楷體"/>
          <w:color w:val="000000"/>
        </w:rPr>
        <w:t>適用於在crizotinib治療中惡化之ALK陽性的晚期非小細胞肺癌患者。</w:t>
      </w:r>
    </w:p>
    <w:p w:rsidR="00B96EA0" w:rsidRDefault="007D66B8" w:rsidP="005142EB">
      <w:pPr>
        <w:pStyle w:val="a9"/>
        <w:numPr>
          <w:ilvl w:val="0"/>
          <w:numId w:val="11"/>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需經事前審查核准後使用。</w:t>
      </w:r>
    </w:p>
    <w:p w:rsidR="00B96EA0" w:rsidRDefault="007D66B8" w:rsidP="005142EB">
      <w:pPr>
        <w:pStyle w:val="a9"/>
        <w:numPr>
          <w:ilvl w:val="0"/>
          <w:numId w:val="11"/>
        </w:numPr>
        <w:suppressAutoHyphens w:val="0"/>
        <w:spacing w:line="400" w:lineRule="exact"/>
        <w:ind w:left="1305" w:hanging="357"/>
        <w:textAlignment w:val="auto"/>
        <w:rPr>
          <w:rFonts w:ascii="標楷體" w:eastAsia="標楷體" w:hAnsi="標楷體"/>
          <w:color w:val="000000"/>
        </w:rPr>
      </w:pPr>
      <w:r>
        <w:rPr>
          <w:rFonts w:ascii="標楷體" w:eastAsia="標楷體" w:hAnsi="標楷體"/>
          <w:color w:val="000000"/>
        </w:rPr>
        <w:t>每次申請事前審查之療程以3個月為限，每3個月需再次申請，再次申請時並需附上治療後相關臨床資料，若病情惡化即不得再次申請。</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3.每日最大劑量限180mg。(111/8/1)。</w:t>
      </w:r>
    </w:p>
    <w:p w:rsidR="00B96EA0" w:rsidRDefault="007D66B8" w:rsidP="005142EB">
      <w:pPr>
        <w:spacing w:line="400" w:lineRule="exact"/>
        <w:ind w:left="283"/>
        <w:rPr>
          <w:rFonts w:ascii="標楷體" w:eastAsia="標楷體" w:hAnsi="標楷體"/>
        </w:rPr>
      </w:pPr>
      <w:r>
        <w:rPr>
          <w:rFonts w:ascii="標楷體" w:eastAsia="標楷體" w:hAnsi="標楷體"/>
        </w:rPr>
        <w:t>9.83.Dacomitinib (如Vizimpro)：(109/10/1、111/9/1、113/6/1)</w:t>
      </w:r>
    </w:p>
    <w:p w:rsidR="00B96EA0" w:rsidRDefault="007D66B8" w:rsidP="005142EB">
      <w:pPr>
        <w:spacing w:line="400" w:lineRule="exact"/>
        <w:ind w:left="991" w:hanging="283"/>
        <w:rPr>
          <w:rFonts w:ascii="標楷體" w:eastAsia="標楷體" w:hAnsi="標楷體"/>
          <w:color w:val="000000"/>
        </w:rPr>
      </w:pPr>
      <w:r>
        <w:rPr>
          <w:rFonts w:ascii="標楷體" w:eastAsia="標楷體" w:hAnsi="標楷體"/>
          <w:color w:val="000000"/>
        </w:rPr>
        <w:t>1.限單獨使用具有EGFR-TK Exon 19 Del或Exon 21 L858R點突變，且無腦轉移 (non-CNS)之局部侵犯性或轉移性(即第ⅢB、ⅢC或第Ⅳ期)之肺腺癌病患之第一線治療，需檢附EGFR基因檢測結果報告，且需符合全民健康保險藥品給付規定之通則十二。</w:t>
      </w:r>
    </w:p>
    <w:p w:rsidR="00B96EA0" w:rsidRDefault="007D66B8" w:rsidP="005142EB">
      <w:pPr>
        <w:spacing w:line="400" w:lineRule="exact"/>
        <w:ind w:left="566" w:firstLine="120"/>
        <w:rPr>
          <w:rFonts w:ascii="標楷體" w:eastAsia="標楷體" w:hAnsi="標楷體"/>
          <w:color w:val="000000"/>
        </w:rPr>
      </w:pPr>
      <w:r>
        <w:rPr>
          <w:rFonts w:ascii="標楷體" w:eastAsia="標楷體" w:hAnsi="標楷體"/>
          <w:color w:val="000000"/>
        </w:rPr>
        <w:t>2.使用注意事項</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(1)病歷應留存確實患有肺腺癌之病理或細胞檢查報告，及EGFR-TK基因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突變檢測報告。</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(2)每次處方以4週為限，再次處方時需於病歷記錄治療後相關臨床資 </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料，如每4週需追蹤胸部X光或電腦斷層等影像檢查，每8至12週需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進行完整療效評估（如胸部X光或電腦斷層）。</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(3)本藥品與gefitinib、erlotinib及afatinib，僅得擇一使用，除因</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耐受性不良，不得互換。如需更換使用本藥品，必須符合本藥品第一</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線使用於具有EGFR-TK Exon 19 Del或Exon 21 L858R點突變，且無</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腦轉移(non-CNS)之局部侵犯性或轉移性(即第ⅢB、ⅢC或第Ⅳ期)肺</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腺癌之限制。(111/9/1)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 xml:space="preserve">     (4)每日限用1粒。</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9.84.Copanlisib (如Aliqopa）(刪除)：(109/11/1、113/6/1)</w:t>
      </w:r>
    </w:p>
    <w:p w:rsidR="007455F6" w:rsidRPr="00EA15AB" w:rsidRDefault="007455F6" w:rsidP="007455F6">
      <w:pPr>
        <w:spacing w:line="400" w:lineRule="exact"/>
        <w:ind w:left="849" w:hanging="566"/>
        <w:rPr>
          <w:rFonts w:ascii="標楷體" w:eastAsia="標楷體" w:hAnsi="標楷體"/>
        </w:rPr>
      </w:pPr>
      <w:bookmarkStart w:id="33" w:name="_Hlk209192735"/>
      <w:r w:rsidRPr="00EA15AB">
        <w:rPr>
          <w:rFonts w:ascii="標楷體" w:eastAsia="標楷體" w:hAnsi="標楷體"/>
          <w:color w:val="000000"/>
          <w:szCs w:val="24"/>
        </w:rPr>
        <w:t>9.85.PARP抑制劑(如olaparib、niraparib、talazoparib)：(109/11/1、111/6/1、</w:t>
      </w:r>
      <w:r w:rsidRPr="00EA15AB">
        <w:rPr>
          <w:rFonts w:ascii="標楷體" w:eastAsia="標楷體" w:hAnsi="標楷體"/>
          <w:color w:val="000000"/>
          <w:szCs w:val="24"/>
        </w:rPr>
        <w:lastRenderedPageBreak/>
        <w:t>111/8/1、112/1/1、112/11/1、113/3/1、113/6/1、113/9/1、114/3/1、114/6/1、114/8/1</w:t>
      </w:r>
      <w:r w:rsidRPr="007F32D4">
        <w:rPr>
          <w:rFonts w:ascii="標楷體" w:eastAsia="標楷體" w:hAnsi="標楷體"/>
          <w:color w:val="000000"/>
          <w:szCs w:val="24"/>
        </w:rPr>
        <w:t>、114/10/1</w:t>
      </w:r>
      <w:r w:rsidRPr="00EA15AB">
        <w:rPr>
          <w:rFonts w:ascii="標楷體" w:eastAsia="標楷體" w:hAnsi="標楷體"/>
          <w:color w:val="00000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1.卵巢、輸卵管或原發性腹膜癌(olaparib、niraparib)：(109/11/1、 111/6/1、111/8/1、112</w:t>
      </w:r>
      <w:r w:rsidRPr="00EA15AB">
        <w:rPr>
          <w:rFonts w:ascii="標楷體" w:eastAsia="標楷體" w:hAnsi="標楷體" w:cs="BiauKai"/>
          <w:color w:val="000000"/>
          <w:szCs w:val="24"/>
        </w:rPr>
        <w:t>/1/1</w:t>
      </w:r>
      <w:r w:rsidRPr="00EA15AB">
        <w:rPr>
          <w:rFonts w:ascii="標楷體" w:eastAsia="標楷體" w:hAnsi="標楷體"/>
          <w:color w:val="000000"/>
        </w:rPr>
        <w:t>、113/3/1、113/6/1、113/9/1、114/3/1、114/6/1</w:t>
      </w:r>
      <w:r w:rsidRPr="00EA15AB">
        <w:rPr>
          <w:rFonts w:ascii="標楷體" w:eastAsia="標楷體" w:hAnsi="標楷體"/>
          <w:color w:val="000000"/>
          <w:szCs w:val="24"/>
        </w:rPr>
        <w:t>、114/8/1)</w:t>
      </w:r>
    </w:p>
    <w:p w:rsidR="007455F6" w:rsidRPr="00EA15AB" w:rsidRDefault="007455F6" w:rsidP="007455F6">
      <w:pPr>
        <w:spacing w:line="400" w:lineRule="exact"/>
        <w:ind w:left="709"/>
        <w:rPr>
          <w:rFonts w:ascii="標楷體" w:eastAsia="標楷體" w:hAnsi="標楷體"/>
          <w:color w:val="000000"/>
        </w:rPr>
      </w:pPr>
      <w:r w:rsidRPr="00EA15AB">
        <w:rPr>
          <w:rFonts w:ascii="標楷體" w:eastAsia="標楷體" w:hAnsi="標楷體"/>
          <w:color w:val="000000"/>
        </w:rPr>
        <w:t xml:space="preserve"> (1)單獨使用olaparib於具下列所有條件的病人做為維持治療，限用兩年：</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Ⅱ.具germline or somatic BRCA 1/2致病性或疑似致病性突變。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(109/11/1、111/8/1)</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Ⅲ.FIGO (International Federation of Gynecology and Obstetrics)  </w:t>
      </w:r>
    </w:p>
    <w:p w:rsidR="007455F6" w:rsidRPr="00EA15AB" w:rsidRDefault="007455F6" w:rsidP="007455F6">
      <w:pPr>
        <w:spacing w:line="400" w:lineRule="exact"/>
        <w:ind w:left="1176"/>
        <w:rPr>
          <w:rFonts w:ascii="標楷體" w:eastAsia="標楷體" w:hAnsi="標楷體"/>
          <w:color w:val="000000"/>
        </w:rPr>
      </w:pPr>
      <w:r w:rsidRPr="00EA15AB">
        <w:rPr>
          <w:rFonts w:ascii="標楷體" w:eastAsia="標楷體" w:hAnsi="標楷體"/>
          <w:color w:val="000000"/>
        </w:rPr>
        <w:t xml:space="preserve">   Stage III or IV disease。</w:t>
      </w:r>
    </w:p>
    <w:p w:rsidR="007455F6" w:rsidRPr="00EA15AB"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(2)單獨使用niraparib於具下列所有條件的病人做為維持治療，限用兩年：</w:t>
      </w:r>
    </w:p>
    <w:p w:rsidR="007455F6" w:rsidRPr="00EA15AB" w:rsidRDefault="007455F6" w:rsidP="007455F6">
      <w:pPr>
        <w:tabs>
          <w:tab w:val="left" w:pos="5245"/>
        </w:tabs>
        <w:spacing w:line="400" w:lineRule="exact"/>
        <w:ind w:left="1276" w:firstLineChars="59" w:firstLine="142"/>
        <w:rPr>
          <w:rFonts w:ascii="標楷體" w:eastAsia="標楷體" w:hAnsi="標楷體"/>
          <w:color w:val="000000"/>
        </w:rPr>
      </w:pPr>
      <w:r w:rsidRPr="00EA15AB">
        <w:rPr>
          <w:rFonts w:ascii="標楷體" w:eastAsia="標楷體" w:hAnsi="標楷體"/>
          <w:color w:val="000000"/>
        </w:rPr>
        <w:t>I.對第一線含鉑化療有治療反應後使用。</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Ⅱ.檢測結果符合下列任一情形之病人：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i.具germline or somatic BRCA 1/2 致病性或疑似致病性突變病人。</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ii.具同源重組缺陷(Homologous Recombination Deficient, HRD)陽性且BRCA wild type之高度惡性病人。</w:t>
      </w:r>
    </w:p>
    <w:p w:rsidR="007455F6" w:rsidRPr="00EA15AB" w:rsidRDefault="007455F6" w:rsidP="007455F6">
      <w:pPr>
        <w:tabs>
          <w:tab w:val="left" w:pos="5245"/>
        </w:tabs>
        <w:spacing w:line="400" w:lineRule="exact"/>
        <w:ind w:left="1701" w:hanging="425"/>
        <w:rPr>
          <w:rFonts w:ascii="標楷體" w:eastAsia="標楷體" w:hAnsi="標楷體"/>
          <w:color w:val="000000"/>
        </w:rPr>
      </w:pPr>
      <w:r w:rsidRPr="00EA15AB">
        <w:rPr>
          <w:rFonts w:ascii="標楷體" w:eastAsia="標楷體" w:hAnsi="標楷體"/>
          <w:color w:val="000000"/>
        </w:rPr>
        <w:t>Ⅲ.FIGO (International Federation of Gynecology and Obstetrics) Stage III or IV disease。</w:t>
      </w:r>
    </w:p>
    <w:p w:rsidR="007455F6" w:rsidRDefault="007455F6" w:rsidP="007455F6">
      <w:pPr>
        <w:spacing w:line="400" w:lineRule="exact"/>
        <w:ind w:left="851"/>
        <w:rPr>
          <w:rFonts w:ascii="標楷體" w:eastAsia="標楷體" w:hAnsi="標楷體"/>
          <w:color w:val="000000"/>
        </w:rPr>
      </w:pPr>
      <w:r w:rsidRPr="00EA15AB">
        <w:rPr>
          <w:rFonts w:ascii="標楷體" w:eastAsia="標楷體" w:hAnsi="標楷體"/>
          <w:color w:val="000000"/>
        </w:rPr>
        <w:t>(3)限olaparib併用 bevacizumab(限使用Alymsys、Abevmy、Vegzelma或</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Mvasi)，使用於具下列所有條件的成年病人做為維持治療，限用兩年：(114/6/1</w:t>
      </w:r>
      <w:r w:rsidRPr="00EA15AB">
        <w:rPr>
          <w:rFonts w:ascii="標楷體" w:eastAsia="標楷體" w:hAnsi="標楷體" w:hint="eastAsia"/>
          <w:color w:val="000000"/>
        </w:rPr>
        <w:t>、114/8/1</w:t>
      </w:r>
      <w:r w:rsidRPr="00EA15AB">
        <w:rPr>
          <w:rFonts w:ascii="標楷體" w:eastAsia="標楷體" w:hAnsi="標楷體"/>
          <w:color w:val="000000"/>
        </w:rPr>
        <w:t>)：</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I.對第一線含鉑化療合併bevacizumab有反應(完全反應或部分反應)。</w:t>
      </w:r>
    </w:p>
    <w:p w:rsidR="007455F6" w:rsidRPr="00EA15AB" w:rsidRDefault="007455F6" w:rsidP="007455F6">
      <w:pPr>
        <w:tabs>
          <w:tab w:val="left" w:pos="5245"/>
        </w:tabs>
        <w:spacing w:line="400" w:lineRule="exact"/>
        <w:ind w:left="1560" w:hanging="425"/>
        <w:rPr>
          <w:rFonts w:ascii="標楷體" w:eastAsia="標楷體" w:hAnsi="標楷體"/>
          <w:color w:val="000000"/>
        </w:rPr>
      </w:pPr>
      <w:r w:rsidRPr="00EA15AB">
        <w:rPr>
          <w:rFonts w:ascii="標楷體" w:eastAsia="標楷體" w:hAnsi="標楷體"/>
          <w:color w:val="000000"/>
        </w:rPr>
        <w:t>Ⅱ.其癌症帶有下列任一定義的DNA同源修復系統缺失 (homologous recombination deficiency, HRD)：</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i.致病性或疑似致病性BRCA突變。</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ii.基因體不穩定(genomic instability)。</w:t>
      </w:r>
    </w:p>
    <w:p w:rsidR="007455F6" w:rsidRPr="00EA15AB" w:rsidRDefault="007455F6" w:rsidP="007455F6">
      <w:pPr>
        <w:spacing w:line="400" w:lineRule="exact"/>
        <w:ind w:left="1276"/>
        <w:rPr>
          <w:rFonts w:ascii="標楷體" w:eastAsia="標楷體" w:hAnsi="標楷體"/>
          <w:color w:val="000000"/>
        </w:rPr>
      </w:pPr>
      <w:r w:rsidRPr="00EA15AB">
        <w:rPr>
          <w:rFonts w:ascii="標楷體" w:eastAsia="標楷體" w:hAnsi="標楷體"/>
          <w:color w:val="000000"/>
        </w:rPr>
        <w:t>(4)須經事前審查核准後使用：(109/11/1、111/6/1、111/8/1、113/6/1、114/6/1)</w:t>
      </w:r>
    </w:p>
    <w:p w:rsidR="007455F6" w:rsidRPr="00EA15AB" w:rsidRDefault="007455F6" w:rsidP="007455F6">
      <w:pPr>
        <w:tabs>
          <w:tab w:val="left" w:pos="5245"/>
        </w:tabs>
        <w:spacing w:line="400" w:lineRule="exact"/>
        <w:ind w:left="1276"/>
        <w:rPr>
          <w:rFonts w:ascii="標楷體" w:eastAsia="標楷體" w:hAnsi="標楷體"/>
          <w:color w:val="000000"/>
        </w:rPr>
      </w:pPr>
      <w:r w:rsidRPr="00EA15AB">
        <w:rPr>
          <w:rFonts w:ascii="標楷體" w:eastAsia="標楷體" w:hAnsi="標楷體"/>
          <w:color w:val="000000"/>
        </w:rPr>
        <w:t>I.每次申請之療程以6個月為限。</w:t>
      </w:r>
    </w:p>
    <w:p w:rsidR="007455F6" w:rsidRPr="00EA15AB" w:rsidRDefault="007455F6" w:rsidP="007455F6">
      <w:pPr>
        <w:spacing w:line="400" w:lineRule="exact"/>
        <w:ind w:left="1560" w:hanging="362"/>
        <w:rPr>
          <w:rFonts w:ascii="標楷體" w:eastAsia="標楷體" w:hAnsi="標楷體"/>
          <w:color w:val="000000"/>
        </w:rPr>
      </w:pPr>
      <w:r w:rsidRPr="00EA15AB">
        <w:rPr>
          <w:rFonts w:ascii="標楷體" w:eastAsia="標楷體" w:hAnsi="標楷體"/>
          <w:color w:val="000000"/>
        </w:rPr>
        <w:t>Ⅱ.初次申請時需檢附germline or somatic BRCA 1/2突變檢測報告或HRD陽性檢測報告，且需符合全民健康保險藥品給付規定之通則十二。 (111/6/1、111/8/1、113/6/1、114/6/1)</w:t>
      </w:r>
    </w:p>
    <w:p w:rsidR="007455F6" w:rsidRPr="00EA15AB" w:rsidRDefault="007455F6" w:rsidP="007455F6">
      <w:pPr>
        <w:spacing w:line="400" w:lineRule="exact"/>
        <w:ind w:left="1134"/>
        <w:rPr>
          <w:rFonts w:ascii="標楷體" w:eastAsia="標楷體" w:hAnsi="標楷體"/>
          <w:color w:val="000000"/>
        </w:rPr>
      </w:pPr>
      <w:r w:rsidRPr="00EA15AB">
        <w:rPr>
          <w:rFonts w:ascii="標楷體" w:eastAsia="標楷體" w:hAnsi="標楷體"/>
          <w:color w:val="000000"/>
        </w:rPr>
        <w:t>Ⅲ.再次申請必須提出客觀證據（如：影像學）證實無惡化，才可繼續使用。</w:t>
      </w:r>
    </w:p>
    <w:p w:rsidR="007455F6" w:rsidRPr="00EA15AB" w:rsidRDefault="007455F6" w:rsidP="007455F6">
      <w:pPr>
        <w:spacing w:line="400" w:lineRule="exact"/>
        <w:ind w:left="1276"/>
        <w:rPr>
          <w:rFonts w:ascii="標楷體" w:eastAsia="標楷體" w:hAnsi="標楷體"/>
        </w:rPr>
      </w:pPr>
      <w:r w:rsidRPr="00EA15AB">
        <w:rPr>
          <w:rFonts w:ascii="標楷體" w:eastAsia="標楷體" w:hAnsi="標楷體"/>
          <w:color w:val="000000"/>
          <w:szCs w:val="24"/>
        </w:rPr>
        <w:t>(5)用於具germline or somatic BRCA 1/2 致病性或疑似致病性突變時，olaparib與niraparib僅能擇一使用，除因耐受不良，不得互換。(112/1/1、114/6/1)</w:t>
      </w:r>
    </w:p>
    <w:p w:rsidR="007455F6" w:rsidRPr="00EA15AB" w:rsidRDefault="007455F6" w:rsidP="007455F6">
      <w:pPr>
        <w:spacing w:line="400" w:lineRule="exact"/>
        <w:ind w:left="1344" w:hanging="480"/>
        <w:rPr>
          <w:rFonts w:ascii="標楷體" w:eastAsia="標楷體" w:hAnsi="標楷體"/>
        </w:rPr>
      </w:pPr>
      <w:r w:rsidRPr="00EA15AB">
        <w:rPr>
          <w:rFonts w:ascii="標楷體" w:eastAsia="標楷體" w:hAnsi="標楷體"/>
          <w:color w:val="000000"/>
          <w:szCs w:val="24"/>
        </w:rPr>
        <w:lastRenderedPageBreak/>
        <w:t xml:space="preserve"> (6)倘因併用bevacizumab耐受性不良，在維持性治療可再換成olaparib單獨使用，總療程數合併計算，限用兩年。(114/6/1)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(7)</w:t>
      </w:r>
      <w:r w:rsidRPr="00EA15AB">
        <w:rPr>
          <w:rFonts w:ascii="標楷體" w:eastAsia="標楷體" w:hAnsi="標楷體"/>
        </w:rPr>
        <w:t xml:space="preserve"> </w:t>
      </w:r>
      <w:r w:rsidRPr="00EA15AB">
        <w:rPr>
          <w:rFonts w:ascii="標楷體" w:eastAsia="標楷體" w:hAnsi="標楷體"/>
          <w:kern w:val="0"/>
          <w:szCs w:val="24"/>
        </w:rPr>
        <w:t>niraparib使用時，體重大於(含)77公斤且基期血小板高於(含)15萬/uL，每日最多使用300mg；體重小於77公斤或基期血小板低於15萬/uL，每日最多使用200mg。(112/1/1)</w:t>
      </w:r>
    </w:p>
    <w:p w:rsidR="007455F6" w:rsidRPr="00EA15AB" w:rsidRDefault="007455F6" w:rsidP="007455F6">
      <w:pPr>
        <w:spacing w:line="400" w:lineRule="exact"/>
        <w:ind w:left="1289" w:hanging="341"/>
        <w:rPr>
          <w:rFonts w:ascii="標楷體" w:eastAsia="標楷體" w:hAnsi="標楷體"/>
        </w:rPr>
      </w:pPr>
      <w:r w:rsidRPr="00EA15AB">
        <w:rPr>
          <w:rFonts w:ascii="標楷體" w:eastAsia="標楷體" w:hAnsi="標楷體"/>
          <w:kern w:val="0"/>
          <w:szCs w:val="24"/>
        </w:rPr>
        <w:t>(8)FIGO Stage IV disease具germline or somatic BRCA 1/2致病性或疑似致病性突變者，若已經申請niraparib用於第一線化學治療後維持性治療時不得另外申請bevacizumab併用，除因niraparib耐受性不良，在維持性治療可再換成bevacizumab(除Zirabev以外)單獨使用，總申請療程以17個療程為上限。(113/3/1、113/9/1、114/3/1、114/6/1</w:t>
      </w:r>
      <w:r w:rsidRPr="007F32D4">
        <w:rPr>
          <w:rFonts w:ascii="標楷體" w:eastAsia="標楷體" w:hAnsi="標楷體"/>
          <w:kern w:val="0"/>
          <w:szCs w:val="24"/>
        </w:rPr>
        <w:t>、114/10/1</w:t>
      </w:r>
      <w:r w:rsidRPr="00EA15AB">
        <w:rPr>
          <w:rFonts w:ascii="標楷體" w:eastAsia="標楷體" w:hAnsi="標楷體"/>
          <w:kern w:val="0"/>
          <w:szCs w:val="24"/>
        </w:rPr>
        <w:t>)</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color w:val="000000"/>
          <w:szCs w:val="24"/>
        </w:rPr>
        <w:t>2.三陰性乳癌(olaparib、talazoparib)：(109/11/1、111/6/1、111/8/1、112</w:t>
      </w:r>
      <w:r w:rsidRPr="00EA15AB">
        <w:rPr>
          <w:rFonts w:ascii="標楷體" w:eastAsia="標楷體" w:hAnsi="標楷體" w:cs="BiauKai"/>
          <w:color w:val="000000"/>
          <w:szCs w:val="24"/>
        </w:rPr>
        <w:t>/1/1、113/6/1</w:t>
      </w:r>
      <w:r w:rsidRPr="00EA15AB">
        <w:rPr>
          <w:rFonts w:ascii="標楷體" w:eastAsia="標楷體" w:hAnsi="標楷體"/>
          <w:color w:val="000000"/>
          <w:szCs w:val="24"/>
        </w:rPr>
        <w:t>)</w:t>
      </w:r>
    </w:p>
    <w:p w:rsidR="007455F6" w:rsidRPr="00EA15AB" w:rsidRDefault="007455F6" w:rsidP="007455F6">
      <w:pPr>
        <w:spacing w:line="400" w:lineRule="exact"/>
        <w:ind w:left="1517" w:hanging="480"/>
        <w:rPr>
          <w:rFonts w:ascii="標楷體" w:eastAsia="標楷體" w:hAnsi="標楷體"/>
        </w:rPr>
      </w:pPr>
      <w:r w:rsidRPr="00EA15AB">
        <w:rPr>
          <w:rFonts w:ascii="標楷體" w:eastAsia="標楷體" w:hAnsi="標楷體"/>
          <w:color w:val="000000"/>
          <w:szCs w:val="24"/>
        </w:rPr>
        <w:t>(1)olaparib單獨使用於曾接受前導性、術後輔助性或轉移性化療，且具germline BRCA 1/2致病性或疑似致病性突變之三陰性(荷爾蒙接受體及 HER2受體皆為陰性)轉移性乳癌病人。(109/11/1、111/8/1、112/1/1)</w:t>
      </w:r>
    </w:p>
    <w:p w:rsidR="007455F6" w:rsidRPr="00EA15AB" w:rsidRDefault="007455F6" w:rsidP="007455F6">
      <w:pPr>
        <w:tabs>
          <w:tab w:val="left" w:pos="1418"/>
        </w:tabs>
        <w:spacing w:line="400" w:lineRule="exact"/>
        <w:ind w:left="1515" w:hanging="425"/>
        <w:rPr>
          <w:rFonts w:ascii="標楷體" w:eastAsia="標楷體" w:hAnsi="標楷體"/>
        </w:rPr>
      </w:pPr>
      <w:r w:rsidRPr="00EA15AB">
        <w:rPr>
          <w:rFonts w:ascii="標楷體" w:eastAsia="標楷體" w:hAnsi="標楷體"/>
          <w:color w:val="000000"/>
        </w:rPr>
        <w:t>(2)</w:t>
      </w:r>
      <w:r w:rsidRPr="00EA15AB">
        <w:rPr>
          <w:rFonts w:ascii="標楷體" w:eastAsia="標楷體" w:hAnsi="標楷體"/>
          <w:color w:val="000000"/>
          <w:szCs w:val="24"/>
        </w:rPr>
        <w:t>talazoparib</w:t>
      </w:r>
      <w:r w:rsidRPr="00EA15AB">
        <w:rPr>
          <w:rFonts w:ascii="標楷體" w:eastAsia="標楷體" w:hAnsi="標楷體" w:cs="BiauKai"/>
          <w:color w:val="000000"/>
          <w:szCs w:val="24"/>
        </w:rPr>
        <w:t>限用於治療同時符合下列條件之18歲以上局部晚期或轉移性乳癌病患：(110/3/1、111/8/1</w:t>
      </w:r>
      <w:r w:rsidRPr="00EA15AB">
        <w:rPr>
          <w:rFonts w:ascii="標楷體" w:eastAsia="標楷體" w:hAnsi="標楷體"/>
          <w:color w:val="000000"/>
          <w:szCs w:val="24"/>
        </w:rPr>
        <w:t>、112</w:t>
      </w:r>
      <w:r w:rsidRPr="00EA15AB">
        <w:rPr>
          <w:rFonts w:ascii="標楷體" w:eastAsia="標楷體" w:hAnsi="標楷體" w:cs="BiauKai"/>
          <w:color w:val="000000"/>
          <w:szCs w:val="24"/>
        </w:rPr>
        <w:t>/1/1)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I.</w:t>
      </w:r>
      <w:r w:rsidRPr="00EA15AB">
        <w:rPr>
          <w:rFonts w:ascii="標楷體" w:eastAsia="標楷體" w:hAnsi="標楷體" w:cs="BiauKai"/>
          <w:color w:val="000000"/>
          <w:szCs w:val="24"/>
        </w:rPr>
        <w:t>曾接受前導性、術後輔助性或轉移性化療者，或是無法接受化療者。</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Ⅱ.</w:t>
      </w:r>
      <w:r w:rsidRPr="00EA15AB">
        <w:rPr>
          <w:rFonts w:ascii="標楷體" w:eastAsia="標楷體" w:hAnsi="標楷體" w:cs="BiauKai"/>
          <w:color w:val="000000"/>
          <w:szCs w:val="24"/>
        </w:rPr>
        <w:t>具germline BRCA 1/2突變(110/3/1、111/8/1)</w:t>
      </w:r>
    </w:p>
    <w:p w:rsidR="007455F6" w:rsidRPr="00EA15AB" w:rsidRDefault="007455F6" w:rsidP="007455F6">
      <w:pPr>
        <w:spacing w:line="400" w:lineRule="exact"/>
        <w:ind w:left="1711" w:hanging="240"/>
        <w:rPr>
          <w:rFonts w:ascii="標楷體" w:eastAsia="標楷體" w:hAnsi="標楷體"/>
        </w:rPr>
      </w:pPr>
      <w:r w:rsidRPr="00EA15AB">
        <w:rPr>
          <w:rFonts w:ascii="標楷體" w:eastAsia="標楷體" w:hAnsi="標楷體"/>
          <w:color w:val="000000"/>
          <w:szCs w:val="24"/>
        </w:rPr>
        <w:t>Ⅲ.</w:t>
      </w:r>
      <w:r w:rsidRPr="00EA15AB">
        <w:rPr>
          <w:rFonts w:ascii="標楷體" w:eastAsia="標楷體" w:hAnsi="標楷體" w:cs="BiauKai"/>
          <w:color w:val="000000"/>
          <w:szCs w:val="24"/>
        </w:rPr>
        <w:t>第二型人類表皮生長因子接受體(HER2)、雌激素受體(ER)以及黃體素受體(PR)均呈現陰性。</w:t>
      </w:r>
    </w:p>
    <w:p w:rsidR="007455F6" w:rsidRPr="00EA15AB" w:rsidRDefault="007455F6" w:rsidP="007455F6">
      <w:pPr>
        <w:spacing w:line="400" w:lineRule="exact"/>
        <w:ind w:left="948"/>
        <w:rPr>
          <w:rFonts w:ascii="標楷體" w:eastAsia="標楷體" w:hAnsi="標楷體"/>
        </w:rPr>
      </w:pPr>
      <w:r w:rsidRPr="00EA15AB">
        <w:rPr>
          <w:rFonts w:ascii="標楷體" w:eastAsia="標楷體" w:hAnsi="標楷體"/>
          <w:color w:val="000000"/>
          <w:szCs w:val="24"/>
        </w:rPr>
        <w:t xml:space="preserve"> (3)須經事前審查核准後使用：(109/11/1、111/6/1、111/8/1、</w:t>
      </w:r>
      <w:r w:rsidRPr="00EA15AB">
        <w:rPr>
          <w:rFonts w:ascii="標楷體" w:eastAsia="標楷體" w:hAnsi="標楷體" w:cs="BiauKai"/>
          <w:color w:val="000000"/>
          <w:szCs w:val="24"/>
        </w:rPr>
        <w:t>112/1/1、113/6/1</w:t>
      </w:r>
      <w:r w:rsidRPr="00EA15AB">
        <w:rPr>
          <w:rFonts w:ascii="標楷體" w:eastAsia="標楷體" w:hAnsi="標楷體"/>
          <w:color w:val="000000"/>
          <w:szCs w:val="24"/>
        </w:rPr>
        <w:t>)</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I.每次申請之療程以3個月為限。</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Ⅱ.初次申請時需檢附ER、PR、HER2皆為陰性之檢測報告，以及germline BRCA 1/2突變之檢測報告，且需符合全民健康保險藥品給付規定之通則十二。 (111/6/1、111/8/1、113/6/1)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 xml:space="preserve">Ⅲ.再次申請必須提出客觀證據（如：影像學）證實無惡化，才可繼續使  </w:t>
      </w:r>
    </w:p>
    <w:p w:rsidR="007455F6" w:rsidRPr="00EA15AB" w:rsidRDefault="007455F6" w:rsidP="007455F6">
      <w:pPr>
        <w:spacing w:line="400" w:lineRule="exact"/>
        <w:ind w:left="1517" w:hanging="360"/>
        <w:rPr>
          <w:rFonts w:ascii="標楷體" w:eastAsia="標楷體" w:hAnsi="標楷體"/>
          <w:color w:val="000000"/>
          <w:szCs w:val="24"/>
        </w:rPr>
      </w:pPr>
      <w:r w:rsidRPr="00EA15AB">
        <w:rPr>
          <w:rFonts w:ascii="標楷體" w:eastAsia="標楷體" w:hAnsi="標楷體"/>
          <w:color w:val="000000"/>
          <w:szCs w:val="24"/>
        </w:rPr>
        <w:t xml:space="preserve">    用。</w:t>
      </w:r>
    </w:p>
    <w:p w:rsidR="007455F6" w:rsidRPr="00EA15AB" w:rsidRDefault="007455F6" w:rsidP="007455F6">
      <w:pPr>
        <w:spacing w:line="400" w:lineRule="exact"/>
        <w:ind w:left="1373" w:hanging="281"/>
        <w:rPr>
          <w:rFonts w:ascii="標楷體" w:eastAsia="標楷體" w:hAnsi="標楷體"/>
        </w:rPr>
      </w:pPr>
      <w:r w:rsidRPr="00EA15AB">
        <w:rPr>
          <w:rFonts w:ascii="標楷體" w:eastAsia="標楷體" w:hAnsi="標楷體"/>
          <w:color w:val="000000"/>
          <w:szCs w:val="24"/>
        </w:rPr>
        <w:t>(4)</w:t>
      </w:r>
      <w:r w:rsidRPr="00EA15AB">
        <w:rPr>
          <w:rFonts w:ascii="標楷體" w:eastAsia="標楷體" w:hAnsi="標楷體" w:cs="BiauKai"/>
          <w:color w:val="000000"/>
          <w:szCs w:val="24"/>
        </w:rPr>
        <w:t>Olaparib與talazoparib僅得擇一使用，除因耐受性不良，不得互換。（111/8/1</w:t>
      </w:r>
      <w:r w:rsidRPr="00EA15AB">
        <w:rPr>
          <w:rFonts w:ascii="標楷體" w:eastAsia="標楷體" w:hAnsi="標楷體"/>
          <w:color w:val="000000"/>
          <w:szCs w:val="24"/>
        </w:rPr>
        <w:t>、</w:t>
      </w:r>
      <w:r w:rsidRPr="00EA15AB">
        <w:rPr>
          <w:rFonts w:ascii="標楷體" w:eastAsia="標楷體" w:hAnsi="標楷體" w:cs="BiauKai"/>
          <w:color w:val="000000"/>
          <w:szCs w:val="24"/>
        </w:rPr>
        <w:t>112/1/1)</w:t>
      </w:r>
    </w:p>
    <w:p w:rsidR="007455F6" w:rsidRPr="00EA15AB" w:rsidRDefault="007455F6" w:rsidP="007455F6">
      <w:pPr>
        <w:spacing w:line="400" w:lineRule="exact"/>
        <w:ind w:left="851" w:hanging="284"/>
        <w:rPr>
          <w:rFonts w:ascii="標楷體" w:eastAsia="標楷體" w:hAnsi="標楷體"/>
          <w:color w:val="000000"/>
        </w:rPr>
      </w:pPr>
      <w:r w:rsidRPr="00EA15AB">
        <w:rPr>
          <w:rFonts w:ascii="標楷體" w:eastAsia="標楷體" w:hAnsi="標楷體"/>
          <w:color w:val="000000"/>
        </w:rPr>
        <w:t>3.去勢療法無效的轉移性攝護腺癌 (mCRPC) (olaparib)：（112/11/1、113/6/1、114/6/1)</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 xml:space="preserve">(1)單獨使用於具germline or somatic BRCA 1/2致病性或疑似致病性突變且先前接受過新荷爾蒙藥物(novel hormonal agents)治療後惡化之成人病人。 </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 xml:space="preserve">(2) 併用abiraterone及prednisone或prednisolone，用於具germline或 </w:t>
      </w:r>
      <w:r w:rsidRPr="00EA15AB">
        <w:rPr>
          <w:rFonts w:ascii="標楷體" w:eastAsia="標楷體" w:hAnsi="標楷體"/>
          <w:color w:val="000000"/>
        </w:rPr>
        <w:lastRenderedPageBreak/>
        <w:t>somatic BRCA 1/2致病性或疑似致病性突變且尚未接受化學治療之成人病人：(114/6/1）</w:t>
      </w:r>
    </w:p>
    <w:p w:rsidR="007455F6" w:rsidRPr="00EA15AB" w:rsidRDefault="007455F6" w:rsidP="007455F6">
      <w:pPr>
        <w:tabs>
          <w:tab w:val="left" w:pos="5245"/>
        </w:tabs>
        <w:spacing w:line="400" w:lineRule="exact"/>
        <w:ind w:left="1276"/>
        <w:rPr>
          <w:rFonts w:ascii="標楷體" w:eastAsia="標楷體" w:hAnsi="標楷體"/>
          <w:color w:val="000000"/>
          <w:szCs w:val="24"/>
        </w:rPr>
      </w:pPr>
      <w:r w:rsidRPr="00EA15AB">
        <w:rPr>
          <w:rFonts w:ascii="標楷體" w:eastAsia="標楷體" w:hAnsi="標楷體"/>
          <w:color w:val="000000"/>
          <w:szCs w:val="24"/>
        </w:rPr>
        <w:t>I.需符合下列條件之 一：</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i.未曾使用新型荷爾蒙藥品(abiraterone、apalutamide、darolutamide和enzalutamide)治療前列腺癌。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ii.於mCRPC階段使用abiraterone治療未超過4個月且使用期間未惡化。</w:t>
      </w:r>
    </w:p>
    <w:p w:rsidR="007455F6" w:rsidRPr="00EA15AB" w:rsidRDefault="007455F6" w:rsidP="007455F6">
      <w:pPr>
        <w:tabs>
          <w:tab w:val="left" w:pos="5245"/>
        </w:tabs>
        <w:spacing w:line="400" w:lineRule="exact"/>
        <w:ind w:left="1276"/>
        <w:rPr>
          <w:rFonts w:ascii="標楷體" w:eastAsia="標楷體" w:hAnsi="標楷體"/>
        </w:rPr>
      </w:pPr>
      <w:r w:rsidRPr="00EA15AB">
        <w:rPr>
          <w:rFonts w:ascii="標楷體" w:eastAsia="標楷體" w:hAnsi="標楷體"/>
          <w:color w:val="000000"/>
          <w:szCs w:val="24"/>
        </w:rPr>
        <w:t>Ⅱ.不論病人處於轉移或非轉移的狀態下，新型荷爾蒙藥品(abiraterone、apalutamide、darolutamide和enzalutamide) ，及olaparib 與 abiraterone併用，終生僅能接受一種治療，且除非出現嚴重不耐受反應導致必須永久停止治療，不得互換。</w:t>
      </w:r>
    </w:p>
    <w:p w:rsidR="007455F6" w:rsidRPr="00EA15AB" w:rsidRDefault="007455F6" w:rsidP="007455F6">
      <w:pPr>
        <w:spacing w:line="400" w:lineRule="exact"/>
        <w:ind w:left="1569" w:hanging="566"/>
        <w:rPr>
          <w:rFonts w:ascii="標楷體" w:eastAsia="標楷體" w:hAnsi="標楷體"/>
        </w:rPr>
      </w:pPr>
      <w:r w:rsidRPr="00EA15AB">
        <w:rPr>
          <w:rFonts w:ascii="標楷體" w:eastAsia="標楷體" w:hAnsi="標楷體"/>
          <w:color w:val="000000"/>
        </w:rPr>
        <w:t>(3)經事前審查核准後使用，每3個月需再次申請：(113/6/1)</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Ⅰ.初次申請時需檢附germline or somatic BRCA 1/2突變檢測報告，且需符合全民健康保險藥品給付規定之通則十二。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Ⅱ.申請時需檢附病理報告、使用雄性素去除療法紀錄及系列PSA和睪固酮數據。</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Ⅲ.再申請時若PSA值下降未超過治療前的50%以上，則需停藥。</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IV.下降達最低值後之持續追蹤出現PSA較最低值上升50%以上且PSA≧2ng/ml，則需停藥，但影像學證據尚無疾病進展者，可以繼續使用。</w:t>
      </w:r>
    </w:p>
    <w:p w:rsidR="007455F6" w:rsidRPr="00EA15AB" w:rsidRDefault="007455F6" w:rsidP="007455F6">
      <w:pPr>
        <w:spacing w:line="400" w:lineRule="exact"/>
        <w:ind w:left="1569" w:hanging="566"/>
        <w:rPr>
          <w:rFonts w:ascii="標楷體" w:eastAsia="標楷體" w:hAnsi="標楷體"/>
          <w:color w:val="000000"/>
        </w:rPr>
      </w:pPr>
      <w:r w:rsidRPr="00EA15AB">
        <w:rPr>
          <w:rFonts w:ascii="標楷體" w:eastAsia="標楷體" w:hAnsi="標楷體"/>
          <w:color w:val="000000"/>
        </w:rPr>
        <w:t>(3)不得合併化療使用。</w:t>
      </w:r>
    </w:p>
    <w:p w:rsidR="007455F6" w:rsidRPr="00EA15AB" w:rsidRDefault="007455F6" w:rsidP="007455F6">
      <w:pPr>
        <w:spacing w:line="400" w:lineRule="exact"/>
        <w:ind w:left="851" w:hanging="284"/>
        <w:rPr>
          <w:rFonts w:ascii="標楷體" w:eastAsia="標楷體" w:hAnsi="標楷體"/>
        </w:rPr>
      </w:pPr>
      <w:r w:rsidRPr="00EA15AB">
        <w:rPr>
          <w:rFonts w:ascii="標楷體" w:eastAsia="標楷體" w:hAnsi="標楷體"/>
        </w:rPr>
        <w:t>4.高復發風險之</w:t>
      </w:r>
      <w:r w:rsidRPr="00A47AB0">
        <w:rPr>
          <w:rFonts w:ascii="標楷體" w:eastAsia="標楷體" w:hAnsi="標楷體"/>
          <w:color w:val="000000"/>
        </w:rPr>
        <w:t>早期</w:t>
      </w:r>
      <w:r w:rsidRPr="00EA15AB">
        <w:rPr>
          <w:rFonts w:ascii="標楷體" w:eastAsia="標楷體" w:hAnsi="標楷體"/>
        </w:rPr>
        <w:t>乳癌(olaparib)：(114/6/1)</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(1)Olaparib適用於曾接受前導性化療或術後輔助性化療，且具遺傳性BRCA1/2 (germline BRCA1/2)突變併 HER2陰性而有高復發風險之早期乳癌成年病人術後輔助治療，依藥品仿單記載以1年為上限。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(2)病人須完成至少6個週期的前導性化療或術後輔助性化療，且化療處方須含有anthracyclines類藥物、taxane類藥物，或兩者的複方；亦允許含鉑化療。</w:t>
      </w:r>
    </w:p>
    <w:p w:rsidR="007455F6" w:rsidRPr="00EA15AB" w:rsidRDefault="007455F6" w:rsidP="007455F6">
      <w:pPr>
        <w:spacing w:line="400" w:lineRule="exact"/>
        <w:ind w:left="1418" w:hanging="425"/>
        <w:rPr>
          <w:rFonts w:ascii="標楷體" w:eastAsia="標楷體" w:hAnsi="標楷體"/>
          <w:color w:val="000000"/>
          <w:szCs w:val="24"/>
        </w:rPr>
      </w:pPr>
      <w:r w:rsidRPr="00EA15AB">
        <w:rPr>
          <w:rFonts w:ascii="標楷體" w:eastAsia="標楷體" w:hAnsi="標楷體"/>
          <w:color w:val="000000"/>
          <w:szCs w:val="24"/>
        </w:rPr>
        <w:t>(3)病人須在最後一次治療(包括手術、化療或放療)完成後的12週內使用olaparib。</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(4)須符合下列之高復發風險條件：</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Ⅰ.三陰性乳癌：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i.針對曾接受前導性化療的病人，須符合於乳房和/或手術切除的淋巴結中發現有殘餘的侵襲性癌症(non-pCR)。</w:t>
      </w:r>
    </w:p>
    <w:p w:rsidR="007455F6" w:rsidRPr="00EA15AB" w:rsidRDefault="007455F6" w:rsidP="007455F6">
      <w:pPr>
        <w:spacing w:line="400" w:lineRule="exact"/>
        <w:ind w:left="1699" w:hanging="281"/>
        <w:rPr>
          <w:rFonts w:ascii="標楷體" w:eastAsia="標楷體" w:hAnsi="標楷體"/>
          <w:color w:val="000000"/>
          <w:szCs w:val="24"/>
        </w:rPr>
      </w:pPr>
      <w:r w:rsidRPr="00EA15AB">
        <w:rPr>
          <w:rFonts w:ascii="標楷體" w:eastAsia="標楷體" w:hAnsi="標楷體"/>
          <w:color w:val="000000"/>
          <w:szCs w:val="24"/>
        </w:rPr>
        <w:t>ii.針對曾接受手術且接續術後輔助性化療的病人，須具有腋窩淋巴結陽性(≧pN1)，或腋窩淋巴結陰性(pN0)且原發性病理腫瘤大小≧2公分(≧pT2)。</w:t>
      </w:r>
    </w:p>
    <w:p w:rsidR="007455F6" w:rsidRPr="00EA15AB" w:rsidRDefault="007455F6" w:rsidP="007455F6">
      <w:pPr>
        <w:spacing w:line="400" w:lineRule="exact"/>
        <w:ind w:left="1809" w:hanging="566"/>
        <w:rPr>
          <w:rFonts w:ascii="標楷體" w:eastAsia="標楷體" w:hAnsi="標楷體"/>
          <w:color w:val="000000"/>
        </w:rPr>
      </w:pPr>
      <w:r w:rsidRPr="00EA15AB">
        <w:rPr>
          <w:rFonts w:ascii="標楷體" w:eastAsia="標楷體" w:hAnsi="標楷體"/>
          <w:color w:val="000000"/>
        </w:rPr>
        <w:t>Ⅱ.HR陽性且HER2陰性乳癌：</w:t>
      </w:r>
    </w:p>
    <w:p w:rsidR="007455F6" w:rsidRPr="00EA15AB" w:rsidRDefault="007455F6" w:rsidP="007455F6">
      <w:pPr>
        <w:spacing w:line="400" w:lineRule="exact"/>
        <w:ind w:left="1699" w:hanging="281"/>
        <w:rPr>
          <w:rFonts w:ascii="標楷體" w:eastAsia="標楷體" w:hAnsi="標楷體"/>
          <w:color w:val="000000"/>
        </w:rPr>
      </w:pPr>
      <w:r w:rsidRPr="00EA15AB">
        <w:rPr>
          <w:rFonts w:ascii="標楷體" w:eastAsia="標楷體" w:hAnsi="標楷體"/>
          <w:color w:val="000000"/>
        </w:rPr>
        <w:t>i.針對曾接受前導性化療的病人，須為non-pCR。</w:t>
      </w:r>
    </w:p>
    <w:p w:rsidR="007455F6" w:rsidRPr="00EA15AB" w:rsidRDefault="007455F6" w:rsidP="007455F6">
      <w:pPr>
        <w:spacing w:line="400" w:lineRule="exact"/>
        <w:ind w:left="1699" w:hanging="281"/>
        <w:rPr>
          <w:rFonts w:ascii="標楷體" w:eastAsia="標楷體" w:hAnsi="標楷體"/>
        </w:rPr>
      </w:pPr>
      <w:r w:rsidRPr="00EA15AB">
        <w:rPr>
          <w:rFonts w:ascii="標楷體" w:eastAsia="標楷體" w:hAnsi="標楷體"/>
          <w:color w:val="000000"/>
          <w:szCs w:val="24"/>
        </w:rPr>
        <w:t>ii</w:t>
      </w:r>
      <w:r w:rsidRPr="00EA15AB">
        <w:rPr>
          <w:rFonts w:ascii="標楷體" w:eastAsia="標楷體" w:hAnsi="標楷體"/>
        </w:rPr>
        <w:t xml:space="preserve"> </w:t>
      </w:r>
      <w:r w:rsidRPr="00EA15AB">
        <w:rPr>
          <w:rFonts w:ascii="標楷體" w:eastAsia="標楷體" w:hAnsi="標楷體"/>
          <w:color w:val="000000"/>
          <w:szCs w:val="24"/>
        </w:rPr>
        <w:t>針對曾接受手術且接續術後輔助性化療的病人，須具有4個以上經病理學證</w:t>
      </w:r>
      <w:r w:rsidRPr="00EA15AB">
        <w:rPr>
          <w:rFonts w:ascii="標楷體" w:eastAsia="標楷體" w:hAnsi="標楷體"/>
          <w:color w:val="000000"/>
          <w:szCs w:val="24"/>
        </w:rPr>
        <w:lastRenderedPageBreak/>
        <w:t>實的陽性淋巴結。</w:t>
      </w:r>
    </w:p>
    <w:p w:rsidR="007455F6" w:rsidRPr="00EA15AB" w:rsidRDefault="007455F6" w:rsidP="007455F6">
      <w:pPr>
        <w:spacing w:line="400" w:lineRule="exact"/>
        <w:ind w:left="1569" w:hanging="566"/>
        <w:rPr>
          <w:rFonts w:ascii="標楷體" w:eastAsia="標楷體" w:hAnsi="標楷體"/>
          <w:color w:val="000000"/>
          <w:szCs w:val="24"/>
        </w:rPr>
      </w:pPr>
      <w:r w:rsidRPr="00EA15AB">
        <w:rPr>
          <w:rFonts w:ascii="標楷體" w:eastAsia="標楷體" w:hAnsi="標楷體"/>
          <w:color w:val="000000"/>
          <w:szCs w:val="24"/>
        </w:rPr>
        <w:t>(5)須經事前審查核准後使用：</w:t>
      </w:r>
    </w:p>
    <w:p w:rsidR="007455F6" w:rsidRPr="00EA15AB" w:rsidRDefault="007455F6" w:rsidP="007455F6">
      <w:pPr>
        <w:spacing w:line="400" w:lineRule="exact"/>
        <w:ind w:left="1809" w:hanging="566"/>
        <w:rPr>
          <w:rFonts w:ascii="標楷體" w:eastAsia="標楷體" w:hAnsi="標楷體"/>
        </w:rPr>
      </w:pPr>
      <w:r w:rsidRPr="00EA15AB">
        <w:rPr>
          <w:rFonts w:ascii="標楷體" w:eastAsia="標楷體" w:hAnsi="標楷體"/>
          <w:color w:val="000000"/>
        </w:rPr>
        <w:t>Ⅰ.</w:t>
      </w:r>
      <w:r w:rsidRPr="00EA15AB">
        <w:rPr>
          <w:rFonts w:ascii="標楷體" w:eastAsia="標楷體" w:hAnsi="標楷體"/>
          <w:color w:val="000000"/>
          <w:szCs w:val="24"/>
        </w:rPr>
        <w:t>每次申請之療程以3個月為限。</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II.初次申請時需檢附HER2為陰性之檢測報告、ER和PR之檢測報告，以及germline BRCA 1/2突變之檢測報告，且需符合全民健康保險藥品給付規定之通則十二。</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III.再次申請必須提出客觀證據（如：影像學）證實無惡化，才可繼續使用。</w:t>
      </w:r>
    </w:p>
    <w:p w:rsidR="007455F6" w:rsidRPr="00EA15AB" w:rsidRDefault="007455F6" w:rsidP="007455F6">
      <w:pPr>
        <w:spacing w:line="400" w:lineRule="exact"/>
        <w:ind w:left="1809" w:hanging="566"/>
        <w:rPr>
          <w:rFonts w:ascii="標楷體" w:eastAsia="標楷體" w:hAnsi="標楷體"/>
          <w:color w:val="000000"/>
          <w:szCs w:val="24"/>
        </w:rPr>
      </w:pPr>
      <w:r w:rsidRPr="00EA15AB">
        <w:rPr>
          <w:rFonts w:ascii="標楷體" w:eastAsia="標楷體" w:hAnsi="標楷體"/>
          <w:color w:val="000000"/>
          <w:szCs w:val="24"/>
        </w:rPr>
        <w:t>IV. 用於術後輔助治療，olaparib與pembrolizumab僅能擇一給付。</w:t>
      </w:r>
    </w:p>
    <w:p w:rsidR="00B96EA0" w:rsidRPr="007455F6" w:rsidRDefault="007455F6" w:rsidP="007455F6">
      <w:pPr>
        <w:spacing w:line="400" w:lineRule="exact"/>
        <w:ind w:leftChars="-118" w:left="-283" w:firstLineChars="236" w:firstLine="566"/>
      </w:pPr>
      <w:r w:rsidRPr="00EA15AB">
        <w:rPr>
          <w:rFonts w:ascii="標楷體" w:eastAsia="標楷體" w:hAnsi="標楷體"/>
          <w:color w:val="000000"/>
          <w:szCs w:val="24"/>
        </w:rPr>
        <w:t xml:space="preserve">  5</w:t>
      </w:r>
      <w:r w:rsidRPr="00EA15AB">
        <w:rPr>
          <w:rFonts w:ascii="標楷體" w:eastAsia="標楷體" w:hAnsi="標楷體" w:cs="BiauKai"/>
          <w:color w:val="000000"/>
          <w:szCs w:val="24"/>
        </w:rPr>
        <w:t>.</w:t>
      </w:r>
      <w:r w:rsidRPr="00A47AB0">
        <w:rPr>
          <w:rFonts w:ascii="標楷體" w:eastAsia="標楷體" w:hAnsi="標楷體"/>
        </w:rPr>
        <w:t>Olaparib</w:t>
      </w:r>
      <w:r w:rsidRPr="00EA15AB">
        <w:rPr>
          <w:rFonts w:ascii="標楷體" w:eastAsia="標楷體" w:hAnsi="標楷體"/>
          <w:color w:val="000000"/>
          <w:szCs w:val="24"/>
        </w:rPr>
        <w:t>每日最多使用4粒</w:t>
      </w:r>
      <w:r w:rsidRPr="00EA15AB">
        <w:rPr>
          <w:rFonts w:ascii="標楷體" w:eastAsia="標楷體" w:hAnsi="標楷體" w:cs="BiauKai"/>
          <w:color w:val="000000"/>
          <w:szCs w:val="24"/>
        </w:rPr>
        <w:t>(112/1/1)</w:t>
      </w:r>
      <w:bookmarkEnd w:id="33"/>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9.86.Vandetanib (如Caprelsa)：(109/11/1)</w:t>
      </w:r>
    </w:p>
    <w:p w:rsidR="00B96EA0" w:rsidRDefault="007D66B8" w:rsidP="005142EB">
      <w:pPr>
        <w:spacing w:line="400" w:lineRule="exact"/>
        <w:ind w:left="283"/>
      </w:pPr>
      <w:r>
        <w:rPr>
          <w:rFonts w:ascii="標楷體" w:eastAsia="標楷體" w:hAnsi="標楷體"/>
          <w:color w:val="000000"/>
        </w:rPr>
        <w:t>適用於無法進行手術切除的局部侵犯或轉移性甲狀腺</w:t>
      </w:r>
      <w:r>
        <w:rPr>
          <w:rFonts w:ascii="標楷體" w:eastAsia="標楷體" w:hAnsi="標楷體" w:cs="BiauKai"/>
          <w:color w:val="000000"/>
          <w:szCs w:val="28"/>
        </w:rPr>
        <w:t>髓質癌，並且為症狀性及疾病侵襲性的患者。</w:t>
      </w:r>
    </w:p>
    <w:p w:rsidR="00B96EA0" w:rsidRDefault="007D66B8" w:rsidP="005142EB">
      <w:pPr>
        <w:numPr>
          <w:ilvl w:val="0"/>
          <w:numId w:val="12"/>
        </w:numPr>
        <w:spacing w:line="400" w:lineRule="exact"/>
        <w:ind w:left="922" w:hanging="284"/>
        <w:jc w:val="both"/>
      </w:pPr>
      <w:r>
        <w:rPr>
          <w:rFonts w:ascii="標楷體" w:eastAsia="標楷體" w:hAnsi="標楷體"/>
          <w:color w:val="000000"/>
          <w:szCs w:val="28"/>
        </w:rPr>
        <w:t>需經事前審查核准後使用，每次申請之療程以6個月為限，送審時需檢送影像資料，每6個月評估一次。</w:t>
      </w:r>
    </w:p>
    <w:p w:rsidR="00B96EA0" w:rsidRDefault="007D66B8" w:rsidP="005142EB">
      <w:pPr>
        <w:numPr>
          <w:ilvl w:val="0"/>
          <w:numId w:val="12"/>
        </w:numPr>
        <w:spacing w:line="400" w:lineRule="exact"/>
        <w:ind w:left="922" w:hanging="284"/>
        <w:jc w:val="both"/>
      </w:pPr>
      <w:r>
        <w:rPr>
          <w:rFonts w:ascii="標楷體" w:eastAsia="標楷體" w:hAnsi="標楷體"/>
          <w:color w:val="000000"/>
          <w:szCs w:val="28"/>
        </w:rPr>
        <w:t>出現疾病惡化或無法忍受之藥物不良反應，應立即停用。</w:t>
      </w:r>
    </w:p>
    <w:p w:rsidR="00B96EA0" w:rsidRDefault="007D66B8" w:rsidP="005142EB">
      <w:pPr>
        <w:spacing w:line="400" w:lineRule="exact"/>
        <w:ind w:left="644"/>
        <w:jc w:val="both"/>
      </w:pPr>
      <w:r>
        <w:rPr>
          <w:rFonts w:ascii="標楷體" w:eastAsia="標楷體" w:hAnsi="標楷體"/>
          <w:color w:val="000000"/>
          <w:szCs w:val="28"/>
        </w:rPr>
        <w:t>4.每日最大劑量為300毫克。</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9.87.Trastuzumab emtansine (如Kadcyla)：(110/2/1、113/8/1、114/2/1、114/5/1)</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1.早期乳癌(113/8/1、114/2/1、114/5/1)</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(1)使用於具HER2過度表現(IHC 3+或FISH+)之早期乳癌病人，曾接受過至少6個療程（每3週一療程，至少16週）的化學治療（其中至少3個療程(9週)的taxane藥物）和至少3個療程(9週)的trastuzumab術前輔助治療後，仍有殘留病灶的術後輔助治療，且需符合下列任一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I.具腋下淋巴結轉移但無遠處臟器轉移之早期乳癌病人。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Ⅱ.未發生腋下淋巴結轉移，但雌激素受體(ER)為陰性且腫瘤大於2公分之早期乳癌病人。</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(2)經事前審查核准後使用，核准後每24週須檢附療效評估資料再次申請，若疾病有惡化情形即不應再行申請。每位病人使用本藥品以14個療程為上限。（113/8/1、114/5/1）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t>(3)排除使用本藥品條件：</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I.未於術後12週內開始治療或提出治療申請。</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Ⅱ.左心室射出分率少於45%或有症狀的心衰竭病人。</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Ⅲ.不得與其他抗HER2藥物併用。</w:t>
      </w:r>
    </w:p>
    <w:p w:rsidR="00B96EA0" w:rsidRDefault="007D66B8" w:rsidP="005142EB">
      <w:pPr>
        <w:spacing w:line="400" w:lineRule="exact"/>
        <w:ind w:left="1248" w:hanging="397"/>
        <w:rPr>
          <w:rFonts w:ascii="標楷體" w:eastAsia="標楷體" w:hAnsi="標楷體"/>
          <w:color w:val="000000"/>
        </w:rPr>
      </w:pPr>
      <w:r>
        <w:rPr>
          <w:rFonts w:ascii="標楷體" w:eastAsia="標楷體" w:hAnsi="標楷體"/>
          <w:color w:val="000000"/>
        </w:rPr>
        <w:t>(4)本藥品申請通過後，如轉換成trastuzumab或其他抗HER2藥物後不得再次申請本藥品，且本藥品與trastuzumab使用於早期乳癌手術前後的總療程合併計算，每位病人以全部18個療程為上限。</w:t>
      </w:r>
    </w:p>
    <w:p w:rsidR="00B96EA0" w:rsidRDefault="007D66B8" w:rsidP="005142EB">
      <w:pPr>
        <w:spacing w:line="400" w:lineRule="exact"/>
        <w:ind w:left="896" w:hanging="238"/>
        <w:rPr>
          <w:rFonts w:ascii="標楷體" w:eastAsia="標楷體" w:hAnsi="標楷體"/>
          <w:color w:val="000000"/>
        </w:rPr>
      </w:pPr>
      <w:r>
        <w:rPr>
          <w:rFonts w:ascii="標楷體" w:eastAsia="標楷體" w:hAnsi="標楷體"/>
          <w:color w:val="000000"/>
        </w:rPr>
        <w:t>2.轉移性乳癌(110/2/1、113/8/1、114/2/1)</w:t>
      </w:r>
    </w:p>
    <w:p w:rsidR="00B96EA0" w:rsidRDefault="007D66B8" w:rsidP="005142EB">
      <w:pPr>
        <w:spacing w:line="400" w:lineRule="exact"/>
        <w:ind w:left="1089" w:hanging="238"/>
        <w:rPr>
          <w:rFonts w:ascii="標楷體" w:eastAsia="標楷體" w:hAnsi="標楷體"/>
          <w:color w:val="000000"/>
        </w:rPr>
      </w:pPr>
      <w:r>
        <w:rPr>
          <w:rFonts w:ascii="標楷體" w:eastAsia="標楷體" w:hAnsi="標楷體"/>
          <w:color w:val="000000"/>
        </w:rPr>
        <w:lastRenderedPageBreak/>
        <w:t>(1)限單獨使用於先前未使用過本藥品且HER2過度表現(IHC3+或FISH+)之轉移性乳癌病人作為二線治療，並同時符合下列情形：</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I.之前分別接受過trastuzumab與一種taxane藥物治療，或其合併療法，或pertuzumab與trastuzumab與一種taxane藥物治療。</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Ⅱ.之前已經接受過轉移性癌症治療，或在輔助療法治療期間或完成治療後6個月內癌症復發。</w:t>
      </w:r>
    </w:p>
    <w:p w:rsidR="00B96EA0" w:rsidRDefault="007D66B8" w:rsidP="005142EB">
      <w:pPr>
        <w:spacing w:line="400" w:lineRule="exact"/>
        <w:ind w:left="1372" w:hanging="238"/>
        <w:rPr>
          <w:rFonts w:ascii="標楷體" w:eastAsia="標楷體" w:hAnsi="標楷體"/>
          <w:color w:val="000000"/>
        </w:rPr>
      </w:pPr>
      <w:r>
        <w:rPr>
          <w:rFonts w:ascii="標楷體" w:eastAsia="標楷體" w:hAnsi="標楷體"/>
          <w:color w:val="000000"/>
        </w:rPr>
        <w:t>Ⅲ.合併有主要臟器(不包含骨及軟組織)轉移。</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(2)經事前審查核准後使用，核准後每12週須檢附療效評估資料再次申請，若疾病有惡化情形即不應再行申請，每位病人至多給付10個月(13個療程為上限)。</w:t>
      </w:r>
    </w:p>
    <w:p w:rsidR="00B96EA0" w:rsidRDefault="007D66B8" w:rsidP="005142EB">
      <w:pPr>
        <w:spacing w:line="400" w:lineRule="exact"/>
        <w:ind w:left="1276" w:hanging="425"/>
        <w:rPr>
          <w:rFonts w:ascii="標楷體" w:eastAsia="標楷體" w:hAnsi="標楷體"/>
          <w:color w:val="000000"/>
        </w:rPr>
      </w:pPr>
      <w:r>
        <w:rPr>
          <w:rFonts w:ascii="標楷體" w:eastAsia="標楷體" w:hAnsi="標楷體"/>
          <w:color w:val="000000"/>
        </w:rPr>
        <w:t>(3)Trastuzumab emtansine、lapatinib和trastuzumab deruxtecan僅能擇一給付，不得互換。(114/2/1)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9.88.Ixabepilone (如Ixempra)：(110/2/1)</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1.限Ixabepilone合併capecitabine用於局部晚期或轉移性乳癌患者，需符合以下條件之一：</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(1)對taxane有抗藥性且無法接受anthracycline治療者。</w:t>
      </w:r>
    </w:p>
    <w:p w:rsidR="00B96EA0" w:rsidRDefault="007D66B8" w:rsidP="005142EB">
      <w:pPr>
        <w:spacing w:line="400" w:lineRule="exact"/>
        <w:ind w:left="991"/>
        <w:rPr>
          <w:rFonts w:ascii="標楷體" w:eastAsia="標楷體" w:hAnsi="標楷體"/>
          <w:color w:val="000000"/>
        </w:rPr>
      </w:pPr>
      <w:r>
        <w:rPr>
          <w:rFonts w:ascii="標楷體" w:eastAsia="標楷體" w:hAnsi="標楷體"/>
          <w:color w:val="000000"/>
        </w:rPr>
        <w:t>(2)對taxane及anthracycline治療無效者。</w:t>
      </w:r>
    </w:p>
    <w:p w:rsidR="00B96EA0" w:rsidRDefault="007D66B8" w:rsidP="005142EB">
      <w:pPr>
        <w:spacing w:line="400" w:lineRule="exact"/>
        <w:ind w:left="684"/>
        <w:rPr>
          <w:rFonts w:ascii="標楷體" w:eastAsia="標楷體" w:hAnsi="標楷體"/>
          <w:color w:val="000000"/>
        </w:rPr>
      </w:pPr>
      <w:r>
        <w:rPr>
          <w:rFonts w:ascii="標楷體" w:eastAsia="標楷體" w:hAnsi="標楷體"/>
          <w:color w:val="000000"/>
        </w:rPr>
        <w:t>2.每3個療程需進行療效評估，病歷應留存評估紀錄，無疾病惡化方可繼續使用。</w:t>
      </w:r>
    </w:p>
    <w:p w:rsidR="00B96EA0" w:rsidRDefault="007D66B8" w:rsidP="005142EB">
      <w:pPr>
        <w:spacing w:line="400" w:lineRule="exact"/>
        <w:ind w:left="924" w:hanging="240"/>
        <w:rPr>
          <w:rFonts w:ascii="標楷體" w:eastAsia="標楷體" w:hAnsi="標楷體"/>
          <w:color w:val="000000"/>
        </w:rPr>
      </w:pPr>
      <w:r>
        <w:rPr>
          <w:rFonts w:ascii="標楷體" w:eastAsia="標楷體" w:hAnsi="標楷體"/>
          <w:color w:val="000000"/>
        </w:rPr>
        <w:t>3.Ixabepilone與eribulin用於治療上述之轉移性乳癌患者時，僅得擇一使用，且不得互換(ixabepilone限用於未曾使用過eribulin之病患)。</w:t>
      </w:r>
    </w:p>
    <w:p w:rsidR="00B96EA0" w:rsidRDefault="007D66B8" w:rsidP="005142EB">
      <w:pPr>
        <w:spacing w:line="400" w:lineRule="exact"/>
        <w:ind w:left="284"/>
      </w:pPr>
      <w:r>
        <w:rPr>
          <w:rFonts w:ascii="標楷體" w:eastAsia="標楷體" w:hAnsi="標楷體" w:cs="BiauKai"/>
          <w:color w:val="000000"/>
          <w:szCs w:val="24"/>
        </w:rPr>
        <w:t>9.89.(刪除)：(110/3/1、111/6/1、111/8/1</w:t>
      </w:r>
      <w:r>
        <w:rPr>
          <w:rFonts w:ascii="標楷體" w:eastAsia="標楷體" w:hAnsi="標楷體"/>
          <w:color w:val="000000"/>
          <w:szCs w:val="24"/>
        </w:rPr>
        <w:t>、112</w:t>
      </w:r>
      <w:r>
        <w:rPr>
          <w:rFonts w:ascii="標楷體" w:eastAsia="標楷體" w:hAnsi="標楷體" w:cs="BiauKai"/>
          <w:color w:val="000000"/>
          <w:szCs w:val="24"/>
        </w:rPr>
        <w:t>/1/1)</w:t>
      </w:r>
    </w:p>
    <w:p w:rsidR="00B96EA0" w:rsidRDefault="007D66B8" w:rsidP="005142EB">
      <w:pPr>
        <w:spacing w:line="400" w:lineRule="exact"/>
        <w:ind w:left="283"/>
      </w:pPr>
      <w:r>
        <w:rPr>
          <w:rFonts w:ascii="標楷體" w:eastAsia="標楷體" w:hAnsi="標楷體"/>
          <w:color w:val="000000"/>
        </w:rPr>
        <w:t>9.90.</w:t>
      </w:r>
      <w:r>
        <w:t xml:space="preserve"> </w:t>
      </w:r>
      <w:r>
        <w:rPr>
          <w:rFonts w:ascii="標楷體" w:eastAsia="標楷體" w:hAnsi="標楷體"/>
          <w:color w:val="000000"/>
        </w:rPr>
        <w:t>Apalutamide (如Erleada)：(110/3/1、110/11/1、111/3/1、112/9/1、113/8/1、114/6/1)</w:t>
      </w:r>
    </w:p>
    <w:p w:rsidR="00B96EA0" w:rsidRDefault="007D66B8" w:rsidP="005142EB">
      <w:pPr>
        <w:tabs>
          <w:tab w:val="left" w:leader="underscore" w:pos="567"/>
        </w:tabs>
        <w:snapToGrid w:val="0"/>
        <w:spacing w:line="400" w:lineRule="exact"/>
        <w:ind w:left="851" w:hanging="280"/>
        <w:rPr>
          <w:rFonts w:ascii="標楷體" w:eastAsia="標楷體" w:hAnsi="標楷體"/>
          <w:szCs w:val="24"/>
        </w:rPr>
      </w:pPr>
      <w:r>
        <w:rPr>
          <w:rFonts w:ascii="標楷體" w:eastAsia="標楷體" w:hAnsi="標楷體"/>
          <w:szCs w:val="24"/>
        </w:rPr>
        <w:t>1.治療高風險非轉移性去勢抗性前列腺癌(high risk nmCRPC)的成年男性。</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(2)初次申請時需檢附病理報告、使用雄性素去除療法紀錄，系列PSA和睪固酮數據，三個月內影像報告證明無遠端轉移。</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(3)ECOG分數須≦1。</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(4)PSA doubling time≦10個月，PSA倍增之時間，應依線性回歸模型計算，且其參數取得需基於下列原則：（112/9/1）</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Ⅰ.至少三個連續PSA測量值，且各測量值皆≧0.2 ng/mL（最高的PSA值必須&gt;1.0ng/ml）。</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Ⅱ.應包含先前ADT治療期間的測量值，且最少一測量值為最近3個月內測得之PSA數值。</w:t>
      </w:r>
    </w:p>
    <w:p w:rsidR="00B96EA0" w:rsidRDefault="007D66B8" w:rsidP="005142EB">
      <w:pPr>
        <w:tabs>
          <w:tab w:val="left" w:pos="1701"/>
        </w:tabs>
        <w:snapToGrid w:val="0"/>
        <w:spacing w:line="400" w:lineRule="exact"/>
        <w:ind w:left="1560" w:hanging="280"/>
        <w:rPr>
          <w:rFonts w:ascii="標楷體" w:eastAsia="標楷體" w:hAnsi="標楷體"/>
          <w:color w:val="000000"/>
          <w:szCs w:val="24"/>
        </w:rPr>
      </w:pPr>
      <w:r>
        <w:rPr>
          <w:rFonts w:ascii="標楷體" w:eastAsia="標楷體" w:hAnsi="標楷體"/>
          <w:color w:val="000000"/>
          <w:szCs w:val="24"/>
        </w:rPr>
        <w:t>Ⅲ.第一個和最後一個PSA測量值間隔需≧8週，但≦12個月。</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(5)每3個月需再次申請，申請之療程以3個月為限。再次申請時，有PSA progression者，需檢附影像學報告，若影像學報告證實轉移，則需停藥;無</w:t>
      </w:r>
      <w:r>
        <w:rPr>
          <w:rFonts w:ascii="標楷體" w:eastAsia="標楷體" w:hAnsi="標楷體"/>
          <w:szCs w:val="24"/>
        </w:rPr>
        <w:lastRenderedPageBreak/>
        <w:t xml:space="preserve">PSA progression者，則每6個月需檢附影像學報告，若影像學報告證實轉移，則需停藥。（112/9/1） </w:t>
      </w:r>
    </w:p>
    <w:p w:rsidR="00B96EA0" w:rsidRDefault="007D66B8" w:rsidP="005142EB">
      <w:pPr>
        <w:tabs>
          <w:tab w:val="left" w:leader="underscore" w:pos="567"/>
        </w:tabs>
        <w:snapToGrid w:val="0"/>
        <w:spacing w:line="400" w:lineRule="exact"/>
        <w:ind w:left="1200"/>
        <w:rPr>
          <w:rFonts w:ascii="標楷體" w:eastAsia="標楷體" w:hAnsi="標楷體"/>
          <w:szCs w:val="24"/>
        </w:rPr>
      </w:pPr>
      <w:r>
        <w:rPr>
          <w:rFonts w:ascii="標楷體" w:eastAsia="標楷體" w:hAnsi="標楷體"/>
          <w:szCs w:val="24"/>
        </w:rPr>
        <w:t>註：</w:t>
      </w:r>
    </w:p>
    <w:p w:rsidR="00B96EA0" w:rsidRDefault="007D66B8" w:rsidP="005142EB">
      <w:pPr>
        <w:tabs>
          <w:tab w:val="left" w:leader="underscore" w:pos="567"/>
        </w:tabs>
        <w:snapToGrid w:val="0"/>
        <w:spacing w:line="400" w:lineRule="exact"/>
        <w:ind w:left="1200"/>
      </w:pPr>
      <w:r>
        <w:rPr>
          <w:rFonts w:ascii="標楷體" w:eastAsia="標楷體" w:hAnsi="標楷體"/>
          <w:szCs w:val="24"/>
        </w:rPr>
        <w:t>PSA progression 定義為:PSA下降達最低值(nadir)後，出現 PSA值上升較 nadir≧25%，且PSA≧2 ng/mL，並於至少3週後，再次抽血確認PSA值有上升趨勢。</w:t>
      </w:r>
    </w:p>
    <w:p w:rsidR="00B96EA0" w:rsidRDefault="007D66B8" w:rsidP="005142EB">
      <w:pPr>
        <w:tabs>
          <w:tab w:val="left" w:pos="851"/>
        </w:tabs>
        <w:snapToGrid w:val="0"/>
        <w:spacing w:line="400" w:lineRule="exact"/>
        <w:ind w:left="851" w:hanging="280"/>
      </w:pPr>
      <w:r>
        <w:rPr>
          <w:rFonts w:ascii="標楷體" w:eastAsia="標楷體" w:hAnsi="標楷體"/>
          <w:szCs w:val="24"/>
        </w:rPr>
        <w:t>2.治療高風險轉移性的去勢敏感性前列腺癌(mCSPC)，總療程以36個月為上限。（110/3/1</w:t>
      </w:r>
      <w:r>
        <w:rPr>
          <w:rFonts w:ascii="標楷體" w:eastAsia="標楷體" w:hAnsi="標楷體" w:cs="BiauKai"/>
          <w:color w:val="000000"/>
          <w:szCs w:val="24"/>
        </w:rPr>
        <w:t>、</w:t>
      </w:r>
      <w:r>
        <w:rPr>
          <w:rFonts w:ascii="標楷體" w:eastAsia="標楷體" w:hAnsi="標楷體"/>
          <w:szCs w:val="24"/>
        </w:rPr>
        <w:t>111</w:t>
      </w:r>
      <w:r>
        <w:rPr>
          <w:rFonts w:ascii="標楷體" w:eastAsia="標楷體" w:hAnsi="標楷體"/>
          <w:color w:val="000000"/>
          <w:szCs w:val="24"/>
        </w:rPr>
        <w:t>/3/1、113/8/1</w:t>
      </w:r>
      <w:r>
        <w:rPr>
          <w:rFonts w:ascii="標楷體" w:eastAsia="標楷體" w:hAnsi="標楷體"/>
          <w:szCs w:val="24"/>
        </w:rPr>
        <w:t>）</w:t>
      </w:r>
    </w:p>
    <w:p w:rsidR="00B96EA0" w:rsidRDefault="007D66B8" w:rsidP="005142EB">
      <w:pPr>
        <w:tabs>
          <w:tab w:val="left" w:leader="underscore" w:pos="567"/>
        </w:tabs>
        <w:snapToGrid w:val="0"/>
        <w:spacing w:line="400" w:lineRule="exact"/>
        <w:ind w:left="1418" w:hanging="420"/>
        <w:rPr>
          <w:rFonts w:ascii="標楷體" w:eastAsia="標楷體" w:hAnsi="標楷體"/>
          <w:szCs w:val="24"/>
        </w:rPr>
      </w:pPr>
      <w:r>
        <w:rPr>
          <w:rFonts w:ascii="標楷體" w:eastAsia="標楷體" w:hAnsi="標楷體"/>
          <w:szCs w:val="24"/>
        </w:rPr>
        <w:t>(1)須經事前審查核准後使用。</w:t>
      </w:r>
    </w:p>
    <w:p w:rsidR="00B96EA0" w:rsidRDefault="007D66B8" w:rsidP="005142EB">
      <w:pPr>
        <w:tabs>
          <w:tab w:val="left" w:leader="underscore" w:pos="567"/>
        </w:tabs>
        <w:snapToGrid w:val="0"/>
        <w:spacing w:line="400" w:lineRule="exact"/>
        <w:ind w:left="1418" w:hanging="420"/>
      </w:pPr>
      <w:r>
        <w:rPr>
          <w:rFonts w:ascii="標楷體" w:eastAsia="標楷體" w:hAnsi="標楷體"/>
          <w:szCs w:val="24"/>
        </w:rPr>
        <w:t>(2)每3個月需再次申請，再申請時若</w:t>
      </w:r>
      <w:r>
        <w:rPr>
          <w:rFonts w:ascii="標楷體" w:eastAsia="標楷體" w:hAnsi="標楷體"/>
          <w:color w:val="000000"/>
          <w:szCs w:val="24"/>
        </w:rPr>
        <w:t>PSA值下降未超過治療前的50%以上，則需停藥。</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(3)下降達最低值後之持續追蹤出現PSA較最低值上升50%以上且PSA≧2ng/mL，則需停藥，但影像學證據尚無疾病進展者，可以繼續使用。</w:t>
      </w:r>
    </w:p>
    <w:p w:rsidR="00B96EA0" w:rsidRDefault="007D66B8" w:rsidP="005142EB">
      <w:pPr>
        <w:tabs>
          <w:tab w:val="left" w:leader="underscore" w:pos="567"/>
        </w:tabs>
        <w:snapToGrid w:val="0"/>
        <w:spacing w:line="400" w:lineRule="exact"/>
        <w:ind w:left="1418" w:hanging="420"/>
        <w:rPr>
          <w:rFonts w:ascii="標楷體" w:eastAsia="標楷體" w:hAnsi="標楷體"/>
          <w:color w:val="000000"/>
          <w:szCs w:val="24"/>
        </w:rPr>
      </w:pPr>
      <w:r>
        <w:rPr>
          <w:rFonts w:ascii="標楷體" w:eastAsia="標楷體" w:hAnsi="標楷體"/>
          <w:color w:val="000000"/>
          <w:szCs w:val="24"/>
        </w:rPr>
        <w:t>(4)前述高風險需符合下列三項條件中至少兩項：（111/3/1、113/8/1）</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Ⅰ.葛里森分數(Gleason score)</w:t>
      </w:r>
      <w:r>
        <w:rPr>
          <w:rFonts w:ascii="標楷體" w:eastAsia="標楷體" w:hAnsi="標楷體" w:cs="新細明體"/>
          <w:color w:val="000000"/>
          <w:szCs w:val="24"/>
        </w:rPr>
        <w:t>≧</w:t>
      </w:r>
      <w:r>
        <w:rPr>
          <w:rFonts w:ascii="標楷體" w:eastAsia="標楷體" w:hAnsi="標楷體"/>
          <w:color w:val="000000"/>
          <w:szCs w:val="24"/>
        </w:rPr>
        <w:t>8。</w:t>
      </w:r>
    </w:p>
    <w:p w:rsidR="00B96EA0" w:rsidRDefault="007D66B8" w:rsidP="005142EB">
      <w:pPr>
        <w:tabs>
          <w:tab w:val="left" w:pos="945"/>
        </w:tabs>
        <w:snapToGrid w:val="0"/>
        <w:spacing w:line="400" w:lineRule="exact"/>
        <w:ind w:left="1843" w:hanging="420"/>
      </w:pPr>
      <w:r>
        <w:rPr>
          <w:rFonts w:ascii="標楷體" w:eastAsia="標楷體" w:hAnsi="標楷體"/>
          <w:color w:val="000000"/>
          <w:szCs w:val="24"/>
        </w:rPr>
        <w:t>Ⅱ.</w:t>
      </w:r>
      <w:r>
        <w:t xml:space="preserve"> </w:t>
      </w:r>
      <w:r>
        <w:rPr>
          <w:rFonts w:ascii="標楷體" w:eastAsia="標楷體" w:hAnsi="標楷體"/>
          <w:color w:val="000000"/>
          <w:szCs w:val="24"/>
        </w:rPr>
        <w:t>骨骼掃描出現三個(含)以上病灶且至少其中一處以上為非脊柱及非骨盆腔轉移。（111/3/1、113/8/1）</w:t>
      </w:r>
    </w:p>
    <w:p w:rsidR="00B96EA0" w:rsidRDefault="007D66B8" w:rsidP="005142EB">
      <w:pPr>
        <w:tabs>
          <w:tab w:val="left" w:pos="945"/>
        </w:tabs>
        <w:snapToGrid w:val="0"/>
        <w:spacing w:line="400" w:lineRule="exact"/>
        <w:ind w:left="1843" w:hanging="420"/>
        <w:rPr>
          <w:rFonts w:ascii="標楷體" w:eastAsia="標楷體" w:hAnsi="標楷體"/>
          <w:color w:val="000000"/>
          <w:szCs w:val="24"/>
        </w:rPr>
      </w:pPr>
      <w:r>
        <w:rPr>
          <w:rFonts w:ascii="標楷體" w:eastAsia="標楷體" w:hAnsi="標楷體"/>
          <w:color w:val="000000"/>
          <w:szCs w:val="24"/>
        </w:rPr>
        <w:t>Ⅲ.出現內臟轉移。</w:t>
      </w:r>
    </w:p>
    <w:p w:rsidR="00B96EA0" w:rsidRDefault="007D66B8" w:rsidP="005142EB">
      <w:pPr>
        <w:spacing w:line="400" w:lineRule="exact"/>
        <w:ind w:left="881" w:hanging="238"/>
      </w:pPr>
      <w:r>
        <w:rPr>
          <w:rFonts w:ascii="標楷體" w:eastAsia="標楷體" w:hAnsi="標楷體"/>
          <w:color w:val="000000"/>
          <w:szCs w:val="24"/>
        </w:rPr>
        <w:t>3.</w:t>
      </w:r>
      <w:r>
        <w:t xml:space="preserve"> </w:t>
      </w:r>
      <w:r>
        <w:rPr>
          <w:rFonts w:ascii="標楷體" w:eastAsia="標楷體" w:hAnsi="標楷體"/>
          <w:color w:val="000000"/>
          <w:szCs w:val="24"/>
        </w:rPr>
        <w:t>不論病人處於轉移或非轉移的狀態下，新型荷爾蒙藥品(abiraterone、apalutamide、darolutamide和enzalutamide) ，及olaparib 與 abiraterone併用，終生僅給付一種治療，且除非出現嚴重不耐受反應導致必須永久停止治療，不得互換。 (112/9/1、114/6/1)</w:t>
      </w:r>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9.91.Dabrafenib (如Tafinlar)、Trametinib (如Mekinist)：(110/3/1、113/3/1、113/6/1)</w:t>
      </w:r>
    </w:p>
    <w:p w:rsidR="00B96EA0" w:rsidRDefault="007D66B8" w:rsidP="005142EB">
      <w:pPr>
        <w:spacing w:line="400" w:lineRule="exact"/>
        <w:ind w:left="708" w:hanging="142"/>
      </w:pPr>
      <w:r>
        <w:rPr>
          <w:rFonts w:ascii="標楷體" w:eastAsia="標楷體" w:hAnsi="標楷體"/>
          <w:color w:val="000000"/>
        </w:rPr>
        <w:t>1.Dabrafenib和trametinib併用於治療BRAF V600突變陽性ECOG</w:t>
      </w:r>
      <w:r>
        <w:rPr>
          <w:rFonts w:ascii="Times New Roman" w:eastAsia="標楷體" w:hAnsi="Times New Roman"/>
          <w:color w:val="000000"/>
        </w:rPr>
        <w:t>≤</w:t>
      </w:r>
      <w:r>
        <w:rPr>
          <w:rFonts w:ascii="標楷體" w:eastAsia="標楷體" w:hAnsi="標楷體"/>
          <w:color w:val="000000"/>
        </w:rPr>
        <w:t xml:space="preserve"> 2且罹患無法切除(第ⅢC期)或轉移性(第Ⅳ期)黑色素瘤之病人：</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(1)需經事前審查核准後使用，每次申請療程以3個月為限，如發現病情惡化應停止使用。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(2)再申請時應檢附前次治療結果評估資料。</w:t>
      </w:r>
    </w:p>
    <w:p w:rsidR="00B96EA0" w:rsidRDefault="007D66B8" w:rsidP="005142EB">
      <w:pPr>
        <w:spacing w:line="400" w:lineRule="exact"/>
        <w:ind w:left="796" w:hanging="230"/>
        <w:rPr>
          <w:rFonts w:ascii="標楷體" w:eastAsia="標楷體" w:hAnsi="標楷體"/>
          <w:color w:val="000000"/>
        </w:rPr>
      </w:pPr>
      <w:r>
        <w:rPr>
          <w:rFonts w:ascii="標楷體" w:eastAsia="標楷體" w:hAnsi="標楷體"/>
          <w:color w:val="000000"/>
        </w:rPr>
        <w:t>2.Dabrafenib和trametinib併用於BRAF V600突變陽性且完全切除之第三期黑色素瘤病人術後輔助治療：</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(1)需經事前審查核准後使用，每次申請療程以6個月為限，如發現病情惡化應停止使用。</w:t>
      </w:r>
    </w:p>
    <w:p w:rsidR="00B96EA0" w:rsidRDefault="007D66B8" w:rsidP="005142EB">
      <w:pPr>
        <w:spacing w:line="400" w:lineRule="exact"/>
        <w:ind w:left="1356" w:hanging="365"/>
        <w:rPr>
          <w:rFonts w:ascii="標楷體" w:eastAsia="標楷體" w:hAnsi="標楷體"/>
          <w:color w:val="000000"/>
        </w:rPr>
      </w:pPr>
      <w:r>
        <w:rPr>
          <w:rFonts w:ascii="標楷體" w:eastAsia="標楷體" w:hAnsi="標楷體"/>
          <w:color w:val="000000"/>
        </w:rPr>
        <w:t>(2)限用1年。</w:t>
      </w:r>
    </w:p>
    <w:p w:rsidR="00B96EA0" w:rsidRDefault="007D66B8" w:rsidP="005142EB">
      <w:pPr>
        <w:spacing w:line="400" w:lineRule="exact"/>
        <w:ind w:left="840" w:hanging="274"/>
        <w:rPr>
          <w:rFonts w:ascii="標楷體" w:eastAsia="標楷體" w:hAnsi="標楷體"/>
          <w:color w:val="000000"/>
        </w:rPr>
      </w:pPr>
      <w:r>
        <w:rPr>
          <w:rFonts w:ascii="標楷體" w:eastAsia="標楷體" w:hAnsi="標楷體"/>
          <w:color w:val="000000"/>
        </w:rPr>
        <w:t>3.本品(dabrafenib併用trametinib之治療組合)與vemurafenib僅能擇一使用，除因耐受性不良，不得互換。</w:t>
      </w:r>
    </w:p>
    <w:p w:rsidR="00B96EA0" w:rsidRDefault="007D66B8" w:rsidP="005142EB">
      <w:pPr>
        <w:spacing w:line="400" w:lineRule="exact"/>
        <w:ind w:left="840" w:hanging="274"/>
      </w:pPr>
      <w:r>
        <w:lastRenderedPageBreak/>
        <w:t xml:space="preserve">4. </w:t>
      </w:r>
      <w:r>
        <w:rPr>
          <w:rFonts w:ascii="標楷體" w:eastAsia="標楷體" w:hAnsi="標楷體"/>
          <w:color w:val="000000"/>
        </w:rPr>
        <w:t>Dabrafenib與trametinib併用於治療BRAF V600E突變之轉移性(第IV期)非小細胞肺癌成人病人：(113/3/1、113/6/1)</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(1)作為先前已接受過第一線含鉑化學治療，但仍惡化的轉移性(第IV期)非小細胞肺癌成人病人第二線治療，使用本品無效後則不再給付該適應症相關之免疫檢查點PD-1、PD-L1抑制劑。</w:t>
      </w:r>
    </w:p>
    <w:p w:rsidR="00B96EA0" w:rsidRDefault="007D66B8" w:rsidP="005142EB">
      <w:pPr>
        <w:spacing w:line="400" w:lineRule="exact"/>
        <w:ind w:left="1416" w:hanging="422"/>
        <w:rPr>
          <w:rFonts w:ascii="標楷體" w:eastAsia="標楷體" w:hAnsi="標楷體"/>
          <w:color w:val="000000"/>
        </w:rPr>
      </w:pPr>
      <w:r>
        <w:rPr>
          <w:rFonts w:ascii="標楷體" w:eastAsia="標楷體" w:hAnsi="標楷體"/>
          <w:color w:val="000000"/>
        </w:rPr>
        <w:t>(2)須經事前審查核准後使用:</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I.初次申請時需檢附確實患有非小細胞肺癌之病理或細胞檢查報告以及 BRAF V600E 突變檢測報告，且需符合全民健康保險藥品給付規定之通則十二。</w:t>
      </w:r>
    </w:p>
    <w:p w:rsidR="00B96EA0" w:rsidRDefault="007D66B8" w:rsidP="005142EB">
      <w:pPr>
        <w:spacing w:line="400" w:lineRule="exact"/>
        <w:ind w:left="1699" w:hanging="283"/>
        <w:rPr>
          <w:rFonts w:ascii="標楷體" w:eastAsia="標楷體" w:hAnsi="標楷體"/>
          <w:color w:val="000000"/>
        </w:rPr>
      </w:pPr>
      <w:r>
        <w:rPr>
          <w:rFonts w:ascii="標楷體" w:eastAsia="標楷體" w:hAnsi="標楷體"/>
          <w:color w:val="000000"/>
        </w:rPr>
        <w:t>II.每次申請事前審查之療程以3個月為限，每3個月需再次申請，再次申請時並需附上治療後相關臨床資料，若病情惡化即不得再次申請。</w:t>
      </w:r>
    </w:p>
    <w:p w:rsidR="00B96EA0" w:rsidRDefault="007D66B8" w:rsidP="005142EB">
      <w:pPr>
        <w:spacing w:line="400" w:lineRule="exact"/>
        <w:ind w:left="283"/>
        <w:rPr>
          <w:rFonts w:ascii="標楷體" w:eastAsia="標楷體" w:hAnsi="標楷體"/>
          <w:color w:val="000000"/>
        </w:rPr>
      </w:pPr>
      <w:bookmarkStart w:id="34" w:name="_Hlk70327755"/>
      <w:r>
        <w:rPr>
          <w:rFonts w:ascii="標楷體" w:eastAsia="標楷體" w:hAnsi="標楷體"/>
          <w:color w:val="000000"/>
        </w:rPr>
        <w:t>9.92. Ramucirumab (如Cyramza)：(110/5/1)</w:t>
      </w:r>
    </w:p>
    <w:p w:rsidR="00B96EA0" w:rsidRDefault="007D66B8" w:rsidP="005142EB">
      <w:pPr>
        <w:spacing w:line="400" w:lineRule="exact"/>
        <w:ind w:left="814" w:hanging="245"/>
      </w:pPr>
      <w:r>
        <w:rPr>
          <w:rFonts w:ascii="標楷體" w:eastAsia="標楷體" w:hAnsi="標楷體"/>
          <w:color w:val="000000"/>
        </w:rPr>
        <w:t>1.單一療法適用於接受過sorafenib治療失敗後之轉移性或無法手術切除且不適合局部治療或局部治療失敗，且alpha- fetoprotein (AFP)</w:t>
      </w:r>
      <w:r>
        <w:rPr>
          <w:rFonts w:ascii="Times New Roman" w:eastAsia="標楷體" w:hAnsi="Times New Roman"/>
          <w:color w:val="000000"/>
        </w:rPr>
        <w:t>≥</w:t>
      </w:r>
      <w:r>
        <w:rPr>
          <w:rFonts w:ascii="標楷體" w:eastAsia="標楷體" w:hAnsi="標楷體"/>
          <w:color w:val="000000"/>
        </w:rPr>
        <w:t xml:space="preserve"> 400ng/mL之Child-Pugh A class晚期肝細胞癌成人患者。</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2.需經事前審查核准後使用，初次申請之療程以12週為限，之後每8週評估一次。送審時需檢送影像資料，無疾病惡化方可繼續使用。</w:t>
      </w:r>
    </w:p>
    <w:p w:rsidR="00B96EA0" w:rsidRDefault="007D66B8" w:rsidP="005142EB">
      <w:pPr>
        <w:spacing w:line="400" w:lineRule="exact"/>
        <w:ind w:left="814" w:hanging="245"/>
        <w:rPr>
          <w:rFonts w:ascii="標楷體" w:eastAsia="標楷體" w:hAnsi="標楷體"/>
          <w:color w:val="000000"/>
        </w:rPr>
      </w:pPr>
      <w:r>
        <w:rPr>
          <w:rFonts w:ascii="標楷體" w:eastAsia="標楷體" w:hAnsi="標楷體"/>
          <w:color w:val="000000"/>
        </w:rPr>
        <w:t>3.Ramucirumab與regorafenib、nivolumab僅能擇一使用，不得互換。</w:t>
      </w:r>
      <w:bookmarkEnd w:id="34"/>
    </w:p>
    <w:p w:rsidR="00B96EA0" w:rsidRDefault="007D66B8" w:rsidP="005142EB">
      <w:pPr>
        <w:spacing w:line="400" w:lineRule="exact"/>
        <w:ind w:left="283"/>
        <w:rPr>
          <w:rFonts w:ascii="標楷體" w:eastAsia="標楷體" w:hAnsi="標楷體"/>
          <w:color w:val="000000"/>
        </w:rPr>
      </w:pPr>
      <w:r>
        <w:rPr>
          <w:rFonts w:ascii="標楷體" w:eastAsia="標楷體" w:hAnsi="標楷體"/>
          <w:color w:val="000000"/>
        </w:rPr>
        <w:t>9.93.Entrectinib (如Rozlytrek)：(110/7/1、113/6/1)</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1.單獨使用於ROS-1陽性之局部晚期或轉移性非小細胞肺癌的成人病人。</w:t>
      </w:r>
    </w:p>
    <w:p w:rsidR="00B96EA0" w:rsidRDefault="007D66B8" w:rsidP="005142EB">
      <w:pPr>
        <w:spacing w:line="400" w:lineRule="exact"/>
        <w:ind w:left="566"/>
        <w:rPr>
          <w:rFonts w:ascii="標楷體" w:eastAsia="標楷體" w:hAnsi="標楷體"/>
          <w:color w:val="000000"/>
        </w:rPr>
      </w:pPr>
      <w:r>
        <w:rPr>
          <w:rFonts w:ascii="標楷體" w:eastAsia="標楷體" w:hAnsi="標楷體"/>
          <w:color w:val="000000"/>
        </w:rPr>
        <w:t>2.須經事前審查核准後使用：(113/6/1)</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需檢具確實患有非小細胞肺癌之病理或細胞檢查報告，以及符合診斷之ROS-1突變檢測報告，且需符合全民健康保險藥品給付規定之通則十二。</w:t>
      </w:r>
    </w:p>
    <w:p w:rsidR="00B96EA0" w:rsidRDefault="007D66B8" w:rsidP="005142EB">
      <w:pPr>
        <w:spacing w:line="400" w:lineRule="exact"/>
        <w:ind w:left="1416" w:hanging="425"/>
        <w:rPr>
          <w:rFonts w:ascii="標楷體" w:eastAsia="標楷體" w:hAnsi="標楷體"/>
          <w:color w:val="000000"/>
        </w:rPr>
      </w:pPr>
      <w:r>
        <w:rPr>
          <w:rFonts w:ascii="標楷體" w:eastAsia="標楷體" w:hAnsi="標楷體"/>
          <w:color w:val="000000"/>
        </w:rPr>
        <w:t>(2)</w:t>
      </w:r>
      <w:r>
        <w:rPr>
          <w:rFonts w:ascii="標楷體" w:eastAsia="標楷體" w:hAnsi="標楷體"/>
          <w:color w:val="000000"/>
        </w:rPr>
        <w:tab/>
        <w:t>每次申請事前審查之療程以三個月為限，每三個月需再次申請，再次申請時並需附上治療後相關臨床資料，如給藥4週後，需追蹤胸部X光或電腦斷層等影像檢查評估療效，往後每4週做胸部X光檢查，每隔8週需追蹤其作為評估藥效的影像(如胸部X光或電腦斷層)，若病情惡化即不得再次申請。</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3.Entrectinib與crizotinib用於ROS-1陽性之晚期非小細胞肺癌時，僅得擇一使用，除因病人使用後，發生嚴重不良反應或耐受不良之情形外，不得互換。</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4.每日最大劑量限600mg。</w:t>
      </w:r>
    </w:p>
    <w:p w:rsidR="00B96EA0" w:rsidRDefault="007D66B8" w:rsidP="005142EB">
      <w:pPr>
        <w:spacing w:line="400" w:lineRule="exact"/>
        <w:ind w:left="567" w:hanging="245"/>
      </w:pPr>
      <w:bookmarkStart w:id="35" w:name="_Hlk198656405"/>
      <w:bookmarkStart w:id="36" w:name="_Hlk85807933"/>
      <w:r>
        <w:rPr>
          <w:rFonts w:ascii="標楷體" w:eastAsia="標楷體" w:hAnsi="標楷體"/>
          <w:color w:val="000000"/>
        </w:rPr>
        <w:t>9.94.</w:t>
      </w:r>
      <w:r>
        <w:t xml:space="preserve"> </w:t>
      </w:r>
      <w:r>
        <w:rPr>
          <w:rFonts w:ascii="標楷體" w:eastAsia="標楷體" w:hAnsi="標楷體"/>
          <w:color w:val="000000"/>
        </w:rPr>
        <w:t>Darolutamide(如Nubeqa)：(110/11/1、112/9/1、113/5/1、113/8/1)</w:t>
      </w:r>
    </w:p>
    <w:p w:rsidR="00B96EA0" w:rsidRDefault="007D66B8" w:rsidP="005142EB">
      <w:pPr>
        <w:spacing w:line="400" w:lineRule="exact"/>
        <w:ind w:left="811" w:hanging="245"/>
      </w:pPr>
      <w:r>
        <w:rPr>
          <w:rFonts w:ascii="標楷體" w:eastAsia="標楷體" w:hAnsi="標楷體"/>
          <w:color w:val="000000"/>
        </w:rPr>
        <w:t>1.與docetaxel併用於治療高風險轉移性的去勢敏感性前列腺癌(mCSPC)，總療程以24個月為上限。(113/5/1、114/6/1)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146" w:hanging="340"/>
        <w:rPr>
          <w:rFonts w:ascii="標楷體" w:eastAsia="標楷體" w:hAnsi="標楷體"/>
          <w:color w:val="000000"/>
        </w:rPr>
      </w:pPr>
      <w:r>
        <w:rPr>
          <w:rFonts w:ascii="標楷體" w:eastAsia="標楷體" w:hAnsi="標楷體"/>
          <w:color w:val="000000"/>
        </w:rPr>
        <w:t>(2)每3個月需再次申請，再申請時若PSA值下降未超過治療前的50%以上，則需停藥。</w:t>
      </w:r>
    </w:p>
    <w:p w:rsidR="00B96EA0" w:rsidRDefault="007D66B8" w:rsidP="005142EB">
      <w:pPr>
        <w:spacing w:line="400" w:lineRule="exact"/>
        <w:ind w:left="1146" w:hanging="340"/>
        <w:rPr>
          <w:rFonts w:ascii="標楷體" w:eastAsia="標楷體" w:hAnsi="標楷體"/>
          <w:color w:val="000000"/>
        </w:rPr>
      </w:pPr>
      <w:r>
        <w:rPr>
          <w:rFonts w:ascii="標楷體" w:eastAsia="標楷體" w:hAnsi="標楷體"/>
          <w:color w:val="000000"/>
        </w:rPr>
        <w:t>(3)下降達最低值後之持續追蹤出現PSA較最低值上升50%以上且PSA≧2ng/mL，則需</w:t>
      </w:r>
      <w:r>
        <w:rPr>
          <w:rFonts w:ascii="標楷體" w:eastAsia="標楷體" w:hAnsi="標楷體"/>
          <w:color w:val="000000"/>
        </w:rPr>
        <w:lastRenderedPageBreak/>
        <w:t>停藥，但影像學證據尚無疾病進展者，可以繼續使用。</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(4)前述高風險需符合下列三項條件中至少兩項(113/5/1、113/8/1)：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Ⅰ.葛里森分數(Gleason score)≧8。</w:t>
      </w:r>
    </w:p>
    <w:p w:rsidR="00B96EA0" w:rsidRDefault="007D66B8" w:rsidP="005142EB">
      <w:pPr>
        <w:spacing w:line="400" w:lineRule="exact"/>
        <w:ind w:left="1373" w:hanging="454"/>
      </w:pPr>
      <w:r>
        <w:rPr>
          <w:rFonts w:ascii="標楷體" w:eastAsia="標楷體" w:hAnsi="標楷體"/>
          <w:color w:val="000000"/>
        </w:rPr>
        <w:t xml:space="preserve"> Ⅱ.</w:t>
      </w:r>
      <w:r>
        <w:t xml:space="preserve"> </w:t>
      </w:r>
      <w:r>
        <w:rPr>
          <w:rFonts w:ascii="標楷體" w:eastAsia="標楷體" w:hAnsi="標楷體"/>
          <w:color w:val="000000"/>
        </w:rPr>
        <w:t>骨骼掃描出現三個(含)以上病灶且至少其中一處以上為非脊柱及非骨盆腔轉移。(113/5/1、113/8/1)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Ⅲ.出現內臟轉移。</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 xml:space="preserve">(5)與docetaxel併用，docetaxel  </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 xml:space="preserve">   限使用6個療程，且須符合下列所有條件：</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Ⅰ.ECOG≦1。</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Ⅱ.絕對嗜中性球計數≧1500/mm3。</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Ⅲ.血小板計數≧100,000/mm3。</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IV.GPT≦2倍之正常值上限。</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V.Total bilirubin≦正常值上限。</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VI.eGFR≧30mL/min/1.73m2 </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2.治療高風險非轉移性去勢抗性前列腺癌(high risk nmCRPC)的成年男性。</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(1)須經事前審查核准後使用。</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(2)初次申請時需檢附病理報告、使用雄性素去除療法紀錄，系列PSA和睪固酮數據，三個月內影像報告證明無遠端轉移。</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(3)ECOG分數須≦1。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(4)PSA doubling time≦10個月，PSA倍增之時間，應依線性回歸模型計算，且其參數取得需基於下列原則：（112/9/1）</w:t>
      </w:r>
    </w:p>
    <w:p w:rsidR="00B96EA0" w:rsidRDefault="007D66B8" w:rsidP="005142EB">
      <w:pPr>
        <w:spacing w:line="400" w:lineRule="exact"/>
        <w:ind w:left="1373" w:hanging="454"/>
        <w:rPr>
          <w:rFonts w:ascii="標楷體" w:eastAsia="標楷體" w:hAnsi="標楷體"/>
          <w:color w:val="000000"/>
        </w:rPr>
      </w:pPr>
      <w:r>
        <w:rPr>
          <w:rFonts w:ascii="標楷體" w:eastAsia="標楷體" w:hAnsi="標楷體"/>
          <w:color w:val="000000"/>
        </w:rPr>
        <w:t xml:space="preserve"> Ⅰ.至少三個連續PSA測量值，且各測量值皆≧0.2 ng/mL（最高的PSA值必須&gt;1.0ng/ml）。</w:t>
      </w:r>
    </w:p>
    <w:p w:rsidR="00B96EA0" w:rsidRDefault="007D66B8" w:rsidP="005142EB">
      <w:pPr>
        <w:spacing w:line="400" w:lineRule="exact"/>
        <w:ind w:left="1373" w:hanging="454"/>
        <w:rPr>
          <w:rFonts w:ascii="標楷體" w:eastAsia="標楷體" w:hAnsi="標楷體"/>
          <w:color w:val="000000"/>
        </w:rPr>
      </w:pPr>
      <w:r>
        <w:rPr>
          <w:rFonts w:ascii="標楷體" w:eastAsia="標楷體" w:hAnsi="標楷體"/>
          <w:color w:val="000000"/>
        </w:rPr>
        <w:t xml:space="preserve"> Ⅱ.應包含先前ADT治療期間的測量值，且最少一測量值為最近3個月內測得之PSA數值。</w:t>
      </w:r>
    </w:p>
    <w:p w:rsidR="00B96EA0" w:rsidRDefault="007D66B8" w:rsidP="005142EB">
      <w:pPr>
        <w:spacing w:line="400" w:lineRule="exact"/>
        <w:ind w:left="1163" w:hanging="244"/>
        <w:rPr>
          <w:rFonts w:ascii="標楷體" w:eastAsia="標楷體" w:hAnsi="標楷體"/>
          <w:color w:val="000000"/>
        </w:rPr>
      </w:pPr>
      <w:r>
        <w:rPr>
          <w:rFonts w:ascii="標楷體" w:eastAsia="標楷體" w:hAnsi="標楷體"/>
          <w:color w:val="000000"/>
        </w:rPr>
        <w:t xml:space="preserve"> Ⅲ.第一個和最後一個PSA測量值間隔需≧8週，但≦12個月。</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(5)每3個月需再次申請，申請之療程以3個月為限。再次申請時，有 PSA progression 者，需檢附影像學報告，若影像學報告證實轉移，則需停藥;無PSA progression 者，則每6個月需檢附影像學報告，若影像學報告證實轉移，則需停藥。（112/9/1）</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註：</w:t>
      </w:r>
    </w:p>
    <w:p w:rsidR="00B96EA0" w:rsidRDefault="007D66B8" w:rsidP="005142EB">
      <w:pPr>
        <w:spacing w:line="400" w:lineRule="exact"/>
        <w:ind w:left="806"/>
        <w:rPr>
          <w:rFonts w:ascii="標楷體" w:eastAsia="標楷體" w:hAnsi="標楷體"/>
          <w:color w:val="000000"/>
        </w:rPr>
      </w:pPr>
      <w:r>
        <w:rPr>
          <w:rFonts w:ascii="標楷體" w:eastAsia="標楷體" w:hAnsi="標楷體"/>
          <w:color w:val="000000"/>
        </w:rPr>
        <w:t>PSA progression 定義為:PSA下降 達最低值(nadir)後，出現 PSA 值上升較 nadir≧25%，且PSA≧2 ng/mL，並於至少3週後，再次抽血 確認PSA值有上升趨勢。</w:t>
      </w:r>
    </w:p>
    <w:p w:rsidR="00B96EA0" w:rsidRDefault="007D66B8" w:rsidP="005142EB">
      <w:pPr>
        <w:spacing w:line="400" w:lineRule="exact"/>
        <w:ind w:left="811" w:hanging="245"/>
      </w:pPr>
      <w:r>
        <w:rPr>
          <w:rFonts w:ascii="標楷體" w:eastAsia="標楷體" w:hAnsi="標楷體"/>
          <w:color w:val="000000"/>
        </w:rPr>
        <w:t>3.</w:t>
      </w:r>
      <w:r>
        <w:t xml:space="preserve"> </w:t>
      </w:r>
      <w:r>
        <w:rPr>
          <w:rFonts w:ascii="標楷體" w:eastAsia="標楷體" w:hAnsi="標楷體"/>
          <w:color w:val="000000"/>
        </w:rPr>
        <w:t>不論病人處於轉移或非轉移的狀態下，新型荷爾蒙藥品(abiraterone、apalutamide、darolutamide和enzalutamide) ，及olaparib 與 abiraterone併</w:t>
      </w:r>
      <w:r>
        <w:rPr>
          <w:rFonts w:ascii="標楷體" w:eastAsia="標楷體" w:hAnsi="標楷體"/>
          <w:color w:val="000000"/>
        </w:rPr>
        <w:lastRenderedPageBreak/>
        <w:t>用，終生僅給付一種治療，且除非出現嚴重不耐受反應導致必須永久停止治療，不得互換。(112/9/1、114/6/1)</w:t>
      </w:r>
      <w:bookmarkEnd w:id="35"/>
    </w:p>
    <w:bookmarkEnd w:id="36"/>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9.95.Larotrectinib (如Vitrakvi)：(111/3/1、111/6/1、112/12/1、113/6/1)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w:t>
      </w:r>
      <w:r>
        <w:rPr>
          <w:rFonts w:ascii="標楷體" w:eastAsia="標楷體" w:hAnsi="標楷體"/>
          <w:color w:val="000000"/>
        </w:rPr>
        <w:tab/>
        <w:t>適用於有NTRK基因融合的實體腫瘤成人和兒童病人，並應符合以下條件：(112/12/1)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(1)具NTRK基因融合且無已知的後天阻抗性突變(acquired resistance mutation)。</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(2)為轉移性實體腫瘤，或手術切除極可能造成嚴重病症(severe morbidity)。</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(3)沒有合適的替代治療選項(包含免疫檢查點抑制劑)。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2.前述1.之兒童(未滿18 歲)病人，除了嬰兒纖維肉瘤可作為(含)一線以上使用外，其餘適應症須為曾接受一線治療後無效或復發的病人。（112/12/1)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3.前述1.之成人(≧18歲)病人，包括之適應症有:（112/12/1)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(1)非小細胞肺癌:</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I.不適合接受化學治療之晚期非小細胞肺癌成人患者，非鱗狀癌者需為EGFR/ALK/ROS-1 腫瘤基因原生型、鱗狀癌者需為EGFR/ALK 腫瘤基因原生型。</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Ⅱ.先前已使用過platinum 類化學治療失敗後，又有疾病惡化，且EGFR/ALK 腫瘤基因為原生型之晚期鱗狀非小細胞肺癌患者。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Ⅲ.先前已使用過platinum 類及docetaxel /paclitaxel 類二線(含)以上化學治療均失敗，又有疾病惡化，且EGFR/ALK/ROS-1 腫瘤基因為原生型之晚期非小細胞肺腺癌患者。</w:t>
      </w:r>
    </w:p>
    <w:p w:rsidR="00B96EA0" w:rsidRDefault="007D66B8" w:rsidP="005142EB">
      <w:pPr>
        <w:spacing w:line="400" w:lineRule="exact"/>
        <w:ind w:left="1461" w:hanging="244"/>
        <w:rPr>
          <w:rFonts w:ascii="標楷體" w:eastAsia="標楷體" w:hAnsi="標楷體"/>
          <w:color w:val="000000"/>
        </w:rPr>
      </w:pPr>
      <w:r>
        <w:rPr>
          <w:rFonts w:ascii="標楷體" w:eastAsia="標楷體" w:hAnsi="標楷體"/>
          <w:color w:val="000000"/>
        </w:rPr>
        <w:t>Ⅳ.先前曾接受過至少一線anti-EGFR TKI 治療失敗，且因NTRK 基因融合對anti-EGFR TKI 產生抗性之局部侵犯性或轉移性之EGFR 突變非小細胞肺癌患者。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(2)大腸直腸癌:先前已使用過FOLFIRI（folinic acid/5- fluorouracil/irinotecan）或FOLFOX（folinic acid/5- fluorouracil/oxaliplatin）治療失敗，又有疾病惡化之轉移性直腸結腸癌患者。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(3)黑色素瘤:先前曾接受過至少一次全身性治療失敗，又有疾病惡化，且BRAF腫瘤基因為原生型之無法手術切除或轉移的第三期或第四期黑色素瘤患者。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(4)胰臟癌:先前曾接受過至少一次全身性治療失敗，又有疾病惡化，無法手術切除或轉移性胰臟癌患者。</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(5)甲狀腺癌:用於放射性碘治療無效之局部晚期或轉移性的進行性 (progressive)甲狀腺癌。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 xml:space="preserve">(6)惡性神經膠質瘤或退行性星狀細胞瘤:先前曾接受過標準放射線治療以及化學藥物治療失敗之高度惡性神經膠質瘤(WHO 第4級)或退行性星狀細胞瘤(WHO 第3-4 </w:t>
      </w:r>
      <w:r>
        <w:rPr>
          <w:rFonts w:ascii="標楷體" w:eastAsia="標楷體" w:hAnsi="標楷體"/>
          <w:color w:val="000000"/>
        </w:rPr>
        <w:lastRenderedPageBreak/>
        <w:t>級)。</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(7)肝內膽管癌:先前曾接受過至少一次全身性治療失敗，又有疾病惡化，無法手術切除或晚期或復發之膽道癌(含肝內膽管)病患。</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(8)軟組織肉瘤:用於治療先前曾接受化療失敗的晚期軟組織肉瘤(STS)患者。其病情若能接受手術治療者，須先經手術治療。</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(9)胃腸道基質瘤:先前曾接受過至少一次全身性治療失敗，又有疾病惡化，無法手術切除或轉移的惡性胃腸道基質瘤。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(10)唾液腺腫瘤:無法手術切除或轉移的唾液腺腫瘤。</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(11)骨癌:無法手術切除或轉移的骨癌。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(12)闌尾癌:先前曾接受過至少一次全身性治療失敗，又有疾病惡化，無法手術切除或轉移的闌尾癌。</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(13)分泌型乳腺癌:先前曾接受過前導性、術後輔助性或轉移性化學治療的轉移性分泌型乳腺癌。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4.需經事前審查核准後使用：(111/3/1、111/6/1、113/6/1)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(1)每次申請之療程以12週為限。</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(2)初次申請時需檢附NTRK基因融合檢測報告。NTRK 1/2/3檢測需符合全民健康保險藥品給付規定之通則十二。(111/6/1、113/6/1)</w:t>
      </w:r>
    </w:p>
    <w:p w:rsidR="00B96EA0" w:rsidRDefault="007D66B8" w:rsidP="005142EB">
      <w:pPr>
        <w:spacing w:line="400" w:lineRule="exact"/>
        <w:ind w:left="1134" w:hanging="245"/>
        <w:rPr>
          <w:rFonts w:ascii="標楷體" w:eastAsia="標楷體" w:hAnsi="標楷體"/>
          <w:color w:val="000000"/>
        </w:rPr>
      </w:pPr>
      <w:r>
        <w:rPr>
          <w:rFonts w:ascii="標楷體" w:eastAsia="標楷體" w:hAnsi="標楷體"/>
          <w:color w:val="000000"/>
        </w:rPr>
        <w:t>(3)再次申請時需檢附療效評估資料證實無疾病進展，才可繼續使用。</w:t>
      </w:r>
    </w:p>
    <w:p w:rsidR="00B96EA0" w:rsidRDefault="007D66B8" w:rsidP="005142EB">
      <w:pPr>
        <w:spacing w:line="400" w:lineRule="exact"/>
        <w:ind w:left="567" w:hanging="245"/>
        <w:rPr>
          <w:rFonts w:ascii="標楷體" w:eastAsia="標楷體" w:hAnsi="標楷體"/>
          <w:color w:val="000000"/>
        </w:rPr>
      </w:pPr>
      <w:bookmarkStart w:id="37" w:name="_Hlk101789957"/>
      <w:r>
        <w:rPr>
          <w:rFonts w:ascii="標楷體" w:eastAsia="標楷體" w:hAnsi="標楷體"/>
          <w:color w:val="000000"/>
        </w:rPr>
        <w:t>9.96.Decitabine：(111/5/1)</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1.骨髓增生不良症候群高危險性病患：頑固性貧血併有過量芽細胞（RA with excess blasts, RAEB）、轉變中的頑固性貧血併有過量芽細胞（RAEB in transformation, RAEB-T）、及慢性骨髓單核細胞性白血病（chronic myelomonocytic leukemia, CMMoL）。</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2.初次申請時需經事前審查核准後使用。</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3.續用本藥品不需再事前審查，惟病歷應留存確診之病理或影像診斷證明等報告，並記錄治療相關臨床資料。病患倘病情惡化至急性骨髓性白血病即應停藥。</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4.急性骨髓性白血病之定義：骨髓芽細胞（myeloblast）大於30%。</w:t>
      </w:r>
    </w:p>
    <w:p w:rsidR="00B96EA0" w:rsidRDefault="007D66B8" w:rsidP="005142EB">
      <w:pPr>
        <w:spacing w:line="400" w:lineRule="exact"/>
        <w:ind w:left="811" w:hanging="245"/>
        <w:rPr>
          <w:rFonts w:ascii="標楷體" w:eastAsia="標楷體" w:hAnsi="標楷體"/>
          <w:color w:val="000000"/>
        </w:rPr>
      </w:pPr>
      <w:r>
        <w:rPr>
          <w:rFonts w:ascii="標楷體" w:eastAsia="標楷體" w:hAnsi="標楷體"/>
          <w:color w:val="000000"/>
        </w:rPr>
        <w:t>5.本藥品與azacitidine僅能擇一使用，除因耐受性不良，不得互換。使用本藥品無效後，不得再申請azacitidine。</w:t>
      </w:r>
      <w:bookmarkEnd w:id="37"/>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9.97.Avapritinib (如Ayvakit)：(111/6/1、113/6/1)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1.治療具有血小板衍生生長因子α受體(PDGFRA)D842V突變之無法切除或轉移性腸胃道間質瘤的成年病人。</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2.需經事前審查核准後使用，初次申請時需檢附血小板衍生生長因子α受體(PDGFRA)D842V突變檢測報告，且需符合全民健康保險藥品給付規定之通則十二。(111/6/1、113/6/1)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3.每次申請事前審查之療程以6個月為限，再次申請必須提出客觀證據(如：影像學)證</w:t>
      </w:r>
      <w:r>
        <w:rPr>
          <w:rFonts w:ascii="標楷體" w:eastAsia="標楷體" w:hAnsi="標楷體"/>
          <w:color w:val="000000"/>
        </w:rPr>
        <w:lastRenderedPageBreak/>
        <w:t>實無惡化，才可繼續使用。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4.每日至多處方100mg 2粒或300mg 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9.98.Pemigatinib (如Pemazyre)：(112/5/1、113/6/1)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1.適用於成人接受過全身性藥物治療、腫瘤具有FGFR2融合或重排、不可手術切除的局部晚期或轉移性肝內膽管癌。</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2.需經事前審查核准後使用，初次申請需檢附腫瘤組織具有FGFR2基因融合或重排之基因變異檢測報告，且需符合全民健康保險藥品給付規定之通則十二。(113/6/1)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3.核准後每12週需再次申請，再次申請時需檢附療效評估資料證實無疾病惡化，才可繼續使用。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4.每日限處方1粒。</w:t>
      </w:r>
    </w:p>
    <w:p w:rsidR="00B96EA0" w:rsidRDefault="007D66B8" w:rsidP="005142EB">
      <w:pPr>
        <w:spacing w:line="400" w:lineRule="exact"/>
        <w:ind w:left="567" w:hanging="245"/>
        <w:rPr>
          <w:rFonts w:ascii="標楷體" w:eastAsia="標楷體" w:hAnsi="標楷體"/>
          <w:color w:val="000000"/>
        </w:rPr>
      </w:pPr>
      <w:r>
        <w:rPr>
          <w:rFonts w:ascii="標楷體" w:eastAsia="標楷體" w:hAnsi="標楷體"/>
          <w:color w:val="000000"/>
        </w:rPr>
        <w:t>9.99.Gilteritinib(如Xospata)：(112/6/1、113/6/1)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1.限單獨使用於具有FLT3突變的復發性或難治性急性骨髓性白血病(R/R AML)且計畫進行造血幹細胞移植的成年病人，限移植前使用，每位病人限給付6療程。病患須至少接受過一次 含anthracycline藥物的化學治療。</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2.須事前審查核准後使用，初次申請時須檢附：</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(1)相關病歷資料。</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(2)完整之造血幹細胞移植計畫，並詳細記載確認捐贈者名單及移植前調適治療等資料。需由具訓練血液及骨髓移植醫師能力之醫院申請，並由完成血液及骨髓移植訓練之醫師確認移植計畫。</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(3)染色體檢驗報告，若為unfavorable karyotype(包含complex karyotype、-5、-5q、 -7、-7q、除t(9;11)外的11q23 abnormalities、inv(3)、(3;3)、t(6;9)以及t(9;22)等) 則不予給付。</w:t>
      </w:r>
    </w:p>
    <w:p w:rsidR="00B96EA0" w:rsidRDefault="007D66B8" w:rsidP="005142EB">
      <w:pPr>
        <w:spacing w:line="400" w:lineRule="exact"/>
        <w:ind w:left="1051" w:hanging="245"/>
        <w:rPr>
          <w:rFonts w:ascii="標楷體" w:eastAsia="標楷體" w:hAnsi="標楷體"/>
          <w:color w:val="000000"/>
        </w:rPr>
      </w:pPr>
      <w:r>
        <w:rPr>
          <w:rFonts w:ascii="標楷體" w:eastAsia="標楷體" w:hAnsi="標楷體"/>
          <w:color w:val="000000"/>
        </w:rPr>
        <w:t>(4)檢附之FLT3突變檢測結果報告，需符合全民健康保險藥品給付規定之通則十二。(113/6/1)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3.每次申請為二個療程；續申請次二個療程時須檢附達到PR、CRi 或CR的證明方可續用。申請劑量以每日120mg為上限。</w:t>
      </w:r>
    </w:p>
    <w:p w:rsidR="007155BC" w:rsidRDefault="007155BC" w:rsidP="007155BC">
      <w:pPr>
        <w:spacing w:line="400" w:lineRule="exact"/>
        <w:ind w:left="610" w:hanging="245"/>
        <w:rPr>
          <w:rFonts w:ascii="標楷體" w:eastAsia="標楷體" w:hAnsi="標楷體"/>
          <w:color w:val="000000"/>
        </w:rPr>
      </w:pPr>
      <w:bookmarkStart w:id="38" w:name="_Hlk209191918"/>
      <w:r>
        <w:rPr>
          <w:rFonts w:ascii="標楷體" w:eastAsia="標楷體" w:hAnsi="標楷體"/>
          <w:color w:val="000000"/>
        </w:rPr>
        <w:t>9.100.Acalabrutinib(如Calquence)：(112/7/1、112/12/1</w:t>
      </w:r>
      <w:r>
        <w:rPr>
          <w:rFonts w:ascii="標楷體" w:eastAsia="標楷體" w:hAnsi="標楷體" w:hint="eastAsia"/>
          <w:color w:val="000000"/>
        </w:rPr>
        <w:t>、114/10/1</w:t>
      </w:r>
      <w:r>
        <w:rPr>
          <w:rFonts w:ascii="標楷體" w:eastAsia="標楷體" w:hAnsi="標楷體"/>
          <w:color w:val="000000"/>
        </w:rPr>
        <w:t>)</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1.單獨使用於先前接受過至少一種化學或標靶治療方式無效或復發的被套細胞淋巴瘤成年病人。</w:t>
      </w:r>
    </w:p>
    <w:p w:rsidR="007155BC" w:rsidRDefault="007155BC" w:rsidP="007155BC">
      <w:pPr>
        <w:pStyle w:val="a9"/>
        <w:numPr>
          <w:ilvl w:val="0"/>
          <w:numId w:val="43"/>
        </w:numPr>
        <w:spacing w:line="400" w:lineRule="exact"/>
        <w:rPr>
          <w:rFonts w:ascii="標楷體" w:eastAsia="標楷體" w:hAnsi="標楷體"/>
          <w:color w:val="000000"/>
        </w:rPr>
      </w:pPr>
      <w:r w:rsidRPr="005C0189">
        <w:rPr>
          <w:rFonts w:ascii="標楷體" w:eastAsia="標楷體" w:hAnsi="標楷體"/>
          <w:color w:val="000000"/>
        </w:rPr>
        <w:t>需經事前審查核准後使用。首次申請事前審查之療程以4個月為限，之後每3個月需再次申請，再次申請時應檢附前次治療結果評估資料，如影像學檢查報告。</w:t>
      </w:r>
    </w:p>
    <w:p w:rsidR="007155BC" w:rsidRDefault="007155BC" w:rsidP="007155BC">
      <w:pPr>
        <w:pStyle w:val="a9"/>
        <w:numPr>
          <w:ilvl w:val="0"/>
          <w:numId w:val="43"/>
        </w:numPr>
        <w:spacing w:line="400" w:lineRule="exact"/>
        <w:rPr>
          <w:rFonts w:ascii="標楷體" w:eastAsia="標楷體" w:hAnsi="標楷體"/>
          <w:color w:val="000000"/>
        </w:rPr>
      </w:pPr>
      <w:r w:rsidRPr="005C0189">
        <w:rPr>
          <w:rFonts w:ascii="標楷體" w:eastAsia="標楷體" w:hAnsi="標楷體"/>
          <w:color w:val="000000"/>
        </w:rPr>
        <w:t>若疾病進展，則必須停止使用。</w:t>
      </w:r>
    </w:p>
    <w:p w:rsidR="007155BC" w:rsidRDefault="007155BC" w:rsidP="007155BC">
      <w:pPr>
        <w:pStyle w:val="a9"/>
        <w:numPr>
          <w:ilvl w:val="0"/>
          <w:numId w:val="43"/>
        </w:numPr>
        <w:spacing w:line="400" w:lineRule="exact"/>
        <w:rPr>
          <w:rFonts w:ascii="標楷體" w:eastAsia="標楷體" w:hAnsi="標楷體"/>
          <w:color w:val="000000"/>
        </w:rPr>
      </w:pPr>
      <w:r w:rsidRPr="005C0189">
        <w:rPr>
          <w:rFonts w:ascii="標楷體" w:eastAsia="標楷體" w:hAnsi="標楷體"/>
          <w:color w:val="000000"/>
        </w:rPr>
        <w:t>每位病人限給付20個月。</w:t>
      </w:r>
    </w:p>
    <w:p w:rsidR="007155BC" w:rsidRDefault="007155BC" w:rsidP="007155BC">
      <w:pPr>
        <w:pStyle w:val="a9"/>
        <w:numPr>
          <w:ilvl w:val="0"/>
          <w:numId w:val="43"/>
        </w:numPr>
        <w:spacing w:line="400" w:lineRule="exact"/>
        <w:rPr>
          <w:rFonts w:ascii="標楷體" w:eastAsia="標楷體" w:hAnsi="標楷體"/>
          <w:color w:val="000000"/>
        </w:rPr>
      </w:pPr>
      <w:r w:rsidRPr="005C0189">
        <w:rPr>
          <w:rFonts w:ascii="標楷體" w:eastAsia="標楷體" w:hAnsi="標楷體"/>
          <w:color w:val="000000"/>
        </w:rPr>
        <w:t>每日至多處方2粒。</w:t>
      </w:r>
    </w:p>
    <w:p w:rsidR="007155BC" w:rsidRPr="005C0189" w:rsidRDefault="007155BC" w:rsidP="007155BC">
      <w:pPr>
        <w:pStyle w:val="a9"/>
        <w:numPr>
          <w:ilvl w:val="0"/>
          <w:numId w:val="43"/>
        </w:numPr>
        <w:spacing w:line="400" w:lineRule="exact"/>
        <w:rPr>
          <w:rFonts w:ascii="標楷體" w:eastAsia="標楷體" w:hAnsi="標楷體"/>
          <w:color w:val="000000"/>
        </w:rPr>
      </w:pPr>
      <w:r w:rsidRPr="005C0189">
        <w:rPr>
          <w:rFonts w:ascii="標楷體" w:eastAsia="標楷體" w:hAnsi="標楷體"/>
        </w:rPr>
        <w:t>zanubrutinib、i</w:t>
      </w:r>
      <w:r w:rsidRPr="005C0189">
        <w:rPr>
          <w:rFonts w:ascii="標楷體" w:eastAsia="標楷體" w:hAnsi="標楷體"/>
          <w:color w:val="000000"/>
        </w:rPr>
        <w:t>brutinib及acalabrutinib僅能擇一使用，唯有在出現無法</w:t>
      </w:r>
      <w:r w:rsidRPr="005C0189">
        <w:rPr>
          <w:rFonts w:ascii="標楷體" w:eastAsia="標楷體" w:hAnsi="標楷體"/>
          <w:color w:val="000000"/>
        </w:rPr>
        <w:lastRenderedPageBreak/>
        <w:t>忍受其副作用時方可互換。三者使用總療程合併計算，以全部20個月為上限。(112/12/1)</w:t>
      </w:r>
    </w:p>
    <w:p w:rsidR="007155BC" w:rsidRDefault="007155BC" w:rsidP="007155BC">
      <w:pPr>
        <w:spacing w:line="400" w:lineRule="exact"/>
        <w:ind w:left="850" w:hanging="245"/>
        <w:rPr>
          <w:rFonts w:ascii="標楷體" w:eastAsia="標楷體" w:hAnsi="標楷體"/>
          <w:color w:val="000000"/>
        </w:rPr>
      </w:pPr>
      <w:r>
        <w:rPr>
          <w:rFonts w:ascii="標楷體" w:eastAsia="標楷體" w:hAnsi="標楷體"/>
          <w:color w:val="000000"/>
        </w:rPr>
        <w:t>2.單獨使用於慢性淋巴球性白血病(CLL)成年</w:t>
      </w:r>
      <w:r>
        <w:rPr>
          <w:rFonts w:ascii="標楷體" w:eastAsia="標楷體" w:hAnsi="標楷體" w:hint="eastAsia"/>
          <w:color w:val="000000"/>
        </w:rPr>
        <w:t>病人</w:t>
      </w:r>
      <w:r>
        <w:rPr>
          <w:rFonts w:ascii="標楷體" w:eastAsia="標楷體" w:hAnsi="標楷體"/>
          <w:color w:val="000000"/>
        </w:rPr>
        <w:t>。</w:t>
      </w:r>
      <w:r w:rsidRPr="005C0189">
        <w:rPr>
          <w:rFonts w:ascii="標楷體" w:eastAsia="標楷體" w:hAnsi="標楷體" w:hint="eastAsia"/>
          <w:color w:val="000000"/>
        </w:rPr>
        <w:t>(112/7/1、112/12/1、114/10/1)</w:t>
      </w:r>
    </w:p>
    <w:p w:rsidR="007155BC" w:rsidRDefault="007155BC" w:rsidP="007155BC">
      <w:pPr>
        <w:pStyle w:val="a9"/>
        <w:numPr>
          <w:ilvl w:val="0"/>
          <w:numId w:val="44"/>
        </w:numPr>
        <w:spacing w:line="400" w:lineRule="exact"/>
        <w:rPr>
          <w:rFonts w:ascii="標楷體" w:eastAsia="標楷體" w:hAnsi="標楷體"/>
          <w:color w:val="000000"/>
        </w:rPr>
      </w:pPr>
      <w:r w:rsidRPr="005C0189">
        <w:rPr>
          <w:rFonts w:ascii="標楷體" w:eastAsia="標楷體" w:hAnsi="標楷體" w:hint="eastAsia"/>
          <w:color w:val="000000"/>
        </w:rPr>
        <w:t>ECOG 分數須≦2。</w:t>
      </w:r>
      <w:r w:rsidR="00086754" w:rsidRPr="005C0189">
        <w:rPr>
          <w:rFonts w:ascii="標楷體" w:eastAsia="標楷體" w:hAnsi="標楷體" w:hint="eastAsia"/>
          <w:color w:val="000000"/>
        </w:rPr>
        <w:t>(114/10/1)</w:t>
      </w:r>
    </w:p>
    <w:p w:rsidR="007155BC" w:rsidRDefault="007155BC" w:rsidP="007155BC">
      <w:pPr>
        <w:pStyle w:val="a9"/>
        <w:numPr>
          <w:ilvl w:val="0"/>
          <w:numId w:val="44"/>
        </w:numPr>
        <w:spacing w:line="400" w:lineRule="exact"/>
        <w:rPr>
          <w:rFonts w:ascii="標楷體" w:eastAsia="標楷體" w:hAnsi="標楷體"/>
          <w:color w:val="000000"/>
        </w:rPr>
      </w:pPr>
      <w:r w:rsidRPr="005C0189">
        <w:rPr>
          <w:rFonts w:ascii="標楷體" w:eastAsia="標楷體" w:hAnsi="標楷體" w:hint="eastAsia"/>
          <w:color w:val="000000"/>
        </w:rPr>
        <w:t>需符合下列任一情況：</w:t>
      </w:r>
    </w:p>
    <w:p w:rsidR="007155BC" w:rsidRPr="005C0189" w:rsidRDefault="007155BC" w:rsidP="007155BC">
      <w:pPr>
        <w:pStyle w:val="a9"/>
        <w:numPr>
          <w:ilvl w:val="0"/>
          <w:numId w:val="45"/>
        </w:numPr>
        <w:spacing w:line="400" w:lineRule="exact"/>
        <w:rPr>
          <w:rFonts w:ascii="標楷體" w:eastAsia="標楷體" w:hAnsi="標楷體"/>
          <w:color w:val="000000"/>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7155BC" w:rsidRDefault="007155BC" w:rsidP="007155BC">
      <w:pPr>
        <w:pStyle w:val="a9"/>
        <w:numPr>
          <w:ilvl w:val="0"/>
          <w:numId w:val="45"/>
        </w:numPr>
        <w:spacing w:line="400" w:lineRule="exact"/>
        <w:rPr>
          <w:rFonts w:ascii="標楷體" w:eastAsia="標楷體" w:hAnsi="標楷體"/>
          <w:color w:val="000000"/>
        </w:rPr>
      </w:pPr>
      <w:r w:rsidRPr="005C0189">
        <w:rPr>
          <w:rFonts w:ascii="標楷體" w:eastAsia="標楷體" w:hAnsi="標楷體" w:hint="eastAsia"/>
          <w:color w:val="000000"/>
        </w:rPr>
        <w:t>非IGHV突變且曾接受至少1種包括alkylating agent與anti-CD20(如R-CVP、RCHOP、rituximab加bendamustine等)的治療2個療程以上仍惡化或復發者</w:t>
      </w:r>
      <w:r>
        <w:rPr>
          <w:rFonts w:ascii="標楷體" w:eastAsia="標楷體" w:hAnsi="標楷體" w:hint="eastAsia"/>
          <w:color w:val="000000"/>
        </w:rPr>
        <w:t>。</w:t>
      </w:r>
      <w:r w:rsidR="00086754" w:rsidRPr="005C0189">
        <w:rPr>
          <w:rFonts w:ascii="標楷體" w:eastAsia="標楷體" w:hAnsi="標楷體" w:hint="eastAsia"/>
          <w:color w:val="000000"/>
        </w:rPr>
        <w:t>(114/10/1)</w:t>
      </w:r>
    </w:p>
    <w:p w:rsidR="007155BC" w:rsidRDefault="007155BC" w:rsidP="007155BC">
      <w:pPr>
        <w:pStyle w:val="a9"/>
        <w:numPr>
          <w:ilvl w:val="0"/>
          <w:numId w:val="45"/>
        </w:numPr>
        <w:spacing w:line="400" w:lineRule="exact"/>
        <w:rPr>
          <w:rFonts w:ascii="標楷體" w:eastAsia="標楷體" w:hAnsi="標楷體"/>
          <w:color w:val="000000"/>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r w:rsidR="00086754" w:rsidRPr="005C0189">
        <w:rPr>
          <w:rFonts w:ascii="標楷體" w:eastAsia="標楷體" w:hAnsi="標楷體" w:hint="eastAsia"/>
          <w:color w:val="000000"/>
        </w:rPr>
        <w:t>(114/10/1)</w:t>
      </w:r>
    </w:p>
    <w:p w:rsidR="007155BC" w:rsidRDefault="007155BC" w:rsidP="007155BC">
      <w:pPr>
        <w:pStyle w:val="a9"/>
        <w:numPr>
          <w:ilvl w:val="0"/>
          <w:numId w:val="44"/>
        </w:numPr>
        <w:spacing w:line="400" w:lineRule="exact"/>
        <w:rPr>
          <w:rFonts w:ascii="標楷體" w:eastAsia="標楷體" w:hAnsi="標楷體"/>
          <w:color w:val="000000"/>
        </w:rPr>
      </w:pPr>
      <w:r w:rsidRPr="005C0189">
        <w:rPr>
          <w:rFonts w:ascii="標楷體" w:eastAsia="標楷體" w:hAnsi="標楷體" w:hint="eastAsia"/>
          <w:color w:val="000000"/>
        </w:rPr>
        <w:t>開始使用前之疾病狀態需出現下列任一情形：</w:t>
      </w:r>
    </w:p>
    <w:p w:rsidR="007155BC" w:rsidRPr="005C0189" w:rsidRDefault="007155BC" w:rsidP="007155BC">
      <w:pPr>
        <w:pStyle w:val="a9"/>
        <w:numPr>
          <w:ilvl w:val="0"/>
          <w:numId w:val="46"/>
        </w:numPr>
        <w:spacing w:line="400" w:lineRule="exact"/>
        <w:rPr>
          <w:rFonts w:ascii="標楷體" w:eastAsia="標楷體" w:hAnsi="標楷體"/>
          <w:color w:val="000000"/>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7155BC" w:rsidRPr="005C0189" w:rsidRDefault="007155BC" w:rsidP="007155BC">
      <w:pPr>
        <w:pStyle w:val="a9"/>
        <w:numPr>
          <w:ilvl w:val="0"/>
          <w:numId w:val="46"/>
        </w:numPr>
        <w:spacing w:line="400" w:lineRule="exact"/>
        <w:rPr>
          <w:rFonts w:ascii="標楷體" w:eastAsia="標楷體" w:hAnsi="標楷體"/>
          <w:color w:val="000000"/>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7155BC" w:rsidRDefault="007155BC" w:rsidP="007155BC">
      <w:pPr>
        <w:pStyle w:val="a9"/>
        <w:numPr>
          <w:ilvl w:val="0"/>
          <w:numId w:val="46"/>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7155BC" w:rsidRDefault="007155BC" w:rsidP="007155BC">
      <w:pPr>
        <w:pStyle w:val="a9"/>
        <w:numPr>
          <w:ilvl w:val="0"/>
          <w:numId w:val="46"/>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7155BC" w:rsidRDefault="007155BC" w:rsidP="007155BC">
      <w:pPr>
        <w:pStyle w:val="a9"/>
        <w:numPr>
          <w:ilvl w:val="0"/>
          <w:numId w:val="46"/>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7155BC" w:rsidRPr="005C0189" w:rsidRDefault="007155BC" w:rsidP="007155BC">
      <w:pPr>
        <w:pStyle w:val="a9"/>
        <w:numPr>
          <w:ilvl w:val="0"/>
          <w:numId w:val="46"/>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7155BC" w:rsidRDefault="007155BC" w:rsidP="007155BC">
      <w:pPr>
        <w:pStyle w:val="a9"/>
        <w:numPr>
          <w:ilvl w:val="0"/>
          <w:numId w:val="44"/>
        </w:numPr>
        <w:spacing w:line="400" w:lineRule="exact"/>
        <w:rPr>
          <w:rFonts w:ascii="標楷體" w:eastAsia="標楷體" w:hAnsi="標楷體"/>
          <w:color w:val="000000"/>
        </w:rPr>
      </w:pPr>
      <w:r w:rsidRPr="005C0189">
        <w:rPr>
          <w:rFonts w:ascii="標楷體" w:eastAsia="標楷體" w:hAnsi="標楷體" w:hint="eastAsia"/>
          <w:color w:val="000000"/>
        </w:rPr>
        <w:t>需經事前審查核准後使用，每3個月需再次申請。再次申請時需檢附療效評估資料，若未達iwCLL (International Workshop on CLL)最新定義之partial remission或complete remission，則不予給付。</w:t>
      </w:r>
    </w:p>
    <w:p w:rsidR="007155BC" w:rsidRDefault="007155BC" w:rsidP="007155BC">
      <w:pPr>
        <w:pStyle w:val="a9"/>
        <w:numPr>
          <w:ilvl w:val="0"/>
          <w:numId w:val="44"/>
        </w:numPr>
        <w:spacing w:line="400" w:lineRule="exact"/>
        <w:rPr>
          <w:rFonts w:ascii="標楷體" w:eastAsia="標楷體" w:hAnsi="標楷體"/>
          <w:color w:val="000000"/>
        </w:rPr>
      </w:pPr>
      <w:r w:rsidRPr="005C0189">
        <w:rPr>
          <w:rFonts w:ascii="標楷體" w:eastAsia="標楷體" w:hAnsi="標楷體" w:hint="eastAsia"/>
          <w:color w:val="000000"/>
        </w:rPr>
        <w:t>在具有17缺失病人，acalabrutinib、ibrutinib、venetoclax與zanubrutinib四者僅能擇一使用，唯有在出現無法忍受其副作用時方可互換。四者使用總療程合併計算，以全部24個月為上限。</w:t>
      </w:r>
      <w:r w:rsidR="00086754" w:rsidRPr="005C0189">
        <w:rPr>
          <w:rFonts w:ascii="標楷體" w:eastAsia="標楷體" w:hAnsi="標楷體" w:hint="eastAsia"/>
          <w:color w:val="000000"/>
        </w:rPr>
        <w:t>(</w:t>
      </w:r>
      <w:r w:rsidR="00086754">
        <w:rPr>
          <w:rFonts w:ascii="標楷體" w:eastAsia="標楷體" w:hAnsi="標楷體" w:hint="eastAsia"/>
          <w:color w:val="000000"/>
        </w:rPr>
        <w:t>112/7/1、</w:t>
      </w:r>
      <w:r w:rsidR="00086754" w:rsidRPr="005C0189">
        <w:rPr>
          <w:rFonts w:ascii="標楷體" w:eastAsia="標楷體" w:hAnsi="標楷體" w:hint="eastAsia"/>
          <w:color w:val="000000"/>
        </w:rPr>
        <w:t>114/10/1)</w:t>
      </w:r>
    </w:p>
    <w:p w:rsidR="007155BC" w:rsidRDefault="007155BC" w:rsidP="007155BC">
      <w:pPr>
        <w:pStyle w:val="a9"/>
        <w:numPr>
          <w:ilvl w:val="0"/>
          <w:numId w:val="44"/>
        </w:numPr>
        <w:spacing w:line="400" w:lineRule="exact"/>
        <w:rPr>
          <w:rFonts w:ascii="標楷體" w:eastAsia="標楷體" w:hAnsi="標楷體"/>
          <w:color w:val="000000"/>
        </w:rPr>
      </w:pPr>
      <w:r w:rsidRPr="005C0189">
        <w:rPr>
          <w:rFonts w:ascii="標楷體" w:eastAsia="標楷體" w:hAnsi="標楷體" w:hint="eastAsia"/>
          <w:color w:val="000000"/>
        </w:rPr>
        <w:t>在非IGHV突變二線以上病人及CLL三線以上病人，acalabrutinib與zanubrutinib二者僅能擇一使用，唯有在出現無法忍受其副作用時方可互換。二者使用總療程合併計算，以全部24個月為上限。</w:t>
      </w:r>
      <w:r w:rsidR="00086754" w:rsidRPr="005C0189">
        <w:rPr>
          <w:rFonts w:ascii="標楷體" w:eastAsia="標楷體" w:hAnsi="標楷體" w:hint="eastAsia"/>
          <w:color w:val="000000"/>
        </w:rPr>
        <w:t>(114/10/1)</w:t>
      </w:r>
    </w:p>
    <w:p w:rsidR="00B96EA0" w:rsidRPr="00471506" w:rsidRDefault="007155BC" w:rsidP="00471506">
      <w:pPr>
        <w:pStyle w:val="a9"/>
        <w:numPr>
          <w:ilvl w:val="0"/>
          <w:numId w:val="44"/>
        </w:numPr>
        <w:spacing w:line="400" w:lineRule="exact"/>
        <w:rPr>
          <w:rFonts w:ascii="標楷體" w:eastAsia="標楷體" w:hAnsi="標楷體"/>
          <w:color w:val="000000"/>
        </w:rPr>
      </w:pPr>
      <w:r w:rsidRPr="005C0189">
        <w:rPr>
          <w:rFonts w:ascii="標楷體" w:eastAsia="標楷體" w:hAnsi="標楷體" w:hint="eastAsia"/>
          <w:color w:val="000000"/>
        </w:rPr>
        <w:t>每日至多處方</w:t>
      </w:r>
      <w:r>
        <w:rPr>
          <w:rFonts w:ascii="標楷體" w:eastAsia="標楷體" w:hAnsi="標楷體" w:hint="eastAsia"/>
          <w:color w:val="000000"/>
        </w:rPr>
        <w:t>2</w:t>
      </w:r>
      <w:r w:rsidRPr="005C0189">
        <w:rPr>
          <w:rFonts w:ascii="標楷體" w:eastAsia="標楷體" w:hAnsi="標楷體" w:hint="eastAsia"/>
          <w:color w:val="000000"/>
        </w:rPr>
        <w:t>粒。</w:t>
      </w:r>
      <w:bookmarkEnd w:id="38"/>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9.101.Tepotinib (如Tepmetko):(112/7/1、113/6/1)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1.適用於治療轉移性非小細胞肺癌的成人病人，其腫瘤帶有導致間質上皮轉化因子外顯子14 跳讀式突變(MET exon 14 skipping mutation)。</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 xml:space="preserve">2.須經事前審查核准後使用: </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lastRenderedPageBreak/>
        <w:t>(1)初次申請時需檢具確實患有非小細胞肺癌之病理或細胞檢查報告,以及符合診斷之間質上皮轉化因子外顯子14跳讀式突變(MET exon 14 skipping mutation)檢測報告，且需符合全民健康保險藥品給付規定之通則十二。</w:t>
      </w:r>
    </w:p>
    <w:p w:rsidR="00B96EA0" w:rsidRDefault="007D66B8" w:rsidP="005142EB">
      <w:pPr>
        <w:spacing w:line="400" w:lineRule="exact"/>
        <w:ind w:left="1205" w:hanging="360"/>
        <w:rPr>
          <w:rFonts w:ascii="標楷體" w:eastAsia="標楷體" w:hAnsi="標楷體"/>
          <w:color w:val="000000"/>
        </w:rPr>
      </w:pPr>
      <w:r>
        <w:rPr>
          <w:rFonts w:ascii="標楷體" w:eastAsia="標楷體" w:hAnsi="標楷體"/>
          <w:color w:val="000000"/>
        </w:rPr>
        <w:t>(2)每次申請事前審查之療程以3個月為限，每3個月需再次申請，再次申請時並需附上治療後相關臨床資料，若病情惡化即不得再次申請。</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3.使用本品無效後則不再給付該適應症相關之免疫檢查點PD-1、PD-L1抑制劑。</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4.每日最多處方2粒。</w:t>
      </w:r>
    </w:p>
    <w:p w:rsidR="00B96EA0" w:rsidRDefault="007D66B8" w:rsidP="005142EB">
      <w:pPr>
        <w:spacing w:line="400" w:lineRule="exact"/>
        <w:ind w:left="610" w:hanging="245"/>
        <w:rPr>
          <w:rFonts w:ascii="標楷體" w:eastAsia="標楷體" w:hAnsi="標楷體"/>
          <w:color w:val="000000"/>
        </w:rPr>
      </w:pPr>
      <w:r>
        <w:rPr>
          <w:rFonts w:ascii="標楷體" w:eastAsia="標楷體" w:hAnsi="標楷體"/>
          <w:color w:val="000000"/>
        </w:rPr>
        <w:t>9.102.Dinutuximab beta (如Qarziba)：(112/8/1)</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1.限用於年齡12個月以上的初診斷高危險神經母細胞瘤病人之初次使用GD2免疫治療；且在接受自體幹細胞移植前至少達到部分緩解，在自體幹細胞移植後，可申請以1次治療所需的5個療程為限。</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2.限移植後12個月內開始使用。</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3.自初診斷至使用本品前，出現復發、新轉移或疾病惡化者，不得申請給付。</w:t>
      </w:r>
    </w:p>
    <w:p w:rsidR="00B96EA0" w:rsidRDefault="007D66B8" w:rsidP="005142EB">
      <w:pPr>
        <w:spacing w:line="400" w:lineRule="exact"/>
        <w:ind w:left="850" w:hanging="245"/>
        <w:rPr>
          <w:rFonts w:ascii="標楷體" w:eastAsia="標楷體" w:hAnsi="標楷體"/>
          <w:color w:val="000000"/>
        </w:rPr>
      </w:pPr>
      <w:r>
        <w:rPr>
          <w:rFonts w:ascii="標楷體" w:eastAsia="標楷體" w:hAnsi="標楷體"/>
          <w:color w:val="000000"/>
        </w:rPr>
        <w:t>4.經事前審查核准後使用。</w:t>
      </w:r>
    </w:p>
    <w:p w:rsidR="006E56D0" w:rsidRPr="006E56D0" w:rsidRDefault="006E56D0" w:rsidP="006E56D0">
      <w:pPr>
        <w:spacing w:line="400" w:lineRule="exact"/>
        <w:ind w:left="992" w:hanging="706"/>
        <w:rPr>
          <w:rFonts w:ascii="標楷體" w:eastAsia="標楷體" w:hAnsi="標楷體"/>
          <w:color w:val="000000"/>
        </w:rPr>
      </w:pPr>
      <w:bookmarkStart w:id="39" w:name="_Hlk204092642"/>
      <w:r w:rsidRPr="006E56D0">
        <w:rPr>
          <w:rFonts w:ascii="標楷體" w:eastAsia="標楷體" w:hAnsi="標楷體"/>
          <w:color w:val="000000"/>
        </w:rPr>
        <w:t>9.103.Tisagenlecleucel(如Kymriah)：(112/11/1、113/2/1</w:t>
      </w:r>
      <w:r w:rsidRPr="006E56D0">
        <w:rPr>
          <w:rFonts w:ascii="標楷體" w:eastAsia="標楷體" w:hAnsi="標楷體" w:hint="eastAsia"/>
          <w:color w:val="000000"/>
        </w:rPr>
        <w:t>、114/8/1</w:t>
      </w:r>
      <w:r w:rsidRPr="006E56D0">
        <w:rPr>
          <w:rFonts w:ascii="標楷體" w:eastAsia="標楷體" w:hAnsi="標楷體"/>
          <w:color w:val="000000"/>
        </w:rPr>
        <w:t>)</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1.治療患有難治型、移植後復發、第二次或二次以上復發之B細胞急性淋巴性白血病（ALL），且需符合以下條件: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(1)年齡25歲以下。</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為經過二線標準治療(包括TPOG protocol、GRAALL、Hyper-CVAD等或是造血幹細胞移植後)之復發型B細胞急性淋巴性白血病，或是需經過2位具有血液及造血幹細胞移植訓練之專科醫師確認無法進行造血幹細胞移植之難治型B細胞急性淋巴性白血病。(112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(3)若病人已接受過異體造血幹細胞移植後復發，則不論病人疾病狀態處於完全緩解、部分緩解或疾病惡化均可接受本藥品治療。(114/8/1)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(4)病人預期壽命至少3個月以上，且完全符合以下條件: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ECOG &lt; 2 (需有3次以上之醫療紀錄)。</w:t>
      </w:r>
    </w:p>
    <w:p w:rsidR="006E56D0" w:rsidRPr="006E56D0" w:rsidRDefault="006E56D0" w:rsidP="006E56D0">
      <w:pPr>
        <w:spacing w:line="400" w:lineRule="exact"/>
        <w:ind w:left="1418" w:hanging="341"/>
      </w:pPr>
      <w:r w:rsidRPr="006E56D0">
        <w:rPr>
          <w:rFonts w:ascii="標楷體" w:eastAsia="標楷體" w:hAnsi="標楷體" w:hint="eastAsia"/>
          <w:color w:val="000000"/>
        </w:rPr>
        <w:t>Ⅱ.</w:t>
      </w:r>
      <w:r w:rsidRPr="006E56D0">
        <w:rPr>
          <w:rFonts w:ascii="標楷體" w:eastAsia="標楷體" w:hAnsi="標楷體"/>
          <w:color w:val="000000"/>
        </w:rPr>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441" w:hanging="420"/>
      </w:pPr>
      <w:r w:rsidRPr="006E56D0">
        <w:rPr>
          <w:rFonts w:ascii="標楷體" w:eastAsia="標楷體" w:hAnsi="標楷體" w:hint="eastAsia"/>
          <w:color w:val="000000"/>
        </w:rPr>
        <w:t>Ⅲ</w:t>
      </w:r>
      <w:r w:rsidRPr="006E56D0">
        <w:rPr>
          <w:rFonts w:ascii="標楷體" w:eastAsia="標楷體" w:hAnsi="標楷體"/>
          <w:color w:val="000000"/>
        </w:rPr>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心臟功能: 左心室射出率 &gt; 50%，沒有心包膜積液，且過去一年無任何重大心臟疾病。</w:t>
      </w:r>
    </w:p>
    <w:p w:rsidR="006E56D0" w:rsidRPr="006E56D0" w:rsidRDefault="006E56D0" w:rsidP="006E56D0">
      <w:pPr>
        <w:spacing w:line="400" w:lineRule="exact"/>
        <w:ind w:left="1441" w:hanging="420"/>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肺功能:血氧 &gt; 92% on room air (需有兩次以上的醫療紀錄)。</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2.</w:t>
      </w:r>
      <w:r w:rsidRPr="006E56D0">
        <w:rPr>
          <w:rFonts w:ascii="標楷體" w:eastAsia="標楷體" w:hAnsi="標楷體" w:hint="eastAsia"/>
          <w:color w:val="000000"/>
        </w:rPr>
        <w:t>治療經二線或二線以上全身治療後之復發性或難治性瀰漫性大B細胞淋巴瘤（DLBCL）的成人病人。且需符合以下條件:(112/11/1、114/8/1)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lastRenderedPageBreak/>
        <w:t>(1)</w:t>
      </w:r>
      <w:r w:rsidRPr="006E56D0">
        <w:rPr>
          <w:rFonts w:ascii="標楷體" w:eastAsia="標楷體" w:hAnsi="標楷體" w:hint="eastAsia"/>
          <w:color w:val="000000"/>
        </w:rPr>
        <w:t>經自體造血幹細胞移植後疾病復發或惡化（不論其後續治療處於完全緩解、部分緩解或疾病惡化）。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(2)或需經過具有骨髓移植訓練的骨髓移植專科醫師確認無法進行造血幹細胞移植者，無法進行造血幹細胞移植之定義，符合以下五個條件之一：(112/11/1、114/8/1)</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Ⅰ.年齡75歲以上。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Ⅱ.年齡70歲以上且HCT-CI分數在1分或以上。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Ⅲ.年齡65歲以上且HCT-CI分數在2分或以上。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Ⅳ.HCT-CI分數在4分或以上。</w:t>
      </w:r>
    </w:p>
    <w:p w:rsidR="006E56D0" w:rsidRPr="006E56D0" w:rsidRDefault="006E56D0" w:rsidP="00997F73">
      <w:pPr>
        <w:spacing w:line="400" w:lineRule="exact"/>
        <w:ind w:left="1441" w:hanging="23"/>
        <w:rPr>
          <w:rFonts w:ascii="標楷體" w:eastAsia="標楷體" w:hAnsi="標楷體"/>
          <w:color w:val="000000"/>
        </w:rPr>
      </w:pPr>
      <w:r w:rsidRPr="006E56D0">
        <w:rPr>
          <w:rFonts w:ascii="標楷體" w:eastAsia="標楷體" w:hAnsi="標楷體" w:hint="eastAsia"/>
          <w:color w:val="000000"/>
        </w:rPr>
        <w:t>Ⅴ.經收集自體造血幹細胞2次後仍無法收集超過2*106 CD34+細胞/公斤。</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(3)病人預期壽命至少3個月以上，且符合以下條件:</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Ⅰ.</w:t>
      </w:r>
      <w:r w:rsidRPr="006E56D0">
        <w:rPr>
          <w:rFonts w:ascii="標楷體" w:eastAsia="標楷體" w:hAnsi="標楷體"/>
          <w:color w:val="000000"/>
        </w:rPr>
        <w:tab/>
        <w:t>ECOG&lt;2 (需有3次以上之醫療紀錄)。</w:t>
      </w:r>
    </w:p>
    <w:p w:rsidR="006E56D0" w:rsidRPr="006E56D0" w:rsidRDefault="006E56D0" w:rsidP="006E56D0">
      <w:pPr>
        <w:spacing w:line="400" w:lineRule="exact"/>
        <w:ind w:left="1843" w:hanging="422"/>
      </w:pPr>
      <w:r w:rsidRPr="006E56D0">
        <w:rPr>
          <w:rFonts w:ascii="標楷體" w:eastAsia="標楷體" w:hAnsi="標楷體" w:hint="eastAsia"/>
          <w:color w:val="000000"/>
        </w:rPr>
        <w:t>Ⅱ</w:t>
      </w:r>
      <w:r w:rsidRPr="006E56D0">
        <w:rPr>
          <w:rFonts w:ascii="標楷體" w:eastAsia="標楷體" w:hAnsi="標楷體"/>
          <w:color w:val="000000"/>
        </w:rPr>
        <w:tab/>
        <w:t xml:space="preserve">Extranodal site </w:t>
      </w:r>
      <w:r w:rsidRPr="006E56D0">
        <w:rPr>
          <w:rFonts w:ascii="Times New Roman" w:eastAsia="標楷體" w:hAnsi="Times New Roman"/>
          <w:color w:val="000000"/>
        </w:rPr>
        <w:t>≤</w:t>
      </w:r>
      <w:r w:rsidRPr="006E56D0">
        <w:rPr>
          <w:rFonts w:ascii="標楷體" w:eastAsia="標楷體" w:hAnsi="標楷體"/>
          <w:color w:val="000000"/>
        </w:rPr>
        <w:t xml:space="preserve"> 3 (需有 PET或 CT 的影像報告)。</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Ⅲ.</w:t>
      </w:r>
      <w:r w:rsidRPr="006E56D0">
        <w:rPr>
          <w:rFonts w:ascii="標楷體" w:eastAsia="標楷體" w:hAnsi="標楷體"/>
          <w:color w:val="000000"/>
        </w:rPr>
        <w:tab/>
        <w:t xml:space="preserve">腎功能:腎絲球過濾速率Estimated Glomerular Filtration Rate (eGFR) </w:t>
      </w:r>
      <w:r w:rsidRPr="006E56D0">
        <w:rPr>
          <w:rFonts w:ascii="Times New Roman" w:eastAsia="標楷體" w:hAnsi="Times New Roman"/>
          <w:color w:val="000000"/>
        </w:rPr>
        <w:t>≥</w:t>
      </w:r>
      <w:r w:rsidRPr="006E56D0">
        <w:rPr>
          <w:rFonts w:ascii="標楷體" w:eastAsia="標楷體" w:hAnsi="標楷體"/>
          <w:color w:val="000000"/>
        </w:rPr>
        <w:t xml:space="preserve"> 60 mL/min/1.73 m2或肌酸酐creatinine </w:t>
      </w:r>
      <w:r w:rsidRPr="006E56D0">
        <w:rPr>
          <w:rFonts w:ascii="Times New Roman" w:eastAsia="標楷體" w:hAnsi="Times New Roman"/>
          <w:color w:val="000000"/>
        </w:rPr>
        <w:t>≤</w:t>
      </w:r>
      <w:r w:rsidRPr="006E56D0">
        <w:rPr>
          <w:rFonts w:ascii="標楷體" w:eastAsia="標楷體" w:hAnsi="標楷體"/>
          <w:color w:val="000000"/>
        </w:rPr>
        <w:t>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Ⅳ</w:t>
      </w:r>
      <w:r w:rsidRPr="006E56D0">
        <w:rPr>
          <w:rFonts w:ascii="標楷體" w:eastAsia="標楷體" w:hAnsi="標楷體"/>
          <w:color w:val="000000"/>
        </w:rPr>
        <w:t>.</w:t>
      </w:r>
      <w:r w:rsidRPr="006E56D0">
        <w:rPr>
          <w:rFonts w:ascii="標楷體" w:eastAsia="標楷體" w:hAnsi="標楷體"/>
          <w:color w:val="000000"/>
        </w:rPr>
        <w:tab/>
        <w:t xml:space="preserve">肝功能: ALT </w:t>
      </w:r>
      <w:r w:rsidRPr="006E56D0">
        <w:rPr>
          <w:rFonts w:ascii="Times New Roman" w:eastAsia="標楷體" w:hAnsi="Times New Roman"/>
          <w:color w:val="000000"/>
        </w:rPr>
        <w:t>≤</w:t>
      </w:r>
      <w:r w:rsidRPr="006E56D0">
        <w:rPr>
          <w:rFonts w:ascii="標楷體" w:eastAsia="標楷體" w:hAnsi="標楷體"/>
          <w:color w:val="000000"/>
        </w:rPr>
        <w:t xml:space="preserve"> 5 x ULN且bilirubin &lt;2.5mg；Gilbert-Meulengracht syndrome患者須符合total bilirubin is </w:t>
      </w:r>
      <w:r w:rsidRPr="006E56D0">
        <w:rPr>
          <w:rFonts w:ascii="Times New Roman" w:eastAsia="標楷體" w:hAnsi="Times New Roman"/>
          <w:color w:val="000000"/>
        </w:rPr>
        <w:t>≤</w:t>
      </w:r>
      <w:r w:rsidRPr="006E56D0">
        <w:rPr>
          <w:rFonts w:ascii="標楷體" w:eastAsia="標楷體" w:hAnsi="標楷體"/>
          <w:color w:val="000000"/>
        </w:rPr>
        <w:t xml:space="preserve"> 3.0 x ULN 且 direct bilirubin </w:t>
      </w:r>
      <w:r w:rsidRPr="006E56D0">
        <w:rPr>
          <w:rFonts w:ascii="Times New Roman" w:eastAsia="標楷體" w:hAnsi="Times New Roman"/>
          <w:color w:val="000000"/>
        </w:rPr>
        <w:t>≤</w:t>
      </w:r>
      <w:r w:rsidRPr="006E56D0">
        <w:rPr>
          <w:rFonts w:ascii="標楷體" w:eastAsia="標楷體" w:hAnsi="標楷體"/>
          <w:color w:val="000000"/>
        </w:rPr>
        <w:t xml:space="preserve"> 1.5 x ULN。</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Ⅴ.</w:t>
      </w:r>
      <w:r w:rsidRPr="006E56D0">
        <w:rPr>
          <w:rFonts w:ascii="標楷體" w:eastAsia="標楷體" w:hAnsi="標楷體"/>
          <w:color w:val="000000"/>
        </w:rPr>
        <w:tab/>
        <w:t>心臟功能: 左心室射出率 &gt; 50%且過去一年無任何重大心臟疾病(包含但不限於不穩定心絞痛、心肌梗塞、冠狀動脈繞道手術、中風) 。</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Ⅵ</w:t>
      </w:r>
      <w:r w:rsidRPr="006E56D0">
        <w:rPr>
          <w:rFonts w:ascii="標楷體" w:eastAsia="標楷體" w:hAnsi="標楷體"/>
          <w:color w:val="000000"/>
        </w:rPr>
        <w:t>.</w:t>
      </w:r>
      <w:r w:rsidRPr="006E56D0">
        <w:rPr>
          <w:rFonts w:ascii="標楷體" w:eastAsia="標楷體" w:hAnsi="標楷體"/>
          <w:color w:val="000000"/>
        </w:rPr>
        <w:tab/>
        <w:t>肺功能:血氧 &gt; 92% on room air (需有兩次以上的醫療紀錄)。</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Ⅶ</w:t>
      </w:r>
      <w:r w:rsidRPr="006E56D0">
        <w:rPr>
          <w:rFonts w:ascii="標楷體" w:eastAsia="標楷體" w:hAnsi="標楷體"/>
          <w:color w:val="000000"/>
        </w:rPr>
        <w:t>.</w:t>
      </w:r>
      <w:r w:rsidRPr="006E56D0">
        <w:rPr>
          <w:rFonts w:ascii="標楷體" w:eastAsia="標楷體" w:hAnsi="標楷體"/>
          <w:color w:val="000000"/>
        </w:rPr>
        <w:tab/>
        <w:t>淋巴球收集時，患者須符合全血細胞計數標準: ANC≧1000/uL、ALC≧100/uL、Hb≧8.0 g/dL; Plt≧50000/uL。</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Ⅷ</w:t>
      </w:r>
      <w:r w:rsidRPr="006E56D0">
        <w:rPr>
          <w:rFonts w:ascii="標楷體" w:eastAsia="標楷體" w:hAnsi="標楷體"/>
          <w:color w:val="000000"/>
        </w:rPr>
        <w:t>.於治療前兩年任何無自體免疫疾病。</w:t>
      </w:r>
    </w:p>
    <w:p w:rsidR="006E56D0" w:rsidRPr="006E56D0" w:rsidRDefault="006E56D0" w:rsidP="006E56D0">
      <w:pPr>
        <w:spacing w:line="400" w:lineRule="exact"/>
        <w:ind w:left="1843" w:hanging="422"/>
        <w:rPr>
          <w:rFonts w:ascii="標楷體" w:eastAsia="標楷體" w:hAnsi="標楷體"/>
          <w:color w:val="000000"/>
        </w:rPr>
      </w:pPr>
      <w:r w:rsidRPr="006E56D0">
        <w:rPr>
          <w:rFonts w:ascii="標楷體" w:eastAsia="標楷體" w:hAnsi="標楷體" w:hint="eastAsia"/>
          <w:color w:val="000000"/>
        </w:rPr>
        <w:t>Ⅸ</w:t>
      </w:r>
      <w:r w:rsidRPr="006E56D0">
        <w:rPr>
          <w:rFonts w:ascii="標楷體" w:eastAsia="標楷體" w:hAnsi="標楷體"/>
          <w:color w:val="000000"/>
        </w:rPr>
        <w:t>.</w:t>
      </w:r>
      <w:r w:rsidRPr="006E56D0">
        <w:rPr>
          <w:rFonts w:ascii="標楷體" w:eastAsia="標楷體" w:hAnsi="標楷體"/>
          <w:color w:val="000000"/>
        </w:rPr>
        <w:tab/>
        <w:t>無DLBCL之外的併發惡性腫瘤，但充分治療的基底細胞癌或鱗狀細胞癌不在此限（申請時需要充分的傷口癒合）；若為子宮頸或乳腺癌原位癌，在申請前至少 3 年經過治愈性治療且無復發證據；原發惡性腫瘤已完全切除且申請時須處於完全緩解5年以上。</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3.前述1、2項均須符合下列條件：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(1)需證實癌細胞仍帶有CD19。</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(2)終身限給付1次療程，須於特殊專案審查通過後6個月內完成輸注。</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(3)病人不得有HIV感染，曾經感染但已控制之病人亦不得接受。</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(4)病人不得有active hepatitis B virus or hepatitis C virus 感染(評估和輸注 CAR-T時需為viral load undetectable)。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(5)病人不得有原發性中樞神經系統淋巴瘤(Primary CNS 1ymphoma)。</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(6)病人不得有活躍的次發性中樞神經系統淋巴癌侵犯。</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lastRenderedPageBreak/>
        <w:t>(7)追蹤方式：依保險人公布要求之檢驗項目與頻率執行。</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(8)應提供本藥品治療申請日2個月內腦部MRI報告，無法進行腦部MRI檢查者，應提供1個月內腦脊髓液檢查報告與CT檢查報告並需照會神經科醫師，證明無淋巴瘤中樞神經侵犯。(114/8/1)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hint="eastAsia"/>
          <w:color w:val="000000"/>
        </w:rPr>
        <w:t>(9)併用藥品規範：不得併用化療藥(淋巴清除化療除外)、免疫抑制劑或標靶藥物。(112/11/1、114/8/1)</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4.執行醫師須完全符合下列資格：</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(1)醫師必須為血液病和造血幹細胞移植專科醫師且須完成血液病和造血幹細胞移植的相關照護訓練。</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w:t>
      </w:r>
      <w:r w:rsidRPr="006E56D0">
        <w:rPr>
          <w:rFonts w:ascii="標楷體" w:eastAsia="標楷體" w:hAnsi="標楷體" w:hint="eastAsia"/>
          <w:color w:val="000000"/>
        </w:rPr>
        <w:t>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(3)由保險人每年委託相關學會定期稽核醫師資格。</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5.執行醫院須完全符合下列條件：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(1)須為血液病和造血幹細胞移植專科醫師的訓練醫院。</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(2)每年平均須進行20例以上造血幹細胞移植，以過去3年平均為準，並每年進行確認。</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(3)須建立 CAR-T多專科團隊，包含醫師、護理師、藥師、醫檢師、細胞蒐集專門技術人員，經團隊討論後同意治療，並須於事前審查時，檢附會議紀錄。</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(4)</w:t>
      </w:r>
      <w:r w:rsidRPr="006E56D0">
        <w:rPr>
          <w:rFonts w:ascii="標楷體" w:eastAsia="標楷體" w:hAnsi="標楷體" w:hint="eastAsia"/>
          <w:color w:val="000000"/>
        </w:rPr>
        <w:t>CAR-T多專科團隊成員，包括醫師、護理師、藥師、醫檢師、細胞蒐集專門技術人員各至少一人，須每兩年接受至少6小時中華民國血液及骨髓移植學會或中華民國血液病學會舉辦之CAR-T教育訓練。(112/11/1、114/8/1)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(5)</w:t>
      </w:r>
      <w:r w:rsidRPr="006E56D0">
        <w:rPr>
          <w:rFonts w:ascii="標楷體" w:eastAsia="標楷體" w:hAnsi="標楷體" w:hint="eastAsia"/>
          <w:color w:val="000000"/>
        </w:rPr>
        <w:t>醫院藥局至少需庫存10支靜脈注射tocilizumab。(112/11/1、114/8/1)</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(6)細胞蒐集和處理實驗室須於2029年1月1日前取得相關國際認證(AABB或FACT-JACIE)。</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(7)由保險人每年委託相關學會定期稽核醫院符合前述條件。</w:t>
      </w:r>
    </w:p>
    <w:p w:rsidR="006E56D0" w:rsidRPr="006E56D0" w:rsidRDefault="006E56D0" w:rsidP="006E56D0">
      <w:pPr>
        <w:spacing w:line="400" w:lineRule="exact"/>
        <w:ind w:left="1276" w:hanging="706"/>
        <w:rPr>
          <w:rFonts w:ascii="標楷體" w:eastAsia="標楷體" w:hAnsi="標楷體"/>
          <w:color w:val="000000"/>
        </w:rPr>
      </w:pPr>
      <w:r w:rsidRPr="006E56D0">
        <w:rPr>
          <w:rFonts w:ascii="標楷體" w:eastAsia="標楷體" w:hAnsi="標楷體"/>
          <w:color w:val="000000"/>
        </w:rPr>
        <w:t xml:space="preserve">  6.須經專家小組特殊專案審查核准後使用，並須檢附下列文件：</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(1)CAR-T多科團隊會議紀錄。</w:t>
      </w:r>
    </w:p>
    <w:p w:rsidR="006E56D0" w:rsidRP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(2)符合前述第4、5項之醫院條件及醫師資格之相關文件。</w:t>
      </w:r>
    </w:p>
    <w:p w:rsidR="006E56D0" w:rsidRDefault="006E56D0" w:rsidP="006E56D0">
      <w:pPr>
        <w:spacing w:line="400" w:lineRule="exact"/>
        <w:ind w:left="1418" w:hanging="341"/>
        <w:rPr>
          <w:rFonts w:ascii="標楷體" w:eastAsia="標楷體" w:hAnsi="標楷體"/>
          <w:color w:val="000000"/>
        </w:rPr>
      </w:pPr>
      <w:r w:rsidRPr="006E56D0">
        <w:rPr>
          <w:rFonts w:ascii="標楷體" w:eastAsia="標楷體" w:hAnsi="標楷體"/>
          <w:color w:val="000000"/>
        </w:rPr>
        <w:t>(3)經臨床醫師確認無法接受造血幹細胞移植者，須檢附相關文件。</w:t>
      </w:r>
      <w:bookmarkEnd w:id="39"/>
    </w:p>
    <w:p w:rsidR="000838F4" w:rsidRPr="005363DB" w:rsidRDefault="000838F4" w:rsidP="000838F4">
      <w:pPr>
        <w:suppressAutoHyphens w:val="0"/>
        <w:autoSpaceDN/>
        <w:spacing w:line="400" w:lineRule="exact"/>
        <w:ind w:left="566" w:hangingChars="236" w:hanging="566"/>
        <w:textAlignment w:val="auto"/>
        <w:rPr>
          <w:rFonts w:ascii="標楷體" w:eastAsia="標楷體" w:hAnsi="標楷體" w:cstheme="minorBidi"/>
          <w:kern w:val="2"/>
          <w:szCs w:val="24"/>
          <w:u w:val="single"/>
        </w:rPr>
      </w:pPr>
      <w:bookmarkStart w:id="40" w:name="_Hlk204090064"/>
      <w:bookmarkStart w:id="41" w:name="_Hlk209191978"/>
      <w:r w:rsidRPr="005363DB">
        <w:rPr>
          <w:rFonts w:ascii="標楷體" w:eastAsia="標楷體" w:hAnsi="標楷體" w:cstheme="minorBidi" w:hint="eastAsia"/>
          <w:kern w:val="2"/>
          <w:szCs w:val="24"/>
        </w:rPr>
        <w:t>9.104.</w:t>
      </w:r>
      <w:bookmarkEnd w:id="40"/>
      <w:r w:rsidRPr="00DF1029">
        <w:rPr>
          <w:rFonts w:ascii="標楷體" w:eastAsia="標楷體" w:hAnsi="標楷體" w:cstheme="minorBidi" w:hint="eastAsia"/>
          <w:kern w:val="2"/>
          <w:szCs w:val="24"/>
        </w:rPr>
        <w:t xml:space="preserve"> </w:t>
      </w:r>
      <w:r w:rsidRPr="005363DB">
        <w:rPr>
          <w:rFonts w:ascii="標楷體" w:eastAsia="標楷體" w:hAnsi="標楷體" w:cstheme="minorBidi" w:hint="eastAsia"/>
          <w:kern w:val="2"/>
          <w:szCs w:val="24"/>
        </w:rPr>
        <w:t>Zanubrutinib(如Brukinsa)：(112/12/1、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0838F4">
      <w:pPr>
        <w:numPr>
          <w:ilvl w:val="0"/>
          <w:numId w:val="47"/>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單獨使用於先前接受過至少一種化學或標靶治療方式無效或復發的被套細胞淋巴瘤成年病人。(112/12/1、</w:t>
      </w:r>
      <w:r w:rsidRPr="005363DB">
        <w:rPr>
          <w:rFonts w:ascii="標楷體" w:eastAsia="標楷體" w:hAnsi="標楷體" w:hint="eastAsia"/>
          <w:kern w:val="2"/>
          <w:szCs w:val="24"/>
        </w:rPr>
        <w:t>114/8/1</w:t>
      </w:r>
      <w:r>
        <w:rPr>
          <w:rFonts w:ascii="標楷體" w:eastAsia="標楷體" w:hAnsi="標楷體" w:hint="eastAsia"/>
          <w:kern w:val="2"/>
          <w:szCs w:val="24"/>
        </w:rPr>
        <w:t>、114/10/1</w:t>
      </w:r>
      <w:r w:rsidRPr="005363DB">
        <w:rPr>
          <w:rFonts w:ascii="標楷體" w:eastAsia="標楷體" w:hAnsi="標楷體" w:cstheme="minorBidi" w:hint="eastAsia"/>
          <w:kern w:val="2"/>
          <w:szCs w:val="24"/>
        </w:rPr>
        <w:t>)</w:t>
      </w:r>
    </w:p>
    <w:p w:rsidR="000838F4" w:rsidRPr="005363DB" w:rsidRDefault="000838F4" w:rsidP="000838F4">
      <w:pPr>
        <w:numPr>
          <w:ilvl w:val="0"/>
          <w:numId w:val="21"/>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需經事前審查核准後使用(事審代碼：C83N2)。首次申請事前審查之療程以4個月為限，之後每3個月需再次申請，再次申請時應檢附前次治療結果評估資料，如影像學檢查報告。</w:t>
      </w:r>
      <w:r w:rsidRPr="005363DB">
        <w:rPr>
          <w:rFonts w:ascii="標楷體" w:eastAsia="標楷體" w:hAnsi="標楷體" w:cs="BiauKai" w:hint="eastAsia"/>
          <w:kern w:val="2"/>
          <w:szCs w:val="24"/>
        </w:rPr>
        <w:t>(</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170338" w:rsidRDefault="000838F4" w:rsidP="000838F4">
      <w:pPr>
        <w:numPr>
          <w:ilvl w:val="0"/>
          <w:numId w:val="21"/>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0838F4">
      <w:pPr>
        <w:numPr>
          <w:ilvl w:val="0"/>
          <w:numId w:val="21"/>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0838F4">
      <w:pPr>
        <w:numPr>
          <w:ilvl w:val="0"/>
          <w:numId w:val="21"/>
        </w:numPr>
        <w:suppressAutoHyphens w:val="0"/>
        <w:autoSpaceDN/>
        <w:spacing w:line="400" w:lineRule="exact"/>
        <w:ind w:left="993" w:hanging="469"/>
        <w:textAlignment w:val="auto"/>
        <w:rPr>
          <w:rFonts w:ascii="標楷體" w:eastAsia="標楷體" w:hAnsi="標楷體" w:cstheme="minorBidi"/>
          <w:kern w:val="2"/>
          <w:szCs w:val="24"/>
        </w:rPr>
      </w:pPr>
      <w:r>
        <w:rPr>
          <w:rFonts w:ascii="標楷體" w:eastAsia="標楷體" w:hAnsi="標楷體" w:cstheme="minorBidi" w:hint="eastAsia"/>
          <w:kern w:val="2"/>
          <w:szCs w:val="24"/>
        </w:rPr>
        <w:lastRenderedPageBreak/>
        <w:t>Z</w:t>
      </w:r>
      <w:r w:rsidRPr="005363DB">
        <w:rPr>
          <w:rFonts w:ascii="標楷體" w:eastAsia="標楷體" w:hAnsi="標楷體" w:cstheme="minorBidi" w:hint="eastAsia"/>
          <w:kern w:val="2"/>
          <w:szCs w:val="24"/>
        </w:rPr>
        <w:t>anubrutinib、ibrutinib及acalabrutinib僅能擇一使用，</w:t>
      </w:r>
      <w:r>
        <w:rPr>
          <w:rFonts w:ascii="標楷體" w:eastAsia="標楷體" w:hAnsi="標楷體" w:cstheme="minorBidi" w:hint="eastAsia"/>
          <w:kern w:val="2"/>
          <w:szCs w:val="24"/>
        </w:rPr>
        <w:t>使用z</w:t>
      </w:r>
      <w:r>
        <w:rPr>
          <w:rFonts w:ascii="標楷體" w:eastAsia="標楷體" w:hAnsi="標楷體" w:cstheme="minorBidi"/>
          <w:kern w:val="2"/>
          <w:szCs w:val="24"/>
        </w:rPr>
        <w:t>anubrutinib</w:t>
      </w:r>
      <w:r>
        <w:rPr>
          <w:rFonts w:ascii="標楷體" w:eastAsia="標楷體" w:hAnsi="標楷體" w:cstheme="minorBidi" w:hint="eastAsia"/>
          <w:kern w:val="2"/>
          <w:szCs w:val="24"/>
        </w:rPr>
        <w:t>者無疾病惡化，可繼續使用，唯出現無法忍受其副作用時，與i</w:t>
      </w:r>
      <w:r>
        <w:rPr>
          <w:rFonts w:ascii="標楷體" w:eastAsia="標楷體" w:hAnsi="標楷體" w:cstheme="minorBidi"/>
          <w:kern w:val="2"/>
          <w:szCs w:val="24"/>
        </w:rPr>
        <w:t>brutinib</w:t>
      </w:r>
      <w:r>
        <w:rPr>
          <w:rFonts w:ascii="標楷體" w:eastAsia="標楷體" w:hAnsi="標楷體" w:cstheme="minorBidi" w:hint="eastAsia"/>
          <w:kern w:val="2"/>
          <w:szCs w:val="24"/>
        </w:rPr>
        <w:t>及a</w:t>
      </w:r>
      <w:r>
        <w:rPr>
          <w:rFonts w:ascii="標楷體" w:eastAsia="標楷體" w:hAnsi="標楷體" w:cstheme="minorBidi"/>
          <w:kern w:val="2"/>
          <w:szCs w:val="24"/>
        </w:rPr>
        <w:t>calabrutinib</w:t>
      </w:r>
      <w:r>
        <w:rPr>
          <w:rFonts w:ascii="標楷體" w:eastAsia="標楷體" w:hAnsi="標楷體" w:cstheme="minorBidi" w:hint="eastAsia"/>
          <w:kern w:val="2"/>
          <w:szCs w:val="24"/>
        </w:rPr>
        <w:t>互換時限使用20個月，</w:t>
      </w:r>
      <w:r w:rsidRPr="005363DB">
        <w:rPr>
          <w:rFonts w:ascii="標楷體" w:eastAsia="標楷體" w:hAnsi="標楷體" w:cstheme="minorBidi" w:hint="eastAsia"/>
          <w:kern w:val="2"/>
          <w:szCs w:val="24"/>
        </w:rPr>
        <w:t>三者使用總療程合併計算</w:t>
      </w:r>
      <w:r>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(112/12/1、</w:t>
      </w:r>
      <w:r w:rsidRPr="005363DB">
        <w:rPr>
          <w:rFonts w:ascii="標楷體" w:eastAsia="標楷體" w:hAnsi="標楷體" w:hint="eastAsia"/>
          <w:kern w:val="2"/>
          <w:szCs w:val="24"/>
        </w:rPr>
        <w:t>114/</w:t>
      </w:r>
      <w:r>
        <w:rPr>
          <w:rFonts w:ascii="標楷體" w:eastAsia="標楷體" w:hAnsi="標楷體"/>
          <w:kern w:val="2"/>
          <w:szCs w:val="24"/>
        </w:rPr>
        <w:t>10</w:t>
      </w:r>
      <w:r w:rsidRPr="005363DB">
        <w:rPr>
          <w:rFonts w:ascii="標楷體" w:eastAsia="標楷體" w:hAnsi="標楷體" w:hint="eastAsia"/>
          <w:kern w:val="2"/>
          <w:szCs w:val="24"/>
        </w:rPr>
        <w:t>/1</w:t>
      </w:r>
      <w:r w:rsidRPr="005363DB">
        <w:rPr>
          <w:rFonts w:ascii="標楷體" w:eastAsia="標楷體" w:hAnsi="標楷體" w:cstheme="minorBidi" w:hint="eastAsia"/>
          <w:kern w:val="2"/>
          <w:szCs w:val="24"/>
        </w:rPr>
        <w:t>)</w:t>
      </w:r>
    </w:p>
    <w:p w:rsidR="000838F4" w:rsidRPr="005363DB" w:rsidRDefault="000838F4" w:rsidP="000838F4">
      <w:pPr>
        <w:numPr>
          <w:ilvl w:val="0"/>
          <w:numId w:val="47"/>
        </w:numPr>
        <w:suppressAutoHyphens w:val="0"/>
        <w:autoSpaceDN/>
        <w:spacing w:line="400" w:lineRule="exact"/>
        <w:ind w:left="567" w:hanging="283"/>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單獨使用於曾接受含一種單株抗體及一種靜脈注射之alkylating agent之chemoimmunotherapy至少4個療程以上後復發者的華氏巨球蛋白血症成年病人。(112/12/1、114/8/1)。</w:t>
      </w:r>
    </w:p>
    <w:p w:rsidR="000838F4" w:rsidRPr="005363DB" w:rsidRDefault="000838F4" w:rsidP="000838F4">
      <w:pPr>
        <w:numPr>
          <w:ilvl w:val="0"/>
          <w:numId w:val="22"/>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病患須具下列至少3種條件：</w:t>
      </w:r>
    </w:p>
    <w:p w:rsidR="000838F4" w:rsidRPr="005363DB" w:rsidRDefault="000838F4" w:rsidP="000838F4">
      <w:pPr>
        <w:numPr>
          <w:ilvl w:val="0"/>
          <w:numId w:val="23"/>
        </w:numPr>
        <w:suppressAutoHyphens w:val="0"/>
        <w:autoSpaceDN/>
        <w:spacing w:line="400" w:lineRule="exact"/>
        <w:ind w:left="1418" w:hanging="219"/>
        <w:textAlignment w:val="auto"/>
        <w:rPr>
          <w:rFonts w:ascii="標楷體" w:eastAsia="標楷體" w:hAnsi="標楷體" w:cs="BiauKai"/>
          <w:kern w:val="2"/>
          <w:szCs w:val="24"/>
        </w:rPr>
      </w:pPr>
      <w:r w:rsidRPr="005363DB">
        <w:rPr>
          <w:rFonts w:ascii="標楷體" w:eastAsia="標楷體" w:hAnsi="標楷體" w:cs="BiauKai" w:hint="eastAsia"/>
          <w:kern w:val="2"/>
          <w:szCs w:val="24"/>
        </w:rPr>
        <w:t>年齡＞65歲。</w:t>
      </w:r>
    </w:p>
    <w:p w:rsidR="000838F4" w:rsidRPr="005363DB" w:rsidRDefault="000838F4" w:rsidP="000838F4">
      <w:pPr>
        <w:numPr>
          <w:ilvl w:val="0"/>
          <w:numId w:val="23"/>
        </w:numPr>
        <w:suppressAutoHyphens w:val="0"/>
        <w:autoSpaceDN/>
        <w:spacing w:line="400" w:lineRule="exact"/>
        <w:ind w:leftChars="474" w:left="1560" w:hangingChars="176" w:hanging="422"/>
        <w:textAlignment w:val="auto"/>
        <w:rPr>
          <w:rFonts w:ascii="標楷體" w:eastAsia="標楷體" w:hAnsi="標楷體" w:cs="BiauKai"/>
          <w:kern w:val="2"/>
          <w:szCs w:val="24"/>
        </w:rPr>
      </w:pPr>
      <w:r w:rsidRPr="005363DB">
        <w:rPr>
          <w:rFonts w:ascii="標楷體" w:eastAsia="標楷體" w:hAnsi="標楷體" w:cs="BiauKai" w:hint="eastAsia"/>
          <w:kern w:val="2"/>
          <w:szCs w:val="24"/>
        </w:rPr>
        <w:t>血紅素計數≦11g/dL。</w:t>
      </w:r>
    </w:p>
    <w:p w:rsidR="000838F4" w:rsidRPr="005363DB" w:rsidRDefault="000838F4" w:rsidP="000838F4">
      <w:pPr>
        <w:numPr>
          <w:ilvl w:val="0"/>
          <w:numId w:val="23"/>
        </w:numPr>
        <w:suppressAutoHyphens w:val="0"/>
        <w:autoSpaceDN/>
        <w:spacing w:line="400" w:lineRule="exact"/>
        <w:ind w:leftChars="415" w:left="1560"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血小板計數≦100×109/L。</w:t>
      </w:r>
    </w:p>
    <w:p w:rsidR="000838F4" w:rsidRPr="005363DB" w:rsidRDefault="000838F4" w:rsidP="000838F4">
      <w:pPr>
        <w:numPr>
          <w:ilvl w:val="0"/>
          <w:numId w:val="23"/>
        </w:numPr>
        <w:suppressAutoHyphens w:val="0"/>
        <w:autoSpaceDN/>
        <w:spacing w:line="400" w:lineRule="exact"/>
        <w:ind w:leftChars="472" w:left="1558" w:hangingChars="177"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β2-microglobulin&gt;3mg/L。</w:t>
      </w:r>
    </w:p>
    <w:p w:rsidR="000838F4" w:rsidRPr="005363DB" w:rsidRDefault="000838F4" w:rsidP="000838F4">
      <w:pPr>
        <w:numPr>
          <w:ilvl w:val="0"/>
          <w:numId w:val="23"/>
        </w:numPr>
        <w:suppressAutoHyphens w:val="0"/>
        <w:autoSpaceDN/>
        <w:spacing w:line="400" w:lineRule="exact"/>
        <w:ind w:leftChars="531" w:left="1557" w:hangingChars="118"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免疫球蛋白IgM&gt;7g/dL。</w:t>
      </w:r>
    </w:p>
    <w:p w:rsidR="000838F4" w:rsidRPr="00347CE0" w:rsidRDefault="000838F4" w:rsidP="000838F4">
      <w:pPr>
        <w:numPr>
          <w:ilvl w:val="0"/>
          <w:numId w:val="22"/>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需經事前審查核准後使用(事審代碼：C88N3)。首次申請事前審查之療程以4個月為限，之後每3個月需再次申請，再次申請時應檢附前次治療結果評估資料，如影像學檢查報告。</w:t>
      </w:r>
      <w:r w:rsidRPr="00347CE0">
        <w:rPr>
          <w:rFonts w:ascii="標楷體" w:eastAsia="標楷體" w:hAnsi="標楷體" w:cstheme="minorBidi" w:hint="eastAsia"/>
          <w:kern w:val="2"/>
          <w:szCs w:val="24"/>
        </w:rPr>
        <w:t>(</w:t>
      </w:r>
      <w:r w:rsidRPr="005363DB">
        <w:rPr>
          <w:rFonts w:ascii="標楷體" w:eastAsia="標楷體" w:hAnsi="標楷體" w:cstheme="minorBidi" w:hint="eastAsia"/>
          <w:kern w:val="2"/>
          <w:szCs w:val="24"/>
        </w:rPr>
        <w:t>114/8/1)</w:t>
      </w:r>
    </w:p>
    <w:p w:rsidR="000838F4" w:rsidRPr="005363DB" w:rsidRDefault="000838F4" w:rsidP="000838F4">
      <w:pPr>
        <w:numPr>
          <w:ilvl w:val="0"/>
          <w:numId w:val="22"/>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若疾病進展，則必須停止使用。</w:t>
      </w:r>
    </w:p>
    <w:p w:rsidR="000838F4" w:rsidRPr="005363DB" w:rsidRDefault="000838F4" w:rsidP="000838F4">
      <w:pPr>
        <w:numPr>
          <w:ilvl w:val="0"/>
          <w:numId w:val="22"/>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每位病人限給付20個月。</w:t>
      </w:r>
    </w:p>
    <w:p w:rsidR="000838F4" w:rsidRPr="005363DB" w:rsidRDefault="000838F4" w:rsidP="000838F4">
      <w:pPr>
        <w:numPr>
          <w:ilvl w:val="0"/>
          <w:numId w:val="22"/>
        </w:numPr>
        <w:suppressAutoHyphens w:val="0"/>
        <w:autoSpaceDN/>
        <w:spacing w:line="400" w:lineRule="exact"/>
        <w:ind w:left="993" w:hanging="469"/>
        <w:textAlignment w:val="auto"/>
        <w:rPr>
          <w:rFonts w:ascii="標楷體" w:eastAsia="標楷體" w:hAnsi="標楷體" w:cstheme="minorBidi"/>
          <w:kern w:val="2"/>
          <w:szCs w:val="24"/>
        </w:rPr>
      </w:pPr>
      <w:r w:rsidRPr="005363DB">
        <w:rPr>
          <w:rFonts w:ascii="標楷體" w:eastAsia="標楷體" w:hAnsi="標楷體" w:cstheme="minorBidi" w:hint="eastAsia"/>
          <w:kern w:val="2"/>
          <w:szCs w:val="24"/>
        </w:rPr>
        <w:t>每日至多處方4粒。</w:t>
      </w:r>
    </w:p>
    <w:p w:rsidR="000838F4" w:rsidRPr="005363DB" w:rsidRDefault="000838F4" w:rsidP="000838F4">
      <w:pPr>
        <w:numPr>
          <w:ilvl w:val="0"/>
          <w:numId w:val="47"/>
        </w:numPr>
        <w:suppressAutoHyphens w:val="0"/>
        <w:autoSpaceDN/>
        <w:spacing w:line="400" w:lineRule="exact"/>
        <w:ind w:left="567" w:hanging="283"/>
        <w:textAlignment w:val="auto"/>
        <w:rPr>
          <w:rFonts w:ascii="標楷體" w:eastAsia="標楷體" w:hAnsi="標楷體" w:cs="BiauKai"/>
          <w:kern w:val="2"/>
          <w:szCs w:val="24"/>
        </w:rPr>
      </w:pPr>
      <w:r w:rsidRPr="005363DB">
        <w:rPr>
          <w:rFonts w:ascii="標楷體" w:eastAsia="標楷體" w:hAnsi="標楷體" w:cs="BiauKai" w:hint="eastAsia"/>
          <w:kern w:val="2"/>
          <w:szCs w:val="24"/>
        </w:rPr>
        <w:t>與</w:t>
      </w:r>
      <w:r w:rsidRPr="00347CE0">
        <w:rPr>
          <w:rFonts w:ascii="標楷體" w:eastAsia="標楷體" w:hAnsi="標楷體" w:cstheme="minorBidi" w:hint="eastAsia"/>
          <w:kern w:val="2"/>
          <w:szCs w:val="24"/>
        </w:rPr>
        <w:t>obinutuzumab</w:t>
      </w:r>
      <w:r w:rsidRPr="005363DB">
        <w:rPr>
          <w:rFonts w:ascii="標楷體" w:eastAsia="標楷體" w:hAnsi="標楷體" w:cs="BiauKai" w:hint="eastAsia"/>
          <w:kern w:val="2"/>
          <w:szCs w:val="24"/>
        </w:rPr>
        <w:t>併用，治療先前曾接受至少兩線(每線至少4個療程)全身性治療無效或復發的濾泡性淋巴瘤成人病人。(</w:t>
      </w:r>
      <w:r w:rsidRPr="005363DB">
        <w:rPr>
          <w:rFonts w:ascii="標楷體" w:eastAsia="標楷體" w:hAnsi="標楷體" w:cstheme="minorBidi" w:hint="eastAsia"/>
          <w:kern w:val="2"/>
          <w:szCs w:val="24"/>
        </w:rPr>
        <w:t>114/8/1</w:t>
      </w:r>
      <w:r w:rsidRPr="005363DB">
        <w:rPr>
          <w:rFonts w:ascii="標楷體" w:eastAsia="標楷體" w:hAnsi="標楷體" w:cs="BiauKai" w:hint="eastAsia"/>
          <w:kern w:val="2"/>
          <w:szCs w:val="24"/>
        </w:rPr>
        <w:t>)</w:t>
      </w:r>
    </w:p>
    <w:p w:rsidR="000838F4" w:rsidRPr="005363DB" w:rsidRDefault="000838F4" w:rsidP="000838F4">
      <w:pPr>
        <w:numPr>
          <w:ilvl w:val="1"/>
          <w:numId w:val="25"/>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需曾接受過至少一種anti-CD20 monoclonal antibody及一種靜脈注射型之alkylating agent治療。</w:t>
      </w:r>
    </w:p>
    <w:p w:rsidR="000838F4" w:rsidRPr="005363DB" w:rsidRDefault="000838F4" w:rsidP="000838F4">
      <w:pPr>
        <w:numPr>
          <w:ilvl w:val="1"/>
          <w:numId w:val="25"/>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需符合WHO 淋巴瘤分類為I、II或IIIa期的診斷。</w:t>
      </w:r>
    </w:p>
    <w:p w:rsidR="000838F4" w:rsidRPr="005363DB" w:rsidRDefault="000838F4" w:rsidP="000838F4">
      <w:pPr>
        <w:numPr>
          <w:ilvl w:val="1"/>
          <w:numId w:val="25"/>
        </w:numPr>
        <w:suppressAutoHyphens w:val="0"/>
        <w:autoSpaceDN/>
        <w:spacing w:line="400" w:lineRule="exact"/>
        <w:ind w:left="1276"/>
        <w:textAlignment w:val="auto"/>
        <w:rPr>
          <w:rFonts w:ascii="標楷體" w:eastAsia="標楷體" w:hAnsi="標楷體" w:cs="BiauKai"/>
          <w:kern w:val="2"/>
          <w:szCs w:val="24"/>
        </w:rPr>
      </w:pPr>
      <w:r w:rsidRPr="005363DB">
        <w:rPr>
          <w:rFonts w:ascii="標楷體" w:eastAsia="標楷體" w:hAnsi="標楷體" w:cs="BiauKai" w:hint="eastAsia"/>
          <w:kern w:val="2"/>
          <w:szCs w:val="24"/>
        </w:rPr>
        <w:t>開始使用前之疾病狀態需出現下列任一情形：</w:t>
      </w:r>
    </w:p>
    <w:p w:rsidR="000838F4" w:rsidRPr="005363DB" w:rsidRDefault="000838F4" w:rsidP="000838F4">
      <w:pPr>
        <w:numPr>
          <w:ilvl w:val="0"/>
          <w:numId w:val="24"/>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有單一腫瘤直徑7公分以上者；</w:t>
      </w:r>
    </w:p>
    <w:p w:rsidR="000838F4" w:rsidRPr="005363DB" w:rsidRDefault="000838F4" w:rsidP="000838F4">
      <w:pPr>
        <w:numPr>
          <w:ilvl w:val="0"/>
          <w:numId w:val="24"/>
        </w:numPr>
        <w:suppressAutoHyphens w:val="0"/>
        <w:autoSpaceDN/>
        <w:spacing w:line="400" w:lineRule="exact"/>
        <w:ind w:left="1560" w:hanging="502"/>
        <w:textAlignment w:val="auto"/>
        <w:rPr>
          <w:rFonts w:ascii="標楷體" w:eastAsia="標楷體" w:hAnsi="標楷體" w:cs="BiauKai"/>
          <w:kern w:val="2"/>
          <w:szCs w:val="24"/>
        </w:rPr>
      </w:pPr>
      <w:r w:rsidRPr="005363DB">
        <w:rPr>
          <w:rFonts w:ascii="標楷體" w:eastAsia="標楷體" w:hAnsi="標楷體" w:cs="BiauKai" w:hint="eastAsia"/>
          <w:kern w:val="2"/>
          <w:szCs w:val="24"/>
        </w:rPr>
        <w:t>有</w:t>
      </w:r>
      <w:r w:rsidRPr="005363DB">
        <w:rPr>
          <w:rFonts w:ascii="標楷體" w:eastAsia="標楷體" w:hAnsi="標楷體" w:cs="BiauKai" w:hint="eastAsia"/>
          <w:kern w:val="2"/>
        </w:rPr>
        <w:t>三顆以上之腫瘤其直徑大於3公分以上者</w:t>
      </w:r>
      <w:r w:rsidRPr="005363DB">
        <w:rPr>
          <w:rFonts w:ascii="標楷體" w:eastAsia="標楷體" w:hAnsi="標楷體" w:cs="BiauKai" w:hint="eastAsia"/>
          <w:kern w:val="2"/>
          <w:szCs w:val="24"/>
        </w:rPr>
        <w:t>；</w:t>
      </w:r>
    </w:p>
    <w:p w:rsidR="000838F4" w:rsidRPr="005363DB" w:rsidRDefault="000838F4" w:rsidP="000838F4">
      <w:pPr>
        <w:numPr>
          <w:ilvl w:val="0"/>
          <w:numId w:val="24"/>
        </w:numPr>
        <w:suppressAutoHyphens w:val="0"/>
        <w:autoSpaceDN/>
        <w:spacing w:line="400" w:lineRule="exact"/>
        <w:ind w:leftChars="413" w:left="1555" w:hangingChars="235" w:hanging="564"/>
        <w:textAlignment w:val="auto"/>
        <w:rPr>
          <w:rFonts w:ascii="標楷體" w:eastAsia="標楷體" w:hAnsi="標楷體" w:cs="BiauKai"/>
          <w:kern w:val="2"/>
          <w:szCs w:val="24"/>
        </w:rPr>
      </w:pPr>
      <w:r w:rsidRPr="005363DB">
        <w:rPr>
          <w:rFonts w:ascii="標楷體" w:eastAsia="標楷體" w:hAnsi="標楷體" w:cs="BiauKai" w:hint="eastAsia"/>
          <w:kern w:val="2"/>
          <w:szCs w:val="24"/>
        </w:rPr>
        <w:t>脾臟腫大，其長度16公分以上者；</w:t>
      </w:r>
    </w:p>
    <w:p w:rsidR="000838F4" w:rsidRPr="005363DB" w:rsidRDefault="000838F4" w:rsidP="000838F4">
      <w:pPr>
        <w:numPr>
          <w:ilvl w:val="0"/>
          <w:numId w:val="24"/>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對vitalorgans造成擠壓者；</w:t>
      </w:r>
    </w:p>
    <w:p w:rsidR="000838F4" w:rsidRPr="005363DB" w:rsidRDefault="000838F4" w:rsidP="000838F4">
      <w:pPr>
        <w:numPr>
          <w:ilvl w:val="0"/>
          <w:numId w:val="24"/>
        </w:numPr>
        <w:suppressAutoHyphens w:val="0"/>
        <w:autoSpaceDN/>
        <w:spacing w:line="400" w:lineRule="exact"/>
        <w:ind w:left="1560" w:hanging="360"/>
        <w:textAlignment w:val="auto"/>
        <w:rPr>
          <w:rFonts w:ascii="標楷體" w:eastAsia="標楷體" w:hAnsi="標楷體" w:cs="BiauKai"/>
          <w:kern w:val="2"/>
          <w:szCs w:val="24"/>
        </w:rPr>
      </w:pPr>
      <w:r w:rsidRPr="005363DB">
        <w:rPr>
          <w:rFonts w:ascii="標楷體" w:eastAsia="標楷體" w:hAnsi="標楷體" w:cs="BiauKai" w:hint="eastAsia"/>
          <w:kern w:val="2"/>
          <w:szCs w:val="24"/>
        </w:rPr>
        <w:t>周邊血中出現淋巴球增生超過5000/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者；</w:t>
      </w:r>
    </w:p>
    <w:p w:rsidR="000838F4" w:rsidRPr="005363DB" w:rsidRDefault="000838F4" w:rsidP="000838F4">
      <w:pPr>
        <w:numPr>
          <w:ilvl w:val="0"/>
          <w:numId w:val="24"/>
        </w:numPr>
        <w:suppressAutoHyphens w:val="0"/>
        <w:autoSpaceDN/>
        <w:spacing w:line="400" w:lineRule="exact"/>
        <w:ind w:left="1560" w:hanging="426"/>
        <w:textAlignment w:val="auto"/>
        <w:rPr>
          <w:rFonts w:ascii="標楷體" w:eastAsia="標楷體" w:hAnsi="標楷體" w:cs="BiauKai"/>
          <w:kern w:val="2"/>
          <w:szCs w:val="24"/>
        </w:rPr>
      </w:pPr>
      <w:r w:rsidRPr="005363DB">
        <w:rPr>
          <w:rFonts w:ascii="標楷體" w:eastAsia="標楷體" w:hAnsi="標楷體" w:cs="BiauKai" w:hint="eastAsia"/>
          <w:kern w:val="2"/>
          <w:szCs w:val="24"/>
        </w:rPr>
        <w:t>出現任一系列血球低下者（platelet&lt;100,000/ 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，或 Hb&lt;10gm/dL，或absolute neutrophil count&lt;1500/mm</w:t>
      </w:r>
      <w:r w:rsidRPr="005363DB">
        <w:rPr>
          <w:rFonts w:ascii="標楷體" w:eastAsia="標楷體" w:hAnsi="標楷體" w:cs="BiauKai" w:hint="eastAsia"/>
          <w:kern w:val="2"/>
          <w:szCs w:val="24"/>
          <w:vertAlign w:val="superscript"/>
        </w:rPr>
        <w:t>3</w:t>
      </w:r>
      <w:r w:rsidRPr="005363DB">
        <w:rPr>
          <w:rFonts w:ascii="標楷體" w:eastAsia="標楷體" w:hAnsi="標楷體" w:cs="BiauKai" w:hint="eastAsia"/>
          <w:kern w:val="2"/>
          <w:szCs w:val="24"/>
        </w:rPr>
        <w:t>)。</w:t>
      </w:r>
    </w:p>
    <w:p w:rsidR="000838F4" w:rsidRPr="005363DB" w:rsidRDefault="000838F4" w:rsidP="000838F4">
      <w:pPr>
        <w:numPr>
          <w:ilvl w:val="0"/>
          <w:numId w:val="24"/>
        </w:numPr>
        <w:suppressAutoHyphens w:val="0"/>
        <w:autoSpaceDN/>
        <w:spacing w:line="400" w:lineRule="exact"/>
        <w:ind w:left="1560" w:hanging="567"/>
        <w:textAlignment w:val="auto"/>
        <w:rPr>
          <w:rFonts w:ascii="標楷體" w:eastAsia="標楷體" w:hAnsi="標楷體" w:cs="BiauKai"/>
          <w:kern w:val="2"/>
          <w:szCs w:val="24"/>
        </w:rPr>
      </w:pPr>
      <w:r w:rsidRPr="005363DB">
        <w:rPr>
          <w:rFonts w:ascii="標楷體" w:eastAsia="標楷體" w:hAnsi="標楷體" w:cs="BiauKai" w:hint="eastAsia"/>
          <w:kern w:val="2"/>
          <w:szCs w:val="24"/>
        </w:rPr>
        <w:t>B symptoms。</w:t>
      </w:r>
    </w:p>
    <w:p w:rsidR="000838F4" w:rsidRDefault="000838F4" w:rsidP="000838F4">
      <w:pPr>
        <w:numPr>
          <w:ilvl w:val="1"/>
          <w:numId w:val="25"/>
        </w:numPr>
        <w:suppressAutoHyphens w:val="0"/>
        <w:autoSpaceDN/>
        <w:spacing w:line="400" w:lineRule="exact"/>
        <w:ind w:left="1276" w:hanging="425"/>
        <w:textAlignment w:val="auto"/>
        <w:rPr>
          <w:rFonts w:ascii="標楷體" w:eastAsia="標楷體" w:hAnsi="標楷體" w:cs="BiauKai"/>
          <w:kern w:val="2"/>
          <w:szCs w:val="24"/>
        </w:rPr>
      </w:pPr>
      <w:r w:rsidRPr="005363DB">
        <w:rPr>
          <w:rFonts w:ascii="標楷體" w:eastAsia="標楷體" w:hAnsi="標楷體" w:cs="BiauKai" w:hint="eastAsia"/>
          <w:kern w:val="2"/>
          <w:szCs w:val="24"/>
        </w:rPr>
        <w:t>需經事前審查核准後使用</w:t>
      </w:r>
      <w:r w:rsidRPr="005363DB">
        <w:rPr>
          <w:rFonts w:ascii="標楷體" w:eastAsia="標楷體" w:hAnsi="標楷體" w:cstheme="minorBidi" w:hint="eastAsia"/>
          <w:kern w:val="2"/>
          <w:szCs w:val="24"/>
        </w:rPr>
        <w:t>(事審代碼：C82N</w:t>
      </w:r>
      <w:r>
        <w:rPr>
          <w:rFonts w:ascii="標楷體" w:eastAsia="標楷體" w:hAnsi="標楷體" w:cstheme="minorBidi" w:hint="eastAsia"/>
          <w:kern w:val="2"/>
          <w:szCs w:val="24"/>
        </w:rPr>
        <w:t>3</w:t>
      </w:r>
      <w:r w:rsidRPr="005363DB">
        <w:rPr>
          <w:rFonts w:ascii="標楷體" w:eastAsia="標楷體" w:hAnsi="標楷體" w:cstheme="minorBidi" w:hint="eastAsia"/>
          <w:kern w:val="2"/>
          <w:szCs w:val="24"/>
        </w:rPr>
        <w:t>)</w:t>
      </w:r>
      <w:r w:rsidRPr="005363DB">
        <w:rPr>
          <w:rFonts w:ascii="標楷體" w:eastAsia="標楷體" w:hAnsi="標楷體" w:cs="BiauKai" w:hint="eastAsia"/>
          <w:kern w:val="2"/>
          <w:szCs w:val="24"/>
        </w:rPr>
        <w:t>，每3個月需再次申請，再次申請時需檢附療效評估資料，若未達partial remission或 complete remission，則不予給付。</w:t>
      </w:r>
    </w:p>
    <w:p w:rsidR="000838F4" w:rsidRDefault="000838F4" w:rsidP="000838F4">
      <w:pPr>
        <w:numPr>
          <w:ilvl w:val="1"/>
          <w:numId w:val="25"/>
        </w:numPr>
        <w:suppressAutoHyphens w:val="0"/>
        <w:autoSpaceDN/>
        <w:spacing w:line="400" w:lineRule="exact"/>
        <w:ind w:left="1276" w:hanging="425"/>
        <w:textAlignment w:val="auto"/>
        <w:rPr>
          <w:rFonts w:ascii="標楷體" w:eastAsia="標楷體" w:hAnsi="標楷體" w:cs="BiauKai"/>
          <w:kern w:val="2"/>
          <w:szCs w:val="24"/>
        </w:rPr>
      </w:pPr>
      <w:r w:rsidRPr="0074474A">
        <w:rPr>
          <w:rFonts w:ascii="標楷體" w:eastAsia="標楷體" w:hAnsi="標楷體" w:cs="BiauKai" w:hint="eastAsia"/>
          <w:kern w:val="2"/>
          <w:szCs w:val="24"/>
        </w:rPr>
        <w:lastRenderedPageBreak/>
        <w:t>總療程以全部24個月為上限。Zanubrutinib每日至多處方4粒。</w:t>
      </w:r>
    </w:p>
    <w:p w:rsidR="000838F4" w:rsidRDefault="000838F4" w:rsidP="000838F4">
      <w:pPr>
        <w:numPr>
          <w:ilvl w:val="0"/>
          <w:numId w:val="47"/>
        </w:numPr>
        <w:suppressAutoHyphens w:val="0"/>
        <w:autoSpaceDN/>
        <w:spacing w:line="400" w:lineRule="exact"/>
        <w:ind w:left="567" w:hanging="283"/>
        <w:textAlignment w:val="auto"/>
        <w:rPr>
          <w:rFonts w:ascii="標楷體" w:eastAsia="標楷體" w:hAnsi="標楷體" w:cs="BiauKai"/>
          <w:kern w:val="2"/>
          <w:szCs w:val="24"/>
        </w:rPr>
      </w:pPr>
      <w:r w:rsidRPr="00170338">
        <w:rPr>
          <w:rFonts w:ascii="標楷體" w:eastAsia="標楷體" w:hAnsi="標楷體" w:cs="BiauKai" w:hint="eastAsia"/>
          <w:kern w:val="2"/>
          <w:szCs w:val="24"/>
        </w:rPr>
        <w:t>單獨使用於慢性淋巴球性白血病(CLL)成人病人。(114/10/1)</w:t>
      </w:r>
    </w:p>
    <w:p w:rsidR="000838F4" w:rsidRDefault="000838F4" w:rsidP="000838F4">
      <w:pPr>
        <w:numPr>
          <w:ilvl w:val="0"/>
          <w:numId w:val="48"/>
        </w:numPr>
        <w:suppressAutoHyphens w:val="0"/>
        <w:autoSpaceDN/>
        <w:spacing w:line="400" w:lineRule="exact"/>
        <w:ind w:left="1276" w:hanging="425"/>
        <w:textAlignment w:val="auto"/>
        <w:rPr>
          <w:rFonts w:ascii="標楷體" w:eastAsia="標楷體" w:hAnsi="標楷體" w:cs="BiauKai"/>
          <w:kern w:val="2"/>
          <w:szCs w:val="24"/>
        </w:rPr>
      </w:pPr>
      <w:r w:rsidRPr="00170338">
        <w:rPr>
          <w:rFonts w:ascii="標楷體" w:eastAsia="標楷體" w:hAnsi="標楷體" w:cs="BiauKai" w:hint="eastAsia"/>
          <w:kern w:val="2"/>
          <w:szCs w:val="24"/>
        </w:rPr>
        <w:t>ECOG 分數須≦2。</w:t>
      </w:r>
    </w:p>
    <w:p w:rsidR="000838F4" w:rsidRDefault="000838F4" w:rsidP="000838F4">
      <w:pPr>
        <w:numPr>
          <w:ilvl w:val="0"/>
          <w:numId w:val="48"/>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需符合下列任一情況：</w:t>
      </w:r>
    </w:p>
    <w:p w:rsidR="000838F4" w:rsidRDefault="000838F4" w:rsidP="000838F4">
      <w:pPr>
        <w:pStyle w:val="a9"/>
        <w:numPr>
          <w:ilvl w:val="0"/>
          <w:numId w:val="50"/>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具有17p缺失</w:t>
      </w:r>
      <w:r>
        <w:rPr>
          <w:rFonts w:ascii="標楷體" w:eastAsia="標楷體" w:hAnsi="標楷體" w:cs="BiauKai" w:hint="eastAsia"/>
          <w:kern w:val="2"/>
        </w:rPr>
        <w:t>。</w:t>
      </w:r>
    </w:p>
    <w:p w:rsidR="000838F4" w:rsidRDefault="000838F4" w:rsidP="000838F4">
      <w:pPr>
        <w:pStyle w:val="a9"/>
        <w:numPr>
          <w:ilvl w:val="0"/>
          <w:numId w:val="50"/>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非IGHV突變且曾接受至少1種包括alkylating agent與anti-CD20(如R-CVP、RCHOP、rituximab加bendamustine等)的治療2個療程以上仍惡化或復發者</w:t>
      </w:r>
      <w:r>
        <w:rPr>
          <w:rFonts w:ascii="標楷體" w:eastAsia="標楷體" w:hAnsi="標楷體" w:cs="BiauKai" w:hint="eastAsia"/>
          <w:kern w:val="2"/>
        </w:rPr>
        <w:t>。</w:t>
      </w:r>
    </w:p>
    <w:p w:rsidR="000838F4" w:rsidRPr="006915F1" w:rsidRDefault="000838F4" w:rsidP="000838F4">
      <w:pPr>
        <w:pStyle w:val="a9"/>
        <w:numPr>
          <w:ilvl w:val="0"/>
          <w:numId w:val="50"/>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CLL病人需先前曾接受至少2線治療(排除僅有口服藥物之療程)，治療中須包括alkylating agent與anti-CD20(如R-CVP、RCHOP、rituximab加bendamustine等)的治療，每線治療至少2個療程以上後，仍惡化或復發者</w:t>
      </w:r>
      <w:r>
        <w:rPr>
          <w:rFonts w:ascii="標楷體" w:eastAsia="標楷體" w:hAnsi="標楷體" w:cs="BiauKai" w:hint="eastAsia"/>
          <w:kern w:val="2"/>
        </w:rPr>
        <w:t>。</w:t>
      </w:r>
    </w:p>
    <w:p w:rsidR="000838F4" w:rsidRDefault="000838F4" w:rsidP="000838F4">
      <w:pPr>
        <w:numPr>
          <w:ilvl w:val="0"/>
          <w:numId w:val="48"/>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開始使用前之疾病狀態需出現下列任一情形：</w:t>
      </w:r>
    </w:p>
    <w:p w:rsidR="000838F4" w:rsidRDefault="000838F4" w:rsidP="000838F4">
      <w:pPr>
        <w:pStyle w:val="a9"/>
        <w:numPr>
          <w:ilvl w:val="0"/>
          <w:numId w:val="4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進行性的血液相惡化至Hb &lt; 10.0 gm/dL或PLT &lt; 100 K/uL，且無其他原因可以解釋</w:t>
      </w:r>
      <w:r>
        <w:rPr>
          <w:rFonts w:ascii="標楷體" w:eastAsia="標楷體" w:hAnsi="標楷體" w:cs="BiauKai" w:hint="eastAsia"/>
          <w:kern w:val="2"/>
        </w:rPr>
        <w:t>。</w:t>
      </w:r>
    </w:p>
    <w:p w:rsidR="000838F4" w:rsidRDefault="000838F4" w:rsidP="000838F4">
      <w:pPr>
        <w:pStyle w:val="a9"/>
        <w:numPr>
          <w:ilvl w:val="0"/>
          <w:numId w:val="4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脾臟腫大超過左肋骨下緣</w:t>
      </w:r>
      <w:r w:rsidRPr="006915F1">
        <w:rPr>
          <w:rFonts w:ascii="標楷體" w:eastAsia="標楷體" w:hAnsi="標楷體" w:cs="BiauKai"/>
          <w:kern w:val="2"/>
        </w:rPr>
        <w:t>6cm</w:t>
      </w:r>
      <w:r>
        <w:rPr>
          <w:rFonts w:ascii="標楷體" w:eastAsia="標楷體" w:hAnsi="標楷體" w:cs="BiauKai" w:hint="eastAsia"/>
          <w:kern w:val="2"/>
        </w:rPr>
        <w:t>。</w:t>
      </w:r>
    </w:p>
    <w:p w:rsidR="000838F4" w:rsidRDefault="000838F4" w:rsidP="000838F4">
      <w:pPr>
        <w:pStyle w:val="a9"/>
        <w:numPr>
          <w:ilvl w:val="0"/>
          <w:numId w:val="4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淋巴結腫大，最長徑超過</w:t>
      </w:r>
      <w:r w:rsidRPr="006915F1">
        <w:rPr>
          <w:rFonts w:ascii="標楷體" w:eastAsia="標楷體" w:hAnsi="標楷體" w:cs="BiauKai"/>
          <w:kern w:val="2"/>
        </w:rPr>
        <w:t>10cm</w:t>
      </w:r>
      <w:r>
        <w:rPr>
          <w:rFonts w:ascii="標楷體" w:eastAsia="標楷體" w:hAnsi="標楷體" w:cs="BiauKai" w:hint="eastAsia"/>
          <w:kern w:val="2"/>
        </w:rPr>
        <w:t>。</w:t>
      </w:r>
    </w:p>
    <w:p w:rsidR="000838F4" w:rsidRDefault="000838F4" w:rsidP="000838F4">
      <w:pPr>
        <w:pStyle w:val="a9"/>
        <w:numPr>
          <w:ilvl w:val="0"/>
          <w:numId w:val="4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周邊血液淋巴球在2個月內增加50%以上，或倍增時間(doubling time)小於6個月</w:t>
      </w:r>
      <w:r>
        <w:rPr>
          <w:rFonts w:ascii="標楷體" w:eastAsia="標楷體" w:hAnsi="標楷體" w:cs="BiauKai" w:hint="eastAsia"/>
          <w:kern w:val="2"/>
        </w:rPr>
        <w:t>。</w:t>
      </w:r>
    </w:p>
    <w:p w:rsidR="000838F4" w:rsidRDefault="000838F4" w:rsidP="000838F4">
      <w:pPr>
        <w:pStyle w:val="a9"/>
        <w:numPr>
          <w:ilvl w:val="0"/>
          <w:numId w:val="4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出現自體免疫併發症，且經類固醇治療無效。</w:t>
      </w:r>
    </w:p>
    <w:p w:rsidR="000838F4" w:rsidRPr="006915F1" w:rsidRDefault="000838F4" w:rsidP="000838F4">
      <w:pPr>
        <w:pStyle w:val="a9"/>
        <w:numPr>
          <w:ilvl w:val="0"/>
          <w:numId w:val="49"/>
        </w:numPr>
        <w:suppressAutoHyphens w:val="0"/>
        <w:autoSpaceDN/>
        <w:spacing w:line="400" w:lineRule="exact"/>
        <w:textAlignment w:val="auto"/>
        <w:rPr>
          <w:rFonts w:ascii="標楷體" w:eastAsia="標楷體" w:hAnsi="標楷體" w:cs="BiauKai"/>
          <w:kern w:val="2"/>
        </w:rPr>
      </w:pPr>
      <w:r w:rsidRPr="006915F1">
        <w:rPr>
          <w:rFonts w:ascii="標楷體" w:eastAsia="標楷體" w:hAnsi="標楷體" w:cs="BiauKai" w:hint="eastAsia"/>
          <w:kern w:val="2"/>
        </w:rPr>
        <w:t>出現具症狀的淋巴結外病灶</w:t>
      </w:r>
      <w:r>
        <w:rPr>
          <w:rFonts w:ascii="標楷體" w:eastAsia="標楷體" w:hAnsi="標楷體" w:cs="BiauKai" w:hint="eastAsia"/>
          <w:kern w:val="2"/>
        </w:rPr>
        <w:t>。</w:t>
      </w:r>
    </w:p>
    <w:p w:rsidR="000838F4" w:rsidRDefault="000838F4" w:rsidP="000838F4">
      <w:pPr>
        <w:numPr>
          <w:ilvl w:val="0"/>
          <w:numId w:val="48"/>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需經事前審查核准後使用(事審代碼：C91N1)，每3個月需再次申請。再次申請時需檢附療效評估資料，若未達iwCLL (International Workshop on CLL)最新定義之partial remission或complete remission，則不予給付</w:t>
      </w:r>
      <w:r>
        <w:rPr>
          <w:rFonts w:ascii="標楷體" w:eastAsia="標楷體" w:hAnsi="標楷體" w:cs="BiauKai" w:hint="eastAsia"/>
          <w:kern w:val="2"/>
          <w:szCs w:val="24"/>
        </w:rPr>
        <w:t>。</w:t>
      </w:r>
    </w:p>
    <w:p w:rsidR="000838F4" w:rsidRDefault="000838F4" w:rsidP="000838F4">
      <w:pPr>
        <w:numPr>
          <w:ilvl w:val="0"/>
          <w:numId w:val="48"/>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在具有17缺失病人，acalabrutinib、ibrutinib、venetoclax與zanubrutinib四者僅能擇一使用，唯有在出現無法忍受其副作用時方可互換。四者使用總療程合併計算，以全部24個月為上限。</w:t>
      </w:r>
    </w:p>
    <w:p w:rsidR="000838F4" w:rsidRDefault="000838F4" w:rsidP="000838F4">
      <w:pPr>
        <w:numPr>
          <w:ilvl w:val="0"/>
          <w:numId w:val="48"/>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在非IGHV突變二線以上病人及CLL三線以上病人，acalabrutinib與zanubrutinib二者僅能擇一使用，唯有在出現無法忍受其副作用時方可互換。二者使用總療程合併計算，以全部24個月為上限。</w:t>
      </w:r>
    </w:p>
    <w:p w:rsidR="005363DB" w:rsidRPr="0074474A" w:rsidRDefault="000838F4" w:rsidP="000838F4">
      <w:pPr>
        <w:numPr>
          <w:ilvl w:val="0"/>
          <w:numId w:val="48"/>
        </w:numPr>
        <w:suppressAutoHyphens w:val="0"/>
        <w:autoSpaceDN/>
        <w:spacing w:line="400" w:lineRule="exact"/>
        <w:ind w:left="1276" w:hanging="425"/>
        <w:textAlignment w:val="auto"/>
        <w:rPr>
          <w:rFonts w:ascii="標楷體" w:eastAsia="標楷體" w:hAnsi="標楷體" w:cs="BiauKai"/>
          <w:kern w:val="2"/>
          <w:szCs w:val="24"/>
        </w:rPr>
      </w:pPr>
      <w:r w:rsidRPr="006915F1">
        <w:rPr>
          <w:rFonts w:ascii="標楷體" w:eastAsia="標楷體" w:hAnsi="標楷體" w:cs="BiauKai" w:hint="eastAsia"/>
          <w:kern w:val="2"/>
          <w:szCs w:val="24"/>
        </w:rPr>
        <w:t>每日至多處方4粒</w:t>
      </w:r>
      <w:r>
        <w:rPr>
          <w:rFonts w:ascii="標楷體" w:eastAsia="標楷體" w:hAnsi="標楷體" w:cs="BiauKai" w:hint="eastAsia"/>
          <w:kern w:val="2"/>
          <w:szCs w:val="24"/>
        </w:rPr>
        <w:t>。</w:t>
      </w:r>
      <w:bookmarkEnd w:id="41"/>
    </w:p>
    <w:p w:rsidR="00517C45" w:rsidRPr="00803B45" w:rsidRDefault="00517C45" w:rsidP="00517C45">
      <w:pPr>
        <w:spacing w:line="400" w:lineRule="exact"/>
        <w:ind w:left="142"/>
        <w:rPr>
          <w:rFonts w:ascii="標楷體" w:eastAsia="標楷體" w:hAnsi="標楷體"/>
          <w:szCs w:val="24"/>
        </w:rPr>
      </w:pPr>
      <w:bookmarkStart w:id="42" w:name="_Hlk204085052"/>
      <w:r w:rsidRPr="00803B45">
        <w:rPr>
          <w:rFonts w:ascii="標楷體" w:eastAsia="標楷體" w:hAnsi="標楷體"/>
          <w:szCs w:val="24"/>
        </w:rPr>
        <w:t>9.105.Polatuzumab vedotin (如Polivy)：(113/2/1</w:t>
      </w:r>
      <w:r w:rsidRPr="00803B45">
        <w:rPr>
          <w:rFonts w:ascii="標楷體" w:eastAsia="標楷體" w:hAnsi="標楷體" w:hint="eastAsia"/>
        </w:rPr>
        <w:t>、114/8/1</w:t>
      </w:r>
      <w:r w:rsidRPr="00803B45">
        <w:rPr>
          <w:rFonts w:ascii="標楷體" w:eastAsia="標楷體" w:hAnsi="標楷體"/>
          <w:szCs w:val="24"/>
        </w:rPr>
        <w:t>)</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1.限與bendamustine和rituximab併用，適用於第三線治療復發型（relapsed）或難治型（refractory）且未曾接受及不適合接受造血幹細胞移植的瀰漫性大型B細胞淋巴瘤（DLBCL）成年病人，並須完全符合下列條件：</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(1)ECOG分數≦2。</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lastRenderedPageBreak/>
        <w:t>(2)未曾接受幹細胞移植且需先經兩位曾接受血液及骨髓移植訓練並合格之醫師評估為不適合接受移植之病人並滿足下列條件之一：</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Ⅰ.年齡在65歲（含）以上，且使用過的第二線治療含鉑類藥物（cisplatin、oxaliplatin、carboplatin）後，以影像學檢查證實疾病惡化中。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Ⅱ.年齡在65歲以下，符合HCT-CI≧3分，且使用過的第二線治療含鉑類藥物（cisplatin、oxaliplatin、carboplatin）後，以影像學檢查證實疾病惡化中。</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rPr>
        <w:t>Ⅲ.使用過第二線治療含鉑類藥物（cisplatin、oxaliplatin、carboplatin）後，在收集造血幹細胞時，即使使用plerixafor後收集的CD34陽性原始細胞仍未達每公斤體重200萬顆細胞，且以影像學檢查證實疾病惡化中。</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一線曾接受經兩次（含）以上rituximab合併化學治療，治療4個療程以上復發或是於治療中發生疾病惡化者。(113/2/1、114/8/1)</w:t>
      </w:r>
      <w:r w:rsidRPr="00803B45">
        <w:rPr>
          <w:rFonts w:ascii="標楷體" w:eastAsia="標楷體" w:hAnsi="標楷體"/>
        </w:rPr>
        <w:t xml:space="preserve"> </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hint="eastAsia"/>
        </w:rPr>
        <w:tab/>
        <w:t>救援治療需符合以下任一條件：(114/8/1)</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w:t>
      </w:r>
      <w:r w:rsidRPr="00803B45">
        <w:rPr>
          <w:rFonts w:ascii="標楷體" w:eastAsia="標楷體" w:hAnsi="標楷體" w:hint="eastAsia"/>
        </w:rPr>
        <w:tab/>
        <w:t>治療2個療程以上復發或是於治療中發生疾病惡化者。</w:t>
      </w:r>
    </w:p>
    <w:p w:rsidR="00517C45" w:rsidRPr="00803B45" w:rsidRDefault="00517C45" w:rsidP="00517C45">
      <w:pPr>
        <w:pStyle w:val="a9"/>
        <w:spacing w:line="400" w:lineRule="exact"/>
        <w:ind w:left="1701" w:hanging="397"/>
        <w:rPr>
          <w:rFonts w:ascii="標楷體" w:eastAsia="標楷體" w:hAnsi="標楷體"/>
        </w:rPr>
      </w:pPr>
      <w:r w:rsidRPr="00803B45">
        <w:rPr>
          <w:rFonts w:ascii="標楷體" w:eastAsia="標楷體" w:hAnsi="標楷體" w:hint="eastAsia"/>
        </w:rPr>
        <w:t>II.</w:t>
      </w:r>
      <w:r w:rsidRPr="00803B45">
        <w:rPr>
          <w:rFonts w:ascii="標楷體" w:eastAsia="標楷體" w:hAnsi="標楷體" w:hint="eastAsia"/>
        </w:rPr>
        <w:tab/>
        <w:t>經造血幹細胞移植治療失敗者。</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2.需經事前審查核准後使用：</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(1)每次申請事前審查以3個療程為限，再次申請必須提出客觀證據（如：影像學）證實無惡化，若病情惡化即不得再次申請。</w:t>
      </w:r>
    </w:p>
    <w:p w:rsidR="00517C45" w:rsidRPr="00803B45" w:rsidRDefault="00517C45" w:rsidP="00517C45">
      <w:pPr>
        <w:pStyle w:val="a9"/>
        <w:spacing w:line="400" w:lineRule="exact"/>
        <w:ind w:left="1276" w:hanging="284"/>
        <w:rPr>
          <w:rFonts w:ascii="標楷體" w:eastAsia="標楷體" w:hAnsi="標楷體"/>
        </w:rPr>
      </w:pPr>
      <w:r w:rsidRPr="00803B45">
        <w:rPr>
          <w:rFonts w:ascii="標楷體" w:eastAsia="標楷體" w:hAnsi="標楷體"/>
        </w:rPr>
        <w:t>(2)每位病人終生限給付6個療程。</w:t>
      </w:r>
    </w:p>
    <w:p w:rsidR="00517C45" w:rsidRPr="00803B45" w:rsidRDefault="00517C45" w:rsidP="00517C45">
      <w:pPr>
        <w:pStyle w:val="a9"/>
        <w:spacing w:line="400" w:lineRule="exact"/>
        <w:ind w:left="993" w:hanging="284"/>
        <w:rPr>
          <w:rFonts w:ascii="標楷體" w:eastAsia="標楷體" w:hAnsi="標楷體"/>
        </w:rPr>
      </w:pPr>
      <w:r w:rsidRPr="00803B45">
        <w:rPr>
          <w:rFonts w:ascii="標楷體" w:eastAsia="標楷體" w:hAnsi="標楷體"/>
        </w:rPr>
        <w:t>3.</w:t>
      </w:r>
      <w:r w:rsidRPr="00803B45">
        <w:rPr>
          <w:rFonts w:ascii="標楷體" w:eastAsia="標楷體" w:hAnsi="標楷體" w:hint="eastAsia"/>
        </w:rPr>
        <w:t>病人接受本藥物治療後，不給付造血幹細胞移植。(113/2/1、114/8/1)</w:t>
      </w:r>
    </w:p>
    <w:p w:rsidR="00517C45" w:rsidRPr="00517C45" w:rsidRDefault="00517C45" w:rsidP="00517C45">
      <w:pPr>
        <w:pStyle w:val="a9"/>
        <w:spacing w:line="400" w:lineRule="exact"/>
        <w:ind w:left="993" w:hanging="284"/>
        <w:rPr>
          <w:rFonts w:ascii="標楷體" w:eastAsia="標楷體" w:hAnsi="標楷體"/>
        </w:rPr>
      </w:pPr>
      <w:r w:rsidRPr="00803B45">
        <w:rPr>
          <w:rFonts w:ascii="標楷體" w:eastAsia="標楷體" w:hAnsi="標楷體" w:hint="eastAsia"/>
        </w:rPr>
        <w:t>4</w:t>
      </w:r>
      <w:r w:rsidRPr="00803B45">
        <w:rPr>
          <w:rFonts w:ascii="標楷體" w:eastAsia="標楷體" w:hAnsi="標楷體"/>
        </w:rPr>
        <w:t>.</w:t>
      </w:r>
      <w:r w:rsidRPr="00803B45">
        <w:rPr>
          <w:rFonts w:ascii="標楷體" w:eastAsia="標楷體" w:hAnsi="標楷體" w:hint="eastAsia"/>
        </w:rPr>
        <w:t>本藥品、glofitamab及epcoritamab僅得擇一給付，治療失敗後不得互換。(114/8/1)</w:t>
      </w:r>
      <w:bookmarkEnd w:id="42"/>
    </w:p>
    <w:p w:rsidR="008B4C4B" w:rsidRPr="00204759" w:rsidRDefault="008B4C4B" w:rsidP="008B4C4B">
      <w:pPr>
        <w:spacing w:line="400" w:lineRule="exact"/>
        <w:ind w:left="30" w:hanging="30"/>
        <w:rPr>
          <w:rFonts w:ascii="標楷體" w:eastAsia="標楷體" w:hAnsi="標楷體"/>
          <w:color w:val="000000"/>
          <w:szCs w:val="24"/>
        </w:rPr>
      </w:pPr>
      <w:r w:rsidRPr="00204759">
        <w:rPr>
          <w:rFonts w:ascii="標楷體" w:eastAsia="標楷體" w:hAnsi="標楷體"/>
          <w:color w:val="000000"/>
          <w:szCs w:val="24"/>
        </w:rPr>
        <w:t>9.106.Sacituzumab govitecan (如Trodelvy）：(113/2/1、114/2/1</w:t>
      </w:r>
      <w:r w:rsidRPr="00204759">
        <w:rPr>
          <w:rFonts w:ascii="標楷體" w:eastAsia="標楷體" w:hAnsi="標楷體" w:hint="eastAsia"/>
          <w:color w:val="000000"/>
          <w:szCs w:val="24"/>
        </w:rPr>
        <w:t>、1</w:t>
      </w:r>
      <w:r w:rsidRPr="00204759">
        <w:rPr>
          <w:rFonts w:ascii="標楷體" w:eastAsia="標楷體" w:hAnsi="標楷體"/>
          <w:color w:val="000000"/>
          <w:szCs w:val="24"/>
        </w:rPr>
        <w:t>14</w:t>
      </w:r>
      <w:r w:rsidRPr="00204759">
        <w:rPr>
          <w:rFonts w:ascii="標楷體" w:eastAsia="標楷體" w:hAnsi="標楷體" w:hint="eastAsia"/>
          <w:color w:val="000000"/>
          <w:szCs w:val="24"/>
        </w:rPr>
        <w:t>/1</w:t>
      </w:r>
      <w:r w:rsidRPr="00204759">
        <w:rPr>
          <w:rFonts w:ascii="標楷體" w:eastAsia="標楷體" w:hAnsi="標楷體"/>
          <w:color w:val="000000"/>
          <w:szCs w:val="24"/>
        </w:rPr>
        <w:t>0</w:t>
      </w:r>
      <w:r w:rsidRPr="00204759">
        <w:rPr>
          <w:rFonts w:ascii="標楷體" w:eastAsia="標楷體" w:hAnsi="標楷體" w:hint="eastAsia"/>
          <w:color w:val="000000"/>
          <w:szCs w:val="24"/>
        </w:rPr>
        <w:t>/1</w:t>
      </w:r>
      <w:r w:rsidRPr="00204759">
        <w:rPr>
          <w:rFonts w:ascii="標楷體" w:eastAsia="標楷體" w:hAnsi="標楷體"/>
          <w:color w:val="000000"/>
          <w:szCs w:val="24"/>
        </w:rPr>
        <w:t>)</w:t>
      </w:r>
    </w:p>
    <w:p w:rsidR="008B4C4B" w:rsidRPr="00204759" w:rsidRDefault="008B4C4B" w:rsidP="008B4C4B">
      <w:pPr>
        <w:spacing w:line="400" w:lineRule="exact"/>
        <w:ind w:left="567" w:hanging="284"/>
        <w:rPr>
          <w:rFonts w:ascii="標楷體" w:eastAsia="標楷體" w:hAnsi="標楷體"/>
          <w:color w:val="000000"/>
          <w:szCs w:val="24"/>
        </w:rPr>
      </w:pPr>
      <w:r w:rsidRPr="00204759">
        <w:rPr>
          <w:rFonts w:ascii="標楷體" w:eastAsia="標楷體" w:hAnsi="標楷體"/>
          <w:color w:val="000000"/>
          <w:szCs w:val="24"/>
        </w:rPr>
        <w:t>1.用於治療先前已接受兩次以上全身性治療無效(其中一次需為治療晚期疾病)之無法切除的局部晚期或轉移性的三陰性乳癌成</w:t>
      </w:r>
      <w:r w:rsidRPr="00204759">
        <w:rPr>
          <w:rFonts w:ascii="標楷體" w:eastAsia="標楷體" w:hAnsi="標楷體" w:hint="eastAsia"/>
          <w:color w:val="000000"/>
          <w:szCs w:val="24"/>
        </w:rPr>
        <w:t>人</w:t>
      </w:r>
      <w:r w:rsidRPr="00204759">
        <w:rPr>
          <w:rFonts w:ascii="標楷體" w:eastAsia="標楷體" w:hAnsi="標楷體"/>
          <w:color w:val="000000"/>
          <w:szCs w:val="24"/>
        </w:rPr>
        <w:t>病人</w:t>
      </w:r>
      <w:r w:rsidRPr="00204759">
        <w:rPr>
          <w:rFonts w:ascii="標楷體" w:eastAsia="標楷體" w:hAnsi="標楷體" w:hint="eastAsia"/>
          <w:color w:val="000000"/>
          <w:szCs w:val="24"/>
        </w:rPr>
        <w:t>。</w:t>
      </w:r>
      <w:r w:rsidRPr="00204759">
        <w:rPr>
          <w:rFonts w:ascii="標楷體" w:eastAsia="標楷體" w:hAnsi="標楷體"/>
          <w:szCs w:val="24"/>
        </w:rPr>
        <w:t>(</w:t>
      </w:r>
      <w:r w:rsidRPr="00204759">
        <w:rPr>
          <w:rFonts w:ascii="標楷體" w:eastAsia="標楷體" w:hAnsi="標楷體" w:hint="eastAsia"/>
          <w:szCs w:val="24"/>
        </w:rPr>
        <w:t>113/2/1、1</w:t>
      </w:r>
      <w:r w:rsidRPr="00204759">
        <w:rPr>
          <w:rFonts w:ascii="標楷體" w:eastAsia="標楷體" w:hAnsi="標楷體"/>
          <w:szCs w:val="24"/>
        </w:rPr>
        <w:t>14/2/1)</w:t>
      </w:r>
    </w:p>
    <w:p w:rsidR="008B4C4B" w:rsidRPr="00204759" w:rsidRDefault="008B4C4B" w:rsidP="008B4C4B">
      <w:pPr>
        <w:tabs>
          <w:tab w:val="left" w:pos="739"/>
        </w:tabs>
        <w:spacing w:line="400" w:lineRule="exact"/>
        <w:ind w:leftChars="136" w:left="566" w:hangingChars="100" w:hanging="240"/>
        <w:rPr>
          <w:rFonts w:ascii="標楷體" w:eastAsia="標楷體" w:hAnsi="標楷體"/>
          <w:szCs w:val="24"/>
        </w:rPr>
      </w:pPr>
      <w:r w:rsidRPr="00204759">
        <w:rPr>
          <w:rFonts w:ascii="標楷體" w:eastAsia="標楷體" w:hAnsi="標楷體" w:hint="eastAsia"/>
          <w:szCs w:val="24"/>
        </w:rPr>
        <w:t>(1)須</w:t>
      </w:r>
      <w:r w:rsidRPr="00204759">
        <w:rPr>
          <w:rFonts w:ascii="標楷體" w:eastAsia="標楷體" w:hAnsi="標楷體"/>
          <w:szCs w:val="24"/>
        </w:rPr>
        <w:t>符合下列各項條件：</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Ⅰ.病人身體狀況良好（</w:t>
      </w:r>
      <w:r w:rsidRPr="00204759">
        <w:rPr>
          <w:rFonts w:ascii="標楷體" w:eastAsia="標楷體" w:hAnsi="標楷體"/>
          <w:szCs w:val="24"/>
        </w:rPr>
        <w:t>ECOG</w:t>
      </w:r>
      <w:r w:rsidRPr="00204759">
        <w:rPr>
          <w:rFonts w:ascii="標楷體" w:eastAsia="標楷體" w:hAnsi="標楷體" w:hint="eastAsia"/>
          <w:szCs w:val="24"/>
        </w:rPr>
        <w:t>≦</w:t>
      </w:r>
      <w:r w:rsidRPr="00204759">
        <w:rPr>
          <w:rFonts w:ascii="標楷體" w:eastAsia="標楷體" w:hAnsi="標楷體"/>
          <w:szCs w:val="24"/>
        </w:rPr>
        <w:t>1</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Ⅱ.須使用過</w:t>
      </w:r>
      <w:r w:rsidRPr="00204759">
        <w:rPr>
          <w:rFonts w:ascii="標楷體" w:eastAsia="標楷體" w:hAnsi="標楷體"/>
          <w:szCs w:val="24"/>
        </w:rPr>
        <w:t>taxane</w:t>
      </w:r>
      <w:r w:rsidRPr="00204759">
        <w:rPr>
          <w:rFonts w:ascii="標楷體" w:eastAsia="標楷體" w:hAnsi="標楷體" w:hint="eastAsia"/>
          <w:szCs w:val="24"/>
        </w:rPr>
        <w:t>類藥物至少1個療程。</w:t>
      </w:r>
    </w:p>
    <w:p w:rsidR="008B4C4B" w:rsidRPr="00204759" w:rsidRDefault="008B4C4B" w:rsidP="008B4C4B">
      <w:pPr>
        <w:tabs>
          <w:tab w:val="left" w:pos="739"/>
        </w:tabs>
        <w:spacing w:line="400" w:lineRule="exact"/>
        <w:ind w:leftChars="250" w:left="960" w:hangingChars="150" w:hanging="360"/>
        <w:rPr>
          <w:rFonts w:ascii="標楷體" w:eastAsia="標楷體" w:hAnsi="標楷體"/>
          <w:szCs w:val="24"/>
        </w:rPr>
      </w:pPr>
      <w:r w:rsidRPr="00204759">
        <w:rPr>
          <w:rFonts w:ascii="標楷體" w:eastAsia="標楷體" w:hAnsi="標楷體" w:hint="eastAsia"/>
          <w:szCs w:val="24"/>
        </w:rPr>
        <w:t>Ⅲ.先前未接受過trastuzumab deruxtecan治療。(114/2/1)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須經事前審查核准後使用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初次申請時需檢附ER、PR、HER2皆為陰性之檢測報告</w:t>
      </w:r>
      <w:r w:rsidRPr="00204759">
        <w:rPr>
          <w:rFonts w:ascii="標楷體" w:eastAsia="標楷體" w:hAnsi="標楷體" w:hint="eastAsia"/>
          <w:szCs w:val="24"/>
        </w:rPr>
        <w:t>。</w:t>
      </w:r>
    </w:p>
    <w:p w:rsidR="008B4C4B" w:rsidRPr="00204759" w:rsidRDefault="008B4C4B" w:rsidP="008B4C4B">
      <w:pPr>
        <w:tabs>
          <w:tab w:val="left" w:pos="739"/>
        </w:tabs>
        <w:spacing w:line="400" w:lineRule="exact"/>
        <w:ind w:leftChars="131" w:left="676" w:hangingChars="151" w:hanging="362"/>
        <w:rPr>
          <w:rFonts w:ascii="標楷體" w:eastAsia="標楷體" w:hAnsi="標楷體"/>
          <w:color w:val="000000"/>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再次申請必須提出客觀證據（如：影像學）證實無惡化，才可繼續使用。</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(4)</w:t>
      </w:r>
      <w:r w:rsidRPr="00204759">
        <w:rPr>
          <w:rFonts w:ascii="標楷體" w:eastAsia="標楷體" w:hAnsi="標楷體"/>
          <w:szCs w:val="24"/>
        </w:rPr>
        <w:t>Sacituzumab govitecan和trastuzumab deruxtecan僅能擇一給付，不得互換。(114/2/1)</w:t>
      </w:r>
      <w:r w:rsidRPr="00204759">
        <w:rPr>
          <w:rFonts w:ascii="標楷體" w:eastAsia="標楷體" w:hAnsi="標楷體" w:hint="eastAsia"/>
          <w:szCs w:val="24"/>
        </w:rPr>
        <w:t>。</w:t>
      </w:r>
    </w:p>
    <w:p w:rsidR="008B4C4B" w:rsidRPr="00204759" w:rsidRDefault="008B4C4B" w:rsidP="008B4C4B">
      <w:pPr>
        <w:spacing w:line="400" w:lineRule="exact"/>
        <w:ind w:left="567" w:hanging="284"/>
        <w:rPr>
          <w:rFonts w:ascii="標楷體" w:eastAsia="標楷體" w:hAnsi="標楷體"/>
          <w:szCs w:val="24"/>
        </w:rPr>
      </w:pPr>
      <w:r w:rsidRPr="00204759">
        <w:rPr>
          <w:rFonts w:ascii="標楷體" w:eastAsia="標楷體" w:hAnsi="標楷體" w:hint="eastAsia"/>
          <w:szCs w:val="24"/>
        </w:rPr>
        <w:t>2.</w:t>
      </w:r>
      <w:r w:rsidRPr="008B4C4B">
        <w:rPr>
          <w:rFonts w:ascii="標楷體" w:eastAsia="標楷體" w:hAnsi="標楷體" w:hint="eastAsia"/>
          <w:color w:val="000000"/>
          <w:szCs w:val="24"/>
        </w:rPr>
        <w:t>用於</w:t>
      </w:r>
      <w:r w:rsidRPr="00204759">
        <w:rPr>
          <w:rFonts w:ascii="標楷體" w:eastAsia="標楷體" w:hAnsi="標楷體"/>
          <w:szCs w:val="24"/>
        </w:rPr>
        <w:t>治療患有無法切除的局部晚期或轉移性的HR陽性</w:t>
      </w:r>
      <w:r w:rsidRPr="00204759">
        <w:rPr>
          <w:rFonts w:ascii="標楷體" w:eastAsia="標楷體" w:hAnsi="標楷體" w:hint="eastAsia"/>
          <w:szCs w:val="24"/>
        </w:rPr>
        <w:t>、</w:t>
      </w:r>
      <w:r w:rsidRPr="00204759">
        <w:rPr>
          <w:rFonts w:ascii="標楷體" w:eastAsia="標楷體" w:hAnsi="標楷體"/>
          <w:szCs w:val="24"/>
        </w:rPr>
        <w:t>HER2陰性</w:t>
      </w:r>
      <w:r w:rsidRPr="00204759">
        <w:rPr>
          <w:rFonts w:ascii="標楷體" w:eastAsia="標楷體" w:hAnsi="標楷體" w:hint="eastAsia"/>
          <w:szCs w:val="24"/>
        </w:rPr>
        <w:t>之</w:t>
      </w:r>
      <w:r w:rsidRPr="00204759">
        <w:rPr>
          <w:rFonts w:ascii="標楷體" w:eastAsia="標楷體" w:hAnsi="標楷體"/>
          <w:szCs w:val="24"/>
        </w:rPr>
        <w:t>乳癌成</w:t>
      </w:r>
      <w:r w:rsidRPr="00204759">
        <w:rPr>
          <w:rFonts w:ascii="標楷體" w:eastAsia="標楷體" w:hAnsi="標楷體" w:hint="eastAsia"/>
          <w:szCs w:val="24"/>
        </w:rPr>
        <w:t>人</w:t>
      </w:r>
      <w:r w:rsidRPr="00204759">
        <w:rPr>
          <w:rFonts w:ascii="標楷體" w:eastAsia="標楷體" w:hAnsi="標楷體"/>
          <w:szCs w:val="24"/>
        </w:rPr>
        <w:t>病人</w:t>
      </w:r>
      <w:r w:rsidRPr="00204759">
        <w:rPr>
          <w:rFonts w:ascii="標楷體" w:eastAsia="標楷體" w:hAnsi="標楷體" w:hint="eastAsia"/>
          <w:szCs w:val="24"/>
        </w:rPr>
        <w:t>。(1</w:t>
      </w:r>
      <w:r w:rsidRPr="00204759">
        <w:rPr>
          <w:rFonts w:ascii="標楷體" w:eastAsia="標楷體" w:hAnsi="標楷體"/>
          <w:szCs w:val="24"/>
        </w:rPr>
        <w:t>14</w:t>
      </w:r>
      <w:r w:rsidRPr="00204759">
        <w:rPr>
          <w:rFonts w:ascii="標楷體" w:eastAsia="標楷體" w:hAnsi="標楷體" w:hint="eastAsia"/>
          <w:szCs w:val="24"/>
        </w:rPr>
        <w:t>/1</w:t>
      </w:r>
      <w:r w:rsidRPr="00204759">
        <w:rPr>
          <w:rFonts w:ascii="標楷體" w:eastAsia="標楷體" w:hAnsi="標楷體"/>
          <w:szCs w:val="24"/>
        </w:rPr>
        <w:t>0</w:t>
      </w:r>
      <w:r w:rsidRPr="00204759">
        <w:rPr>
          <w:rFonts w:ascii="標楷體" w:eastAsia="標楷體" w:hAnsi="標楷體" w:hint="eastAsia"/>
          <w:szCs w:val="24"/>
        </w:rPr>
        <w:t>/1)</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lastRenderedPageBreak/>
        <w:t>(1)須</w:t>
      </w:r>
      <w:r w:rsidRPr="00204759">
        <w:rPr>
          <w:rFonts w:ascii="標楷體" w:eastAsia="標楷體" w:hAnsi="標楷體"/>
          <w:szCs w:val="24"/>
        </w:rPr>
        <w:t>符合下列各項條件：</w:t>
      </w:r>
    </w:p>
    <w:p w:rsidR="008B4C4B" w:rsidRPr="00204759" w:rsidRDefault="008B4C4B" w:rsidP="008B4C4B">
      <w:pPr>
        <w:spacing w:line="400" w:lineRule="exact"/>
        <w:ind w:leftChars="200" w:left="960" w:hangingChars="200" w:hanging="480"/>
        <w:rPr>
          <w:rFonts w:ascii="標楷體" w:eastAsia="標楷體" w:hAnsi="標楷體"/>
          <w:szCs w:val="24"/>
        </w:rPr>
      </w:pPr>
      <w:r w:rsidRPr="00204759">
        <w:rPr>
          <w:rFonts w:ascii="標楷體" w:eastAsia="標楷體" w:hAnsi="標楷體" w:hint="eastAsia"/>
          <w:szCs w:val="24"/>
        </w:rPr>
        <w:t>Ⅰ.須排除活動性腦轉移。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Ⅱ.曾接受 CDK4/6 抑制劑≦12個月，並有內臟轉移。</w:t>
      </w:r>
    </w:p>
    <w:p w:rsidR="008B4C4B" w:rsidRPr="00204759" w:rsidRDefault="008B4C4B" w:rsidP="008B4C4B">
      <w:pPr>
        <w:spacing w:line="400" w:lineRule="exact"/>
        <w:ind w:leftChars="200" w:left="840" w:hangingChars="150" w:hanging="360"/>
        <w:rPr>
          <w:rFonts w:ascii="標楷體" w:eastAsia="標楷體" w:hAnsi="標楷體"/>
          <w:szCs w:val="24"/>
        </w:rPr>
      </w:pPr>
      <w:r w:rsidRPr="00204759">
        <w:rPr>
          <w:rFonts w:ascii="標楷體" w:eastAsia="標楷體" w:hAnsi="標楷體" w:hint="eastAsia"/>
          <w:szCs w:val="24"/>
        </w:rPr>
        <w:t>Ⅲ.</w:t>
      </w:r>
      <w:r w:rsidRPr="00204759">
        <w:rPr>
          <w:rFonts w:ascii="標楷體" w:eastAsia="標楷體" w:hAnsi="標楷體"/>
          <w:szCs w:val="24"/>
        </w:rPr>
        <w:t>曾接受</w:t>
      </w:r>
      <w:r w:rsidRPr="00204759">
        <w:rPr>
          <w:rFonts w:ascii="標楷體" w:eastAsia="標楷體" w:hAnsi="標楷體" w:hint="eastAsia"/>
          <w:szCs w:val="24"/>
        </w:rPr>
        <w:t>至少兩線(每線至少兩個完整療程或於第二個療程中產生疾病惡化)的</w:t>
      </w:r>
      <w:r w:rsidRPr="00204759">
        <w:rPr>
          <w:rFonts w:ascii="標楷體" w:eastAsia="標楷體" w:hAnsi="標楷體"/>
          <w:szCs w:val="24"/>
        </w:rPr>
        <w:t>轉移性乳癌化</w:t>
      </w:r>
      <w:r w:rsidRPr="00204759">
        <w:rPr>
          <w:rFonts w:ascii="標楷體" w:eastAsia="標楷體" w:hAnsi="標楷體" w:hint="eastAsia"/>
          <w:szCs w:val="24"/>
        </w:rPr>
        <w:t>學治療。</w:t>
      </w:r>
    </w:p>
    <w:p w:rsidR="008B4C4B" w:rsidRPr="00204759" w:rsidRDefault="008B4C4B" w:rsidP="008B4C4B">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szCs w:val="24"/>
        </w:rPr>
        <w:t>(2)</w:t>
      </w:r>
      <w:r w:rsidRPr="00204759">
        <w:rPr>
          <w:rFonts w:ascii="標楷體" w:eastAsia="標楷體" w:hAnsi="標楷體"/>
          <w:color w:val="000000"/>
          <w:szCs w:val="24"/>
        </w:rPr>
        <w:t>須經事前</w:t>
      </w:r>
      <w:r w:rsidRPr="008B4C4B">
        <w:rPr>
          <w:rFonts w:ascii="標楷體" w:eastAsia="標楷體" w:hAnsi="標楷體"/>
          <w:szCs w:val="24"/>
        </w:rPr>
        <w:t>審查</w:t>
      </w:r>
      <w:r w:rsidRPr="00204759">
        <w:rPr>
          <w:rFonts w:ascii="標楷體" w:eastAsia="標楷體" w:hAnsi="標楷體"/>
          <w:color w:val="000000"/>
          <w:szCs w:val="24"/>
        </w:rPr>
        <w:t>核准後使用</w:t>
      </w:r>
      <w:r w:rsidRPr="00204759">
        <w:rPr>
          <w:rFonts w:ascii="標楷體" w:eastAsia="標楷體" w:hAnsi="標楷體" w:hint="eastAsia"/>
          <w:color w:val="000000"/>
          <w:szCs w:val="24"/>
        </w:rPr>
        <w:t>，</w:t>
      </w:r>
      <w:r w:rsidRPr="00204759">
        <w:rPr>
          <w:rFonts w:ascii="標楷體" w:eastAsia="標楷體" w:hAnsi="標楷體"/>
          <w:color w:val="000000"/>
          <w:szCs w:val="24"/>
        </w:rPr>
        <w:t>每次申請之療程以3個月為限</w:t>
      </w:r>
      <w:r w:rsidRPr="00204759">
        <w:rPr>
          <w:rFonts w:ascii="標楷體" w:eastAsia="標楷體" w:hAnsi="標楷體" w:hint="eastAsia"/>
          <w:color w:val="000000"/>
          <w:szCs w:val="24"/>
        </w:rPr>
        <w:t>，</w:t>
      </w:r>
      <w:r w:rsidRPr="00204759">
        <w:rPr>
          <w:rFonts w:ascii="標楷體" w:eastAsia="標楷體" w:hAnsi="標楷體"/>
          <w:szCs w:val="24"/>
        </w:rPr>
        <w:t>初次申請時需檢附</w:t>
      </w:r>
      <w:r w:rsidRPr="00204759">
        <w:rPr>
          <w:rFonts w:ascii="標楷體" w:eastAsia="標楷體" w:hAnsi="標楷體" w:hint="eastAsia"/>
          <w:szCs w:val="24"/>
        </w:rPr>
        <w:t>H</w:t>
      </w:r>
      <w:r w:rsidRPr="00204759">
        <w:rPr>
          <w:rFonts w:ascii="標楷體" w:eastAsia="標楷體" w:hAnsi="標楷體"/>
          <w:szCs w:val="24"/>
        </w:rPr>
        <w:t>R</w:t>
      </w:r>
      <w:r w:rsidRPr="00204759">
        <w:rPr>
          <w:rFonts w:ascii="標楷體" w:eastAsia="標楷體" w:hAnsi="標楷體" w:hint="eastAsia"/>
          <w:szCs w:val="24"/>
        </w:rPr>
        <w:t>陽性</w:t>
      </w:r>
      <w:r w:rsidRPr="00204759">
        <w:rPr>
          <w:rFonts w:ascii="標楷體" w:eastAsia="標楷體" w:hAnsi="標楷體"/>
          <w:szCs w:val="24"/>
        </w:rPr>
        <w:t>、HER2陰性</w:t>
      </w:r>
      <w:r w:rsidRPr="00204759">
        <w:rPr>
          <w:rFonts w:ascii="標楷體" w:eastAsia="標楷體" w:hAnsi="標楷體" w:hint="eastAsia"/>
          <w:szCs w:val="24"/>
        </w:rPr>
        <w:t>(</w:t>
      </w:r>
      <w:r w:rsidRPr="00204759">
        <w:rPr>
          <w:rFonts w:ascii="標楷體" w:eastAsia="標楷體" w:hAnsi="標楷體"/>
          <w:szCs w:val="24"/>
        </w:rPr>
        <w:t>IHC 0、IHC 1+或 IHC 2+/ISH–</w:t>
      </w:r>
      <w:r w:rsidRPr="00204759">
        <w:rPr>
          <w:rFonts w:ascii="標楷體" w:eastAsia="標楷體" w:hAnsi="標楷體" w:hint="eastAsia"/>
          <w:szCs w:val="24"/>
        </w:rPr>
        <w:t>)</w:t>
      </w:r>
      <w:r w:rsidRPr="00204759">
        <w:rPr>
          <w:rFonts w:ascii="標楷體" w:eastAsia="標楷體" w:hAnsi="標楷體"/>
          <w:szCs w:val="24"/>
        </w:rPr>
        <w:t>之檢測報告</w:t>
      </w:r>
      <w:r w:rsidRPr="00204759">
        <w:rPr>
          <w:rFonts w:ascii="標楷體" w:eastAsia="標楷體" w:hAnsi="標楷體" w:hint="eastAsia"/>
          <w:szCs w:val="24"/>
        </w:rPr>
        <w:t>。</w:t>
      </w:r>
    </w:p>
    <w:p w:rsidR="00B96EA0" w:rsidRPr="00957AD9" w:rsidRDefault="008B4C4B" w:rsidP="00957AD9">
      <w:pPr>
        <w:tabs>
          <w:tab w:val="left" w:pos="739"/>
        </w:tabs>
        <w:spacing w:line="400" w:lineRule="exact"/>
        <w:ind w:leftChars="131" w:left="676" w:hangingChars="151" w:hanging="362"/>
        <w:rPr>
          <w:rFonts w:ascii="標楷體" w:eastAsia="標楷體" w:hAnsi="標楷體"/>
          <w:szCs w:val="24"/>
        </w:rPr>
      </w:pPr>
      <w:r w:rsidRPr="00204759">
        <w:rPr>
          <w:rFonts w:ascii="標楷體" w:eastAsia="標楷體" w:hAnsi="標楷體" w:hint="eastAsia"/>
          <w:color w:val="000000"/>
          <w:szCs w:val="24"/>
        </w:rPr>
        <w:t>(3)</w:t>
      </w:r>
      <w:r w:rsidRPr="00204759">
        <w:rPr>
          <w:rFonts w:ascii="標楷體" w:eastAsia="標楷體" w:hAnsi="標楷體"/>
          <w:color w:val="000000"/>
          <w:szCs w:val="24"/>
        </w:rPr>
        <w:t>再次申請必須提出客觀</w:t>
      </w:r>
      <w:r w:rsidRPr="008B4C4B">
        <w:rPr>
          <w:rFonts w:ascii="標楷體" w:eastAsia="標楷體" w:hAnsi="標楷體"/>
          <w:szCs w:val="24"/>
        </w:rPr>
        <w:t>證據</w:t>
      </w:r>
      <w:r w:rsidRPr="00204759">
        <w:rPr>
          <w:rFonts w:ascii="標楷體" w:eastAsia="標楷體" w:hAnsi="標楷體"/>
          <w:color w:val="000000"/>
          <w:szCs w:val="24"/>
        </w:rPr>
        <w:t>（如：影像學）證實無惡化，才可繼續使用。</w:t>
      </w:r>
    </w:p>
    <w:p w:rsidR="00B96EA0" w:rsidRDefault="007D66B8" w:rsidP="005142EB">
      <w:pPr>
        <w:spacing w:line="400" w:lineRule="exact"/>
        <w:ind w:left="752" w:hanging="706"/>
        <w:rPr>
          <w:rFonts w:ascii="標楷體" w:eastAsia="標楷體" w:hAnsi="標楷體"/>
          <w:color w:val="000000"/>
        </w:rPr>
      </w:pPr>
      <w:r>
        <w:rPr>
          <w:rFonts w:ascii="標楷體" w:eastAsia="標楷體" w:hAnsi="標楷體"/>
          <w:color w:val="000000"/>
        </w:rPr>
        <w:t>9.107.Abemaciclib (如Verzenio)：(113/3/1、113/6/1)</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1.併用內分泌療法(tamoxifen或芳香環酶抑制劑)，作為荷爾蒙受體(HR)陽性(ER或PR&gt;30%)、第二型人類表皮生長因子受體(HER2)陰性、淋巴結陽性，高復發風險之早期乳癌成年女性病人的輔助療法，須符合下列高復發風險條件之一(113/3/1、113/6/1)：</w:t>
      </w:r>
    </w:p>
    <w:p w:rsidR="00B96EA0" w:rsidRDefault="007D66B8" w:rsidP="005142EB">
      <w:pPr>
        <w:spacing w:line="400" w:lineRule="exact"/>
        <w:ind w:left="1332" w:hanging="566"/>
      </w:pPr>
      <w:r>
        <w:rPr>
          <w:rFonts w:ascii="標楷體" w:eastAsia="標楷體" w:hAnsi="標楷體"/>
          <w:color w:val="000000"/>
        </w:rPr>
        <w:t xml:space="preserve">(1)pALN (positive axillary lymph nodes，陽性腋下淋巴結) </w:t>
      </w:r>
      <w:r>
        <w:rPr>
          <w:rFonts w:eastAsia="標楷體"/>
          <w:color w:val="000000"/>
        </w:rPr>
        <w:t>≥</w:t>
      </w:r>
      <w:r>
        <w:rPr>
          <w:rFonts w:ascii="標楷體" w:eastAsia="標楷體" w:hAnsi="標楷體"/>
          <w:color w:val="000000"/>
        </w:rPr>
        <w:t>4。</w:t>
      </w:r>
    </w:p>
    <w:p w:rsidR="00B96EA0" w:rsidRDefault="007D66B8" w:rsidP="005142EB">
      <w:pPr>
        <w:spacing w:line="400" w:lineRule="exact"/>
        <w:ind w:left="1332" w:hanging="566"/>
      </w:pPr>
      <w:r>
        <w:rPr>
          <w:rFonts w:ascii="標楷體" w:eastAsia="標楷體" w:hAnsi="標楷體"/>
          <w:color w:val="000000"/>
        </w:rPr>
        <w:t>(2)pALN (陽性腋下淋巴結)為1-3 且腫瘤大小</w:t>
      </w:r>
      <w:r>
        <w:rPr>
          <w:rFonts w:eastAsia="標楷體"/>
          <w:color w:val="000000"/>
        </w:rPr>
        <w:t>≥</w:t>
      </w:r>
      <w:r>
        <w:rPr>
          <w:rFonts w:ascii="標楷體" w:eastAsia="標楷體" w:hAnsi="標楷體"/>
          <w:color w:val="000000"/>
        </w:rPr>
        <w:t>5 cm。</w:t>
      </w:r>
    </w:p>
    <w:p w:rsidR="00B96EA0" w:rsidRDefault="007D66B8" w:rsidP="005142EB">
      <w:pPr>
        <w:spacing w:line="400" w:lineRule="exact"/>
        <w:ind w:left="1332" w:hanging="566"/>
        <w:rPr>
          <w:rFonts w:ascii="標楷體" w:eastAsia="標楷體" w:hAnsi="標楷體"/>
          <w:color w:val="000000"/>
        </w:rPr>
      </w:pPr>
      <w:r>
        <w:rPr>
          <w:rFonts w:ascii="標楷體" w:eastAsia="標楷體" w:hAnsi="標楷體"/>
          <w:color w:val="000000"/>
        </w:rPr>
        <w:t>(3)pALN (陽性腋下淋巴結)為1-3 且腫瘤細胞分化第3級。</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2.使用前，須接受標準之化學及放射輔助治療方可申請使用。使用中，若疾病惡化須停止使用且不得再使用其他CDK4/6抑制劑。</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3.使用前，僅能接受最多12週的內分泌治療，且應於手術切除後16個月內接受本品治療。</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4.須經事前審查核准後使用，每24週須再次申請並檢附療效評估資料，若疾病有惡化情形須停止使用。</w:t>
      </w:r>
    </w:p>
    <w:p w:rsidR="00B96EA0" w:rsidRDefault="007D66B8" w:rsidP="005142EB">
      <w:pPr>
        <w:spacing w:line="400" w:lineRule="exact"/>
        <w:ind w:left="709" w:hanging="284"/>
        <w:rPr>
          <w:rFonts w:ascii="標楷體" w:eastAsia="標楷體" w:hAnsi="標楷體"/>
          <w:color w:val="000000"/>
        </w:rPr>
      </w:pPr>
      <w:r>
        <w:rPr>
          <w:rFonts w:ascii="標楷體" w:eastAsia="標楷體" w:hAnsi="標楷體"/>
          <w:color w:val="000000"/>
        </w:rPr>
        <w:t>5.每日至多使用2錠，使用不得超過2年。</w:t>
      </w:r>
    </w:p>
    <w:p w:rsidR="00941523" w:rsidRPr="00276A1A" w:rsidRDefault="007D66B8" w:rsidP="00941523">
      <w:pPr>
        <w:adjustRightInd w:val="0"/>
        <w:snapToGrid w:val="0"/>
        <w:spacing w:line="400" w:lineRule="exact"/>
        <w:ind w:left="480" w:hangingChars="200" w:hanging="480"/>
        <w:rPr>
          <w:rFonts w:ascii="標楷體" w:eastAsia="標楷體" w:hAnsi="標楷體"/>
          <w:szCs w:val="24"/>
        </w:rPr>
      </w:pPr>
      <w:r>
        <w:rPr>
          <w:rFonts w:ascii="標楷體" w:eastAsia="標楷體" w:hAnsi="標楷體"/>
          <w:szCs w:val="24"/>
        </w:rPr>
        <w:t>9.108.</w:t>
      </w:r>
      <w:r w:rsidR="00941523" w:rsidRPr="00941523">
        <w:rPr>
          <w:rFonts w:ascii="標楷體" w:eastAsia="標楷體" w:hAnsi="標楷體"/>
          <w:szCs w:val="24"/>
        </w:rPr>
        <w:t xml:space="preserve"> </w:t>
      </w:r>
      <w:r w:rsidR="00941523" w:rsidRPr="00276A1A">
        <w:rPr>
          <w:rFonts w:ascii="標楷體" w:eastAsia="標楷體" w:hAnsi="標楷體"/>
          <w:szCs w:val="24"/>
        </w:rPr>
        <w:t>Isatuximab(如</w:t>
      </w:r>
      <w:bookmarkStart w:id="43" w:name="_Hlk173438635"/>
      <w:r w:rsidR="00941523" w:rsidRPr="00276A1A">
        <w:rPr>
          <w:rFonts w:ascii="標楷體" w:eastAsia="標楷體" w:hAnsi="標楷體"/>
          <w:szCs w:val="24"/>
        </w:rPr>
        <w:t>Sarclisa</w:t>
      </w:r>
      <w:bookmarkEnd w:id="43"/>
      <w:r w:rsidR="00941523" w:rsidRPr="00276A1A">
        <w:rPr>
          <w:rFonts w:ascii="標楷體" w:eastAsia="標楷體" w:hAnsi="標楷體"/>
          <w:szCs w:val="24"/>
        </w:rPr>
        <w:t>)：(113/4/1、</w:t>
      </w:r>
      <w:r w:rsidR="00941523" w:rsidRPr="00276A1A">
        <w:rPr>
          <w:rFonts w:ascii="標楷體" w:eastAsia="標楷體" w:hAnsi="標楷體" w:hint="eastAsia"/>
          <w:szCs w:val="24"/>
        </w:rPr>
        <w:t>114</w:t>
      </w:r>
      <w:r w:rsidR="00941523" w:rsidRPr="00276A1A">
        <w:rPr>
          <w:rFonts w:ascii="標楷體" w:eastAsia="標楷體" w:hAnsi="標楷體"/>
          <w:szCs w:val="24"/>
        </w:rPr>
        <w:t>/</w:t>
      </w:r>
      <w:r w:rsidR="00941523" w:rsidRPr="00276A1A">
        <w:rPr>
          <w:rFonts w:ascii="標楷體" w:eastAsia="標楷體" w:hAnsi="標楷體" w:hint="eastAsia"/>
          <w:szCs w:val="24"/>
        </w:rPr>
        <w:t>9</w:t>
      </w:r>
      <w:r w:rsidR="00941523" w:rsidRPr="00276A1A">
        <w:rPr>
          <w:rFonts w:ascii="標楷體" w:eastAsia="標楷體" w:hAnsi="標楷體"/>
          <w:szCs w:val="24"/>
        </w:rPr>
        <w:t>/1)</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1.限與carfilzomib/dexamethasone併用，治療先前曾接受至少</w:t>
      </w:r>
      <w:r w:rsidRPr="00276A1A">
        <w:rPr>
          <w:rFonts w:ascii="標楷體" w:eastAsia="標楷體" w:hAnsi="標楷體" w:hint="eastAsia"/>
          <w:szCs w:val="24"/>
        </w:rPr>
        <w:t>1</w:t>
      </w:r>
      <w:r w:rsidRPr="00276A1A">
        <w:rPr>
          <w:rFonts w:ascii="標楷體" w:eastAsia="標楷體" w:hAnsi="標楷體"/>
          <w:szCs w:val="24"/>
        </w:rPr>
        <w:t>種含bortezomib或lenalidomide之療法治療失敗的多發性骨髓瘤成人患者，且須具有良好日常體能狀態(ECOG&lt;2)者。</w:t>
      </w:r>
    </w:p>
    <w:p w:rsidR="00941523" w:rsidRPr="00276A1A" w:rsidRDefault="00941523" w:rsidP="00941523">
      <w:pPr>
        <w:adjustRightInd w:val="0"/>
        <w:snapToGrid w:val="0"/>
        <w:spacing w:line="400" w:lineRule="exact"/>
        <w:ind w:leftChars="118" w:left="566" w:hangingChars="118" w:hanging="283"/>
        <w:rPr>
          <w:rFonts w:ascii="標楷體" w:eastAsia="標楷體" w:hAnsi="標楷體"/>
          <w:szCs w:val="24"/>
        </w:rPr>
      </w:pPr>
      <w:r w:rsidRPr="00276A1A">
        <w:rPr>
          <w:rFonts w:ascii="標楷體" w:eastAsia="標楷體" w:hAnsi="標楷體"/>
          <w:szCs w:val="24"/>
        </w:rPr>
        <w:t>2.須經事前審查核准後使用：(113/4/1、</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177" w:left="562" w:hangingChars="57" w:hanging="137"/>
        <w:rPr>
          <w:rFonts w:ascii="標楷體" w:eastAsia="標楷體" w:hAnsi="標楷體"/>
          <w:szCs w:val="24"/>
        </w:rPr>
      </w:pPr>
      <w:r w:rsidRPr="00276A1A">
        <w:rPr>
          <w:rFonts w:ascii="標楷體" w:eastAsia="標楷體" w:hAnsi="標楷體"/>
          <w:szCs w:val="24"/>
        </w:rPr>
        <w:t>(1)首次申請為10次輸注，且需同時符合下列Ⅰ.、Ⅱ.與Ⅲ.的條件：</w:t>
      </w:r>
    </w:p>
    <w:p w:rsidR="00941523" w:rsidRPr="00276A1A" w:rsidRDefault="00941523" w:rsidP="00941523">
      <w:pPr>
        <w:adjustRightInd w:val="0"/>
        <w:snapToGrid w:val="0"/>
        <w:spacing w:line="400" w:lineRule="exact"/>
        <w:ind w:leftChars="295" w:left="840" w:hangingChars="55" w:hanging="132"/>
        <w:rPr>
          <w:rFonts w:ascii="標楷體" w:eastAsia="標楷體" w:hAnsi="標楷體"/>
          <w:szCs w:val="24"/>
        </w:rPr>
      </w:pPr>
      <w:r w:rsidRPr="00276A1A">
        <w:rPr>
          <w:rFonts w:ascii="標楷體" w:eastAsia="標楷體" w:hAnsi="標楷體"/>
          <w:szCs w:val="24"/>
        </w:rPr>
        <w:t>Ⅰ.病人先前曾未接受過daratumumab之治療。(</w:t>
      </w:r>
      <w:r w:rsidRPr="00276A1A">
        <w:rPr>
          <w:rFonts w:ascii="標楷體" w:eastAsia="標楷體" w:hAnsi="標楷體" w:hint="eastAsia"/>
          <w:szCs w:val="24"/>
        </w:rPr>
        <w:t>114</w:t>
      </w:r>
      <w:r w:rsidRPr="00276A1A">
        <w:rPr>
          <w:rFonts w:ascii="標楷體" w:eastAsia="標楷體" w:hAnsi="標楷體"/>
          <w:szCs w:val="24"/>
        </w:rPr>
        <w:t>/</w:t>
      </w:r>
      <w:r w:rsidRPr="00276A1A">
        <w:rPr>
          <w:rFonts w:ascii="標楷體" w:eastAsia="標楷體" w:hAnsi="標楷體" w:hint="eastAsia"/>
          <w:szCs w:val="24"/>
        </w:rPr>
        <w:t>9</w:t>
      </w:r>
      <w:r w:rsidRPr="00276A1A">
        <w:rPr>
          <w:rFonts w:ascii="標楷體" w:eastAsia="標楷體" w:hAnsi="標楷體"/>
          <w:szCs w:val="24"/>
        </w:rPr>
        <w:t>/1)</w:t>
      </w:r>
    </w:p>
    <w:p w:rsidR="00941523" w:rsidRPr="00276A1A" w:rsidRDefault="00941523" w:rsidP="00941523">
      <w:pPr>
        <w:adjustRightInd w:val="0"/>
        <w:snapToGrid w:val="0"/>
        <w:spacing w:line="400" w:lineRule="exact"/>
        <w:ind w:leftChars="299" w:left="1133" w:hangingChars="173" w:hanging="415"/>
        <w:rPr>
          <w:rFonts w:ascii="標楷體" w:eastAsia="標楷體" w:hAnsi="標楷體"/>
          <w:szCs w:val="24"/>
        </w:rPr>
      </w:pPr>
      <w:r w:rsidRPr="00276A1A">
        <w:rPr>
          <w:rFonts w:ascii="標楷體" w:eastAsia="標楷體" w:hAnsi="標楷體"/>
          <w:szCs w:val="24"/>
        </w:rPr>
        <w:t xml:space="preserve">Ⅱ.具有下列任一疾病惡化的指標： 病患開始治療前須在連續2次評估中均符合同一指標 (但若為plamacytoma 體積增加，或是新產生的bone lesion(s)或新plasmacytoma，則僅需1次評估)： </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.若前一線治療中M component 最低值</w:t>
      </w:r>
      <w:r w:rsidRPr="00276A1A">
        <w:rPr>
          <w:rFonts w:ascii="標楷體" w:eastAsia="標楷體" w:hAnsi="標楷體" w:cs="新細明體" w:hint="eastAsia"/>
          <w:szCs w:val="24"/>
        </w:rPr>
        <w:t>≧</w:t>
      </w:r>
      <w:r w:rsidRPr="00276A1A">
        <w:rPr>
          <w:rFonts w:ascii="標楷體" w:eastAsia="標楷體" w:hAnsi="標楷體"/>
          <w:szCs w:val="24"/>
        </w:rPr>
        <w:t>5 g/dL，血清M蛋白需增加</w:t>
      </w:r>
      <w:r w:rsidRPr="00276A1A">
        <w:rPr>
          <w:rFonts w:ascii="標楷體" w:eastAsia="標楷體" w:hAnsi="標楷體" w:cs="新細明體" w:hint="eastAsia"/>
          <w:szCs w:val="24"/>
        </w:rPr>
        <w:t>≧</w:t>
      </w:r>
      <w:r w:rsidRPr="00276A1A">
        <w:rPr>
          <w:rFonts w:ascii="標楷體" w:eastAsia="標楷體" w:hAnsi="標楷體"/>
          <w:szCs w:val="24"/>
        </w:rPr>
        <w:t>1 g/dL；若前一線治療中M component最低值＜5 g/dL，血清M蛋白需增加</w:t>
      </w:r>
      <w:r w:rsidRPr="00276A1A">
        <w:rPr>
          <w:rFonts w:ascii="標楷體" w:eastAsia="標楷體" w:hAnsi="標楷體" w:cs="新細明體" w:hint="eastAsia"/>
          <w:szCs w:val="24"/>
        </w:rPr>
        <w:t>≧</w:t>
      </w:r>
      <w:r w:rsidRPr="00276A1A">
        <w:rPr>
          <w:rFonts w:ascii="標楷體" w:eastAsia="標楷體" w:hAnsi="標楷體"/>
          <w:szCs w:val="24"/>
        </w:rPr>
        <w:t>0.5g/dL。</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.Urine M-protein需增加</w:t>
      </w:r>
      <w:r w:rsidRPr="00276A1A">
        <w:rPr>
          <w:rFonts w:ascii="標楷體" w:eastAsia="標楷體" w:hAnsi="標楷體" w:cs="新細明體" w:hint="eastAsia"/>
          <w:szCs w:val="24"/>
        </w:rPr>
        <w:t>≧</w:t>
      </w:r>
      <w:r w:rsidRPr="00276A1A">
        <w:rPr>
          <w:rFonts w:ascii="標楷體" w:eastAsia="標楷體" w:hAnsi="標楷體"/>
          <w:szCs w:val="24"/>
        </w:rPr>
        <w:t>0.2 gm/24Hr，且需較前一線治療中的最低值增加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lastRenderedPageBreak/>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iii.在non-secretary myeloma 病患，骨髓漿細胞 (plasma cells)之比例絕對值增加</w:t>
      </w:r>
      <w:r w:rsidRPr="00276A1A">
        <w:rPr>
          <w:rFonts w:ascii="標楷體" w:eastAsia="標楷體" w:hAnsi="標楷體" w:cs="新細明體" w:hint="eastAsia"/>
          <w:szCs w:val="24"/>
        </w:rPr>
        <w:t>≧</w:t>
      </w:r>
      <w:r w:rsidRPr="00276A1A">
        <w:rPr>
          <w:rFonts w:ascii="標楷體" w:eastAsia="標楷體" w:hAnsi="標楷體"/>
          <w:szCs w:val="24"/>
        </w:rPr>
        <w:t>10%，且需較前一線治療中的最低值增加</w:t>
      </w:r>
      <w:r w:rsidRPr="00276A1A">
        <w:rPr>
          <w:rFonts w:ascii="標楷體" w:eastAsia="標楷體" w:hAnsi="標楷體" w:cs="新細明體" w:hint="eastAsia"/>
          <w:szCs w:val="24"/>
        </w:rPr>
        <w:t>≧</w:t>
      </w:r>
      <w:r w:rsidRPr="00276A1A">
        <w:rPr>
          <w:rFonts w:ascii="標楷體" w:eastAsia="標楷體" w:hAnsi="標楷體"/>
          <w:szCs w:val="24"/>
        </w:rPr>
        <w:t>25%。</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iv.新產生的bone lesion(s)或plasmacytoma；且須經病理切片證實。</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v.Plasmacytoma體積增加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3" w:left="1133" w:hangingChars="119" w:hanging="286"/>
        <w:rPr>
          <w:rFonts w:ascii="標楷體" w:eastAsia="標楷體" w:hAnsi="標楷體"/>
          <w:szCs w:val="24"/>
        </w:rPr>
      </w:pPr>
      <w:r w:rsidRPr="00276A1A">
        <w:rPr>
          <w:rFonts w:ascii="標楷體" w:eastAsia="標楷體" w:hAnsi="標楷體"/>
          <w:szCs w:val="24"/>
        </w:rPr>
        <w:t>vi.周邊血液中漿細胞比例</w:t>
      </w:r>
      <w:r w:rsidRPr="00276A1A">
        <w:rPr>
          <w:rFonts w:ascii="標楷體" w:eastAsia="標楷體" w:hAnsi="標楷體" w:cs="新細明體" w:hint="eastAsia"/>
          <w:szCs w:val="24"/>
        </w:rPr>
        <w:t>≧</w:t>
      </w:r>
      <w:r w:rsidRPr="00276A1A">
        <w:rPr>
          <w:rFonts w:ascii="標楷體" w:eastAsia="標楷體" w:hAnsi="標楷體"/>
          <w:szCs w:val="24"/>
        </w:rPr>
        <w:t>20%或漿細胞絕對值</w:t>
      </w:r>
      <w:r w:rsidRPr="00276A1A">
        <w:rPr>
          <w:rFonts w:ascii="標楷體" w:eastAsia="標楷體" w:hAnsi="標楷體" w:cs="新細明體" w:hint="eastAsia"/>
          <w:szCs w:val="24"/>
        </w:rPr>
        <w:t>≧</w:t>
      </w:r>
      <w:r w:rsidRPr="00276A1A">
        <w:rPr>
          <w:rFonts w:ascii="標楷體" w:eastAsia="標楷體" w:hAnsi="標楷體"/>
          <w:szCs w:val="24"/>
        </w:rPr>
        <w:t>2000 cells/μL。</w:t>
      </w:r>
    </w:p>
    <w:p w:rsidR="00941523" w:rsidRPr="00276A1A" w:rsidRDefault="00941523" w:rsidP="00941523">
      <w:pPr>
        <w:adjustRightInd w:val="0"/>
        <w:snapToGrid w:val="0"/>
        <w:spacing w:line="400" w:lineRule="exact"/>
        <w:ind w:leftChars="295" w:left="1354" w:hangingChars="269" w:hanging="646"/>
        <w:rPr>
          <w:rFonts w:ascii="標楷體" w:eastAsia="標楷體" w:hAnsi="標楷體"/>
          <w:szCs w:val="24"/>
        </w:rPr>
      </w:pPr>
      <w:r w:rsidRPr="00276A1A">
        <w:rPr>
          <w:rFonts w:ascii="標楷體" w:eastAsia="標楷體" w:hAnsi="標楷體"/>
          <w:szCs w:val="24"/>
        </w:rPr>
        <w:t xml:space="preserve">Ⅲ.出現下列任一臨床症狀： </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ⅰ</w:t>
      </w:r>
      <w:r w:rsidRPr="00276A1A">
        <w:rPr>
          <w:rFonts w:ascii="標楷體" w:eastAsia="標楷體" w:hAnsi="標楷體"/>
          <w:szCs w:val="24"/>
        </w:rPr>
        <w:t>.新產生的bone lesion(s)或plasmacytoma；且須經病理切片證實。</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新細明體" w:hAnsi="新細明體" w:cs="新細明體" w:hint="eastAsia"/>
          <w:szCs w:val="24"/>
        </w:rPr>
        <w:t>ⅱ</w:t>
      </w:r>
      <w:r w:rsidRPr="00276A1A">
        <w:rPr>
          <w:rFonts w:ascii="標楷體" w:eastAsia="標楷體" w:hAnsi="標楷體"/>
          <w:szCs w:val="24"/>
        </w:rPr>
        <w:t>.Plasmacytoma 體積增加</w:t>
      </w:r>
      <w:r w:rsidRPr="00276A1A">
        <w:rPr>
          <w:rFonts w:ascii="標楷體" w:eastAsia="標楷體" w:hAnsi="標楷體" w:cs="新細明體" w:hint="eastAsia"/>
          <w:szCs w:val="24"/>
        </w:rPr>
        <w:t>≧</w:t>
      </w:r>
      <w:r w:rsidRPr="00276A1A">
        <w:rPr>
          <w:rFonts w:ascii="標楷體" w:eastAsia="標楷體" w:hAnsi="標楷體"/>
          <w:szCs w:val="24"/>
        </w:rPr>
        <w:t>50%。</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iii.高血鈣(corrected serum calcium＞11.0 mg/dL 或 2.75 mmol/L)。</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iv.貧血(Hemoglobin 下降幅度</w:t>
      </w:r>
      <w:r w:rsidRPr="00276A1A">
        <w:rPr>
          <w:rFonts w:ascii="標楷體" w:eastAsia="標楷體" w:hAnsi="標楷體" w:cs="新細明體" w:hint="eastAsia"/>
          <w:szCs w:val="24"/>
        </w:rPr>
        <w:t>≧</w:t>
      </w:r>
      <w:r w:rsidRPr="00276A1A">
        <w:rPr>
          <w:rFonts w:ascii="標楷體" w:eastAsia="標楷體" w:hAnsi="標楷體"/>
          <w:szCs w:val="24"/>
        </w:rPr>
        <w:t xml:space="preserve"> 2gm/dL且無其他原因可以解釋)。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v.腎功能惡化(eGFR需下降幅度</w:t>
      </w:r>
      <w:r w:rsidRPr="00276A1A">
        <w:rPr>
          <w:rFonts w:ascii="標楷體" w:eastAsia="標楷體" w:hAnsi="標楷體" w:cs="新細明體" w:hint="eastAsia"/>
          <w:szCs w:val="24"/>
        </w:rPr>
        <w:t>≧</w:t>
      </w:r>
      <w:r w:rsidRPr="00276A1A">
        <w:rPr>
          <w:rFonts w:ascii="標楷體" w:eastAsia="標楷體" w:hAnsi="標楷體"/>
          <w:szCs w:val="24"/>
        </w:rPr>
        <w:t>25%)，且無其他原因可以解釋。</w:t>
      </w:r>
    </w:p>
    <w:p w:rsidR="00941523" w:rsidRPr="00276A1A" w:rsidRDefault="00941523" w:rsidP="00941523">
      <w:pPr>
        <w:adjustRightInd w:val="0"/>
        <w:snapToGrid w:val="0"/>
        <w:spacing w:line="400" w:lineRule="exact"/>
        <w:ind w:leftChars="354" w:left="982" w:hangingChars="55" w:hanging="132"/>
        <w:rPr>
          <w:rFonts w:ascii="標楷體" w:eastAsia="標楷體" w:hAnsi="標楷體"/>
          <w:szCs w:val="24"/>
        </w:rPr>
      </w:pPr>
      <w:r w:rsidRPr="00276A1A">
        <w:rPr>
          <w:rFonts w:ascii="標楷體" w:eastAsia="標楷體" w:hAnsi="標楷體"/>
          <w:szCs w:val="24"/>
        </w:rPr>
        <w:t>vi.出現其他end-organ dysfunctions。</w:t>
      </w:r>
    </w:p>
    <w:p w:rsidR="00941523" w:rsidRPr="00276A1A" w:rsidRDefault="00941523" w:rsidP="00941523">
      <w:pPr>
        <w:adjustRightInd w:val="0"/>
        <w:snapToGrid w:val="0"/>
        <w:spacing w:line="400" w:lineRule="exact"/>
        <w:ind w:leftChars="236" w:left="849" w:hanging="283"/>
        <w:rPr>
          <w:rFonts w:ascii="標楷體" w:eastAsia="標楷體" w:hAnsi="標楷體"/>
          <w:szCs w:val="24"/>
        </w:rPr>
      </w:pPr>
      <w:r w:rsidRPr="00276A1A">
        <w:rPr>
          <w:rFonts w:ascii="標楷體" w:eastAsia="標楷體" w:hAnsi="標楷體"/>
          <w:szCs w:val="24"/>
        </w:rPr>
        <w:t>(2)之後申請則為每次4次輸注，申請時必須確定paraprotein (M-protein)未上升(即表示對藥物有反應或為穩定狀態)，或對部分non-secretory type MM病人以骨髓檢查plasma cell為療效依據，方可繼續使用。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3.每位病人終生限給付26次輸注。</w:t>
      </w:r>
    </w:p>
    <w:p w:rsidR="00941523" w:rsidRPr="00276A1A" w:rsidRDefault="00941523" w:rsidP="00941523">
      <w:pPr>
        <w:adjustRightInd w:val="0"/>
        <w:snapToGrid w:val="0"/>
        <w:spacing w:line="400" w:lineRule="exact"/>
        <w:ind w:leftChars="119" w:left="567" w:hangingChars="117" w:hanging="281"/>
        <w:rPr>
          <w:rFonts w:ascii="標楷體" w:eastAsia="標楷體" w:hAnsi="標楷體"/>
          <w:szCs w:val="24"/>
        </w:rPr>
      </w:pPr>
      <w:r w:rsidRPr="00276A1A">
        <w:rPr>
          <w:rFonts w:ascii="標楷體" w:eastAsia="標楷體" w:hAnsi="標楷體"/>
          <w:szCs w:val="24"/>
        </w:rPr>
        <w:t>4.除carfilzomib外，本案藥品不得與其他蛋白酶體抑制劑(proteasome inhibitor)或免疫調節劑(immunomodulatory drugs)併用。</w:t>
      </w:r>
    </w:p>
    <w:p w:rsidR="00B96EA0" w:rsidRDefault="00941523" w:rsidP="00941523">
      <w:pPr>
        <w:spacing w:line="400" w:lineRule="exact"/>
        <w:ind w:leftChars="119" w:left="567" w:hangingChars="117" w:hanging="281"/>
      </w:pPr>
      <w:r w:rsidRPr="00276A1A">
        <w:rPr>
          <w:rFonts w:ascii="標楷體" w:eastAsia="標楷體" w:hAnsi="標楷體"/>
          <w:szCs w:val="24"/>
        </w:rPr>
        <w:t>5.Isatuximab與daratumumab二者僅能擇一使用，除因藥物耐受不良以外，不可以其他原因申請互換使用。</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9.109.Enfortumab vedotin(如</w:t>
      </w:r>
      <w:bookmarkStart w:id="44" w:name="_Hlk141697711"/>
      <w:r>
        <w:rPr>
          <w:rFonts w:ascii="標楷體" w:eastAsia="標楷體" w:hAnsi="標楷體"/>
          <w:color w:val="000000"/>
        </w:rPr>
        <w:t>Padcev</w:t>
      </w:r>
      <w:bookmarkEnd w:id="44"/>
      <w:r>
        <w:rPr>
          <w:rFonts w:ascii="標楷體" w:eastAsia="標楷體" w:hAnsi="標楷體"/>
          <w:color w:val="000000"/>
        </w:rPr>
        <w:t>）：(113/5/1)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先前接受過含鉑化學治療，後續接受免疫檢查點抑制劑(如atezolizumab；nivolumab；pembrolizumab；avelumab；ipilimumab製劑)治療失敗後疾病惡化的局部晚期或轉移性泌尿道上皮癌成人病人，須檢附接受過含鉑化學治療之病歷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2.使用條件：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(1)病人身體狀況良好（ECOG≦2）且預期壽命至少3個月以上。</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(2)病人之心肺與肝腎功能須符合下列所有條件：</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I.NYHA(the New York Heart Association) Functional Class I或II。</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 xml:space="preserve">II.GOT&lt;60U/L及GPT&lt;60U/L，且T-bilirubin&lt;1.5mg/dL。 </w:t>
      </w:r>
    </w:p>
    <w:p w:rsidR="00B96EA0" w:rsidRDefault="007D66B8" w:rsidP="005142EB">
      <w:pPr>
        <w:tabs>
          <w:tab w:val="left" w:pos="1418"/>
        </w:tabs>
        <w:spacing w:line="400" w:lineRule="exact"/>
        <w:ind w:left="1291" w:hanging="245"/>
        <w:jc w:val="both"/>
      </w:pPr>
      <w:r>
        <w:rPr>
          <w:rFonts w:ascii="標楷體" w:eastAsia="標楷體" w:hAnsi="標楷體"/>
          <w:color w:val="000000"/>
        </w:rPr>
        <w:t>III.腎功能: eGFR&gt;30mL/min /1.73m</w:t>
      </w:r>
      <w:r>
        <w:rPr>
          <w:rFonts w:ascii="標楷體" w:eastAsia="標楷體" w:hAnsi="標楷體"/>
          <w:color w:val="000000"/>
          <w:vertAlign w:val="superscript"/>
        </w:rPr>
        <w:t>2</w:t>
      </w:r>
      <w:r>
        <w:rPr>
          <w:rFonts w:ascii="標楷體" w:eastAsia="標楷體" w:hAnsi="標楷體"/>
          <w:color w:val="000000"/>
        </w:rPr>
        <w:t>。</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(3)無中樞神經系統(CNS)轉移。</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(4)需排除病情控制不佳的糖尿病患者（HbA1c≧8%）。</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3.須經事前審查核准後使用。初次申請時需檢附以下資料：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(1)病人身體狀況良好(ECOG≦2)及心肺與肝腎功能之評估資料。</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(2)病人12週內之疾病影像檢查及報告(如胸部X光、電腦斷層或其他可作為評估的</w:t>
      </w:r>
      <w:r>
        <w:rPr>
          <w:rFonts w:ascii="標楷體" w:eastAsia="標楷體" w:hAnsi="標楷體"/>
          <w:color w:val="000000"/>
        </w:rPr>
        <w:lastRenderedPageBreak/>
        <w:t>影像)，此影像證明以可測量(measurable)的病灶為優先，如沒有可以測量的病灶，則可評估(evaluable)的病灶亦可採用。</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(3)其他佐證病歷資料。</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4.每次申請事前審查以3個療程為限，再次申請時需檢附療效評估資料，若病情惡化即不得再次申請，無效後或給付時程期滿後則不再給付該適應症相關之標靶藥物及免疫檢查點抑制劑。</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5.每位病人限給付6個療程。</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9.110.Tirabrutinib (如Velexbru）：(113/6/1)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1.適用於治療成人復發或難治型原發性中樞神經系統B細胞淋巴瘤，且符合下列各項條件：</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(1)復發頑固型，曾接受過至少兩個療程HD-MTX治療。</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(2)細胞型態須為Large B cell。</w:t>
      </w:r>
    </w:p>
    <w:p w:rsidR="00B96EA0" w:rsidRDefault="007D66B8" w:rsidP="005142EB">
      <w:pPr>
        <w:tabs>
          <w:tab w:val="left" w:pos="1418"/>
        </w:tabs>
        <w:spacing w:line="400" w:lineRule="exact"/>
        <w:ind w:left="1051" w:hanging="245"/>
        <w:jc w:val="both"/>
        <w:rPr>
          <w:rFonts w:ascii="標楷體" w:eastAsia="標楷體" w:hAnsi="標楷體"/>
          <w:color w:val="000000"/>
        </w:rPr>
      </w:pPr>
      <w:r>
        <w:rPr>
          <w:rFonts w:ascii="標楷體" w:eastAsia="標楷體" w:hAnsi="標楷體"/>
          <w:color w:val="000000"/>
        </w:rPr>
        <w:t xml:space="preserve">(3)須排除HIV(+)及Burkitt lymphoma患者。 </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2.須經事前審查核准後使用。首次申請事前審查之療程以3個月為限，之後每3個月需再次申請，再次申請時應檢附前次治療結果評估資料，如影像學檢查報告。</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3.每日至多處方6粒。</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4.限給付9個月。</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5.限單獨使用，不得同時使用單株抗體及化療。</w:t>
      </w:r>
    </w:p>
    <w:p w:rsidR="00B96EA0" w:rsidRDefault="007D66B8" w:rsidP="005142EB">
      <w:pPr>
        <w:tabs>
          <w:tab w:val="left" w:pos="1418"/>
        </w:tabs>
        <w:spacing w:line="400" w:lineRule="exact"/>
        <w:ind w:left="655" w:hanging="612"/>
        <w:rPr>
          <w:rFonts w:ascii="標楷體" w:eastAsia="標楷體" w:hAnsi="標楷體"/>
          <w:szCs w:val="24"/>
        </w:rPr>
      </w:pPr>
      <w:r>
        <w:rPr>
          <w:rFonts w:ascii="標楷體" w:eastAsia="標楷體" w:hAnsi="標楷體"/>
          <w:szCs w:val="24"/>
        </w:rPr>
        <w:t>9.111.Elotuzumab (如Empliciti)：(113/9/1)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1.與pomalidomide及dexamethasone併用，治療之前曾接受過至少兩種療法（包括lenalidomide和蛋白酶體抑制劑）的多發性骨髓瘤成年病人，且完全符合下列條件：</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(1)確認完成前次治療時或結束治療後六十天內發生疾病惡化(disease progression)。</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(2)須具有良好日常體能狀態(ECOG &lt; 2)。</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2.需經事前審查核准後使用：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(1)初次申請以3個療程為限，且需同時符合下列Ⅰ.與Ⅱ.的條件：</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Ⅰ.具有下列任一疾病惡化的指標： 病人開始治療前須在連續2次評估中均符合同一指標 (但若為plamacytoma 體積增加，或是新產生的bone lesion(s)或新plasmacytoma，則僅需1次評估)：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.若前一線治療中M component 最低值</w:t>
      </w:r>
      <w:r>
        <w:rPr>
          <w:rFonts w:ascii="標楷體" w:eastAsia="標楷體" w:hAnsi="標楷體" w:cs="新細明體"/>
          <w:szCs w:val="24"/>
        </w:rPr>
        <w:t>≧</w:t>
      </w:r>
      <w:r>
        <w:rPr>
          <w:rFonts w:ascii="標楷體" w:eastAsia="標楷體" w:hAnsi="標楷體"/>
          <w:szCs w:val="24"/>
        </w:rPr>
        <w:t>5 g/dL，血清M蛋白需增加</w:t>
      </w:r>
      <w:r>
        <w:rPr>
          <w:rFonts w:ascii="標楷體" w:eastAsia="標楷體" w:hAnsi="標楷體" w:cs="新細明體"/>
          <w:szCs w:val="24"/>
        </w:rPr>
        <w:t>≧</w:t>
      </w:r>
      <w:r>
        <w:rPr>
          <w:rFonts w:ascii="標楷體" w:eastAsia="標楷體" w:hAnsi="標楷體"/>
          <w:szCs w:val="24"/>
        </w:rPr>
        <w:t>1 g/dL；若前一線治療中M component最低值＜5 g/dL，血清M蛋白需增加</w:t>
      </w:r>
      <w:r>
        <w:rPr>
          <w:rFonts w:ascii="標楷體" w:eastAsia="標楷體" w:hAnsi="標楷體" w:cs="新細明體"/>
          <w:szCs w:val="24"/>
        </w:rPr>
        <w:t>≧</w:t>
      </w:r>
      <w:r>
        <w:rPr>
          <w:rFonts w:ascii="標楷體" w:eastAsia="標楷體" w:hAnsi="標楷體"/>
          <w:szCs w:val="24"/>
        </w:rPr>
        <w:t>0.5g/dL。</w:t>
      </w:r>
    </w:p>
    <w:p w:rsidR="00B96EA0" w:rsidRDefault="007D66B8" w:rsidP="005142EB">
      <w:pPr>
        <w:spacing w:line="400" w:lineRule="exact"/>
        <w:ind w:left="1800" w:hanging="360"/>
      </w:pPr>
      <w:r>
        <w:rPr>
          <w:rFonts w:ascii="新細明體" w:hAnsi="新細明體" w:cs="新細明體"/>
          <w:szCs w:val="24"/>
        </w:rPr>
        <w:t>ⅱ</w:t>
      </w:r>
      <w:r>
        <w:rPr>
          <w:rFonts w:ascii="標楷體" w:eastAsia="標楷體" w:hAnsi="標楷體"/>
          <w:szCs w:val="24"/>
        </w:rPr>
        <w:t>.Urine M-protein需增加≧0.2 gm/24Hr，且需較前一線治療中的最低值增加≧25%。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iii.在non-secretary myeloma 病人，骨髓漿細胞 (plasma cells)之比例絕對值增加≧10%，且需較前一線治療中的最低值增加≧25%。</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lastRenderedPageBreak/>
        <w:t>iv.新產生的bone lesion(s)或plasmacytoma；且須經病理切片證實。</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v.Plasmacytoma體積增加≧50%。</w:t>
      </w:r>
    </w:p>
    <w:p w:rsidR="00B96EA0" w:rsidRDefault="007D66B8" w:rsidP="005142EB">
      <w:pPr>
        <w:spacing w:line="400" w:lineRule="exact"/>
        <w:ind w:left="1800" w:hanging="360"/>
      </w:pPr>
      <w:r>
        <w:rPr>
          <w:rFonts w:ascii="標楷體" w:eastAsia="標楷體" w:hAnsi="標楷體"/>
          <w:szCs w:val="24"/>
        </w:rPr>
        <w:t>vi.周邊血液中漿細胞比例</w:t>
      </w:r>
      <w:r>
        <w:rPr>
          <w:rFonts w:ascii="標楷體" w:eastAsia="標楷體" w:hAnsi="標楷體" w:cs="新細明體"/>
          <w:szCs w:val="24"/>
        </w:rPr>
        <w:t>≧</w:t>
      </w:r>
      <w:r>
        <w:rPr>
          <w:rFonts w:ascii="標楷體" w:eastAsia="標楷體" w:hAnsi="標楷體"/>
          <w:szCs w:val="24"/>
        </w:rPr>
        <w:t>20%或漿細胞絕對值</w:t>
      </w:r>
      <w:r>
        <w:rPr>
          <w:rFonts w:ascii="標楷體" w:eastAsia="標楷體" w:hAnsi="標楷體" w:cs="新細明體"/>
          <w:szCs w:val="24"/>
        </w:rPr>
        <w:t>≧</w:t>
      </w:r>
      <w:r>
        <w:rPr>
          <w:rFonts w:ascii="標楷體" w:eastAsia="標楷體" w:hAnsi="標楷體"/>
          <w:szCs w:val="24"/>
        </w:rPr>
        <w:t>2000 cells/μL。</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 xml:space="preserve">Ⅱ.出現下列任一臨床症狀： </w:t>
      </w:r>
    </w:p>
    <w:p w:rsidR="00B96EA0" w:rsidRDefault="007D66B8" w:rsidP="005142EB">
      <w:pPr>
        <w:spacing w:line="400" w:lineRule="exact"/>
        <w:ind w:left="1800" w:hanging="360"/>
      </w:pPr>
      <w:r>
        <w:rPr>
          <w:rFonts w:ascii="新細明體" w:hAnsi="新細明體" w:cs="新細明體"/>
          <w:szCs w:val="24"/>
        </w:rPr>
        <w:t>ⅰ</w:t>
      </w:r>
      <w:r>
        <w:rPr>
          <w:rFonts w:ascii="標楷體" w:eastAsia="標楷體" w:hAnsi="標楷體"/>
          <w:szCs w:val="24"/>
        </w:rPr>
        <w:t>.新產生的bone lesion(s)或plasmacytoma；且須經病理切片證實。</w:t>
      </w:r>
    </w:p>
    <w:p w:rsidR="00B96EA0" w:rsidRDefault="007D66B8" w:rsidP="005142EB">
      <w:pPr>
        <w:spacing w:line="400" w:lineRule="exact"/>
        <w:ind w:left="1800" w:hanging="360"/>
      </w:pPr>
      <w:r>
        <w:rPr>
          <w:rFonts w:ascii="新細明體" w:hAnsi="新細明體" w:cs="新細明體"/>
          <w:szCs w:val="24"/>
        </w:rPr>
        <w:t>ⅱ</w:t>
      </w:r>
      <w:r>
        <w:rPr>
          <w:rFonts w:ascii="標楷體" w:eastAsia="標楷體" w:hAnsi="標楷體"/>
          <w:szCs w:val="24"/>
        </w:rPr>
        <w:t>.Plasmacytoma 體積增加≧50%。</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iii.高血鈣(corrected serum calcium＞11.0 mg/dL 或 2.75 mmol/L)。</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iv.貧血(Hemoglobin 下降幅度≧ 2gm/dL且無其他原因可以解釋)。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v.腎功能惡化(eGFR需下降幅度≧25%)，且無其他原因可以解釋。</w:t>
      </w:r>
    </w:p>
    <w:p w:rsidR="00B96EA0" w:rsidRDefault="007D66B8" w:rsidP="005142EB">
      <w:pPr>
        <w:spacing w:line="400" w:lineRule="exact"/>
        <w:ind w:left="1800" w:hanging="360"/>
        <w:rPr>
          <w:rFonts w:ascii="標楷體" w:eastAsia="標楷體" w:hAnsi="標楷體"/>
          <w:szCs w:val="24"/>
        </w:rPr>
      </w:pPr>
      <w:r>
        <w:rPr>
          <w:rFonts w:ascii="標楷體" w:eastAsia="標楷體" w:hAnsi="標楷體"/>
          <w:szCs w:val="24"/>
        </w:rPr>
        <w:t>vi.出現其他end-organ dysfunctions。</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(2)再次申請時必須確定paraprotein (M-protein)未上升(即表示對藥物有反應或為穩定狀態);或對部分non-secretory type 多發性骨髓瘤病人以骨髓檢查plasma cell為療效依據，證明為對藥物有反應或為穩定狀態，方可繼續使用。續用時的申請以3個療程為限。疾病若發生惡化情形應即停止使用。</w:t>
      </w:r>
    </w:p>
    <w:p w:rsidR="00B96EA0" w:rsidRDefault="007D66B8" w:rsidP="005142EB">
      <w:pPr>
        <w:tabs>
          <w:tab w:val="left" w:pos="1418"/>
        </w:tabs>
        <w:spacing w:line="400" w:lineRule="exact"/>
        <w:ind w:left="1051" w:hanging="245"/>
        <w:jc w:val="both"/>
        <w:rPr>
          <w:rFonts w:ascii="標楷體" w:eastAsia="標楷體" w:hAnsi="標楷體"/>
          <w:szCs w:val="24"/>
        </w:rPr>
      </w:pPr>
      <w:r>
        <w:rPr>
          <w:rFonts w:ascii="標楷體" w:eastAsia="標楷體" w:hAnsi="標楷體"/>
          <w:szCs w:val="24"/>
        </w:rPr>
        <w:t>(3)每人以10個療程為上限。</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3.不得與蛋白酶體抑制劑(bortezomib、carfilzomib)或lenalidomide併用。</w:t>
      </w:r>
    </w:p>
    <w:p w:rsidR="00B96EA0" w:rsidRDefault="007D66B8" w:rsidP="005142EB">
      <w:pPr>
        <w:tabs>
          <w:tab w:val="left" w:pos="1418"/>
        </w:tabs>
        <w:spacing w:line="400" w:lineRule="exact"/>
        <w:ind w:left="655" w:right="-197" w:hanging="612"/>
        <w:rPr>
          <w:rFonts w:ascii="標楷體" w:eastAsia="標楷體" w:hAnsi="標楷體"/>
          <w:szCs w:val="24"/>
        </w:rPr>
      </w:pPr>
      <w:r>
        <w:rPr>
          <w:rFonts w:ascii="標楷體" w:eastAsia="標楷體" w:hAnsi="標楷體"/>
          <w:szCs w:val="24"/>
        </w:rPr>
        <w:t>9.112.Pertuzumab與trastuzumab皮下注射複方製劑(如Phesgo):(113/12/1、114/5/1)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1.本藥品及化學療法併用於具HER2過度表現（IHC3+或FISH+），且具腋下淋巴結轉移但無遠處臟器轉移之早期乳癌病人（113/12/1、114/5/1）</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(1)使用於術前輔助治療，經外科手術後達病理上完全緩解者（pCR），得繼續使用至18個療程為上限。</w:t>
      </w:r>
    </w:p>
    <w:p w:rsidR="00B96EA0" w:rsidRDefault="007D66B8" w:rsidP="005142EB">
      <w:pPr>
        <w:tabs>
          <w:tab w:val="left" w:pos="1418"/>
        </w:tabs>
        <w:spacing w:line="400" w:lineRule="exact"/>
        <w:ind w:left="1133" w:hanging="567"/>
        <w:jc w:val="both"/>
        <w:rPr>
          <w:rFonts w:ascii="標楷體" w:eastAsia="標楷體" w:hAnsi="標楷體"/>
          <w:szCs w:val="24"/>
        </w:rPr>
      </w:pPr>
      <w:r>
        <w:rPr>
          <w:rFonts w:ascii="標楷體" w:eastAsia="標楷體" w:hAnsi="標楷體"/>
          <w:szCs w:val="24"/>
        </w:rPr>
        <w:t xml:space="preserve">  (2)若未接受術前輔助治療，即先行手術者，可給予術後輔助治療，以18個療程為使用上限。</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(3)</w:t>
      </w:r>
      <w:r>
        <w:rPr>
          <w:rFonts w:ascii="標楷體" w:eastAsia="標楷體" w:hAnsi="標楷體"/>
          <w:szCs w:val="24"/>
        </w:rPr>
        <w:tab/>
        <w:t>下列Ｉ~Ⅲ使用於外科手術前後之總療程合併計算，依藥品仿單記載以18個療程為上限：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Ⅱ：trastuzumab</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Ⅲ：pertuzumab與trastuzumab併用</w:t>
      </w:r>
    </w:p>
    <w:p w:rsidR="00B96EA0" w:rsidRDefault="007D66B8" w:rsidP="005142EB">
      <w:pPr>
        <w:tabs>
          <w:tab w:val="left" w:pos="1185"/>
        </w:tabs>
        <w:spacing w:line="400" w:lineRule="exact"/>
        <w:ind w:left="1203" w:hanging="397"/>
        <w:jc w:val="both"/>
        <w:rPr>
          <w:rFonts w:ascii="標楷體" w:eastAsia="標楷體" w:hAnsi="標楷體"/>
          <w:szCs w:val="24"/>
        </w:rPr>
      </w:pPr>
      <w:r>
        <w:rPr>
          <w:rFonts w:ascii="標楷體" w:eastAsia="標楷體" w:hAnsi="標楷體"/>
          <w:szCs w:val="24"/>
        </w:rPr>
        <w:t>(4)</w:t>
      </w:r>
      <w:r>
        <w:rPr>
          <w:rFonts w:ascii="標楷體" w:eastAsia="標楷體" w:hAnsi="標楷體"/>
          <w:szCs w:val="24"/>
        </w:rPr>
        <w:tab/>
        <w:t>須經事前審查核准後使用，核准後每24週須檢附療效評估資料再次申請，若疾病有惡化情形即不應再行申請。（113/12/1、114/5/1）</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2.轉移性乳癌</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(1)與docetaxel併用於治療轉移後未曾以抗HER2或化學療法治療之HER2過度表現(IHC3+或FISH+)轉移性乳癌病人。</w:t>
      </w:r>
    </w:p>
    <w:p w:rsidR="00B96EA0" w:rsidRDefault="007D66B8" w:rsidP="005142EB">
      <w:pPr>
        <w:tabs>
          <w:tab w:val="left" w:pos="1185"/>
        </w:tabs>
        <w:spacing w:line="400" w:lineRule="exact"/>
        <w:ind w:left="1146" w:hanging="340"/>
        <w:jc w:val="both"/>
        <w:rPr>
          <w:rFonts w:ascii="標楷體" w:eastAsia="標楷體" w:hAnsi="標楷體"/>
          <w:szCs w:val="24"/>
        </w:rPr>
      </w:pPr>
      <w:r>
        <w:rPr>
          <w:rFonts w:ascii="標楷體" w:eastAsia="標楷體" w:hAnsi="標楷體"/>
          <w:szCs w:val="24"/>
        </w:rPr>
        <w:t>(2)須經事前審查核准後使用，核准後每18週須檢附療效評估資料再次申請，若疾病有惡化情形即不應再行申請，每位病人至多給付18個月為限。</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(3)下列Ｉ~Ⅱ使用於轉移性乳癌總療程合併計算，以全部18個月為上限：</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lastRenderedPageBreak/>
        <w:t>Ｉ：本藥品</w:t>
      </w:r>
    </w:p>
    <w:p w:rsidR="00B96EA0" w:rsidRDefault="007D66B8" w:rsidP="005142EB">
      <w:pPr>
        <w:tabs>
          <w:tab w:val="left" w:pos="1418"/>
        </w:tabs>
        <w:spacing w:line="400" w:lineRule="exact"/>
        <w:ind w:left="1291" w:hanging="245"/>
        <w:jc w:val="both"/>
        <w:rPr>
          <w:rFonts w:ascii="標楷體" w:eastAsia="標楷體" w:hAnsi="標楷體"/>
          <w:szCs w:val="24"/>
        </w:rPr>
      </w:pPr>
      <w:r>
        <w:rPr>
          <w:rFonts w:ascii="標楷體" w:eastAsia="標楷體" w:hAnsi="標楷體"/>
          <w:szCs w:val="24"/>
        </w:rPr>
        <w:t>Ⅱ：pertuzumab與trastuzumab併用</w:t>
      </w:r>
    </w:p>
    <w:p w:rsidR="00B96EA0" w:rsidRDefault="007D66B8" w:rsidP="005142EB">
      <w:pPr>
        <w:tabs>
          <w:tab w:val="left" w:pos="1185"/>
        </w:tabs>
        <w:spacing w:line="400" w:lineRule="exact"/>
        <w:ind w:left="1051" w:hanging="245"/>
        <w:jc w:val="both"/>
        <w:rPr>
          <w:rFonts w:ascii="標楷體" w:eastAsia="標楷體" w:hAnsi="標楷體"/>
          <w:szCs w:val="24"/>
        </w:rPr>
      </w:pPr>
      <w:r>
        <w:rPr>
          <w:rFonts w:ascii="標楷體" w:eastAsia="標楷體" w:hAnsi="標楷體"/>
          <w:szCs w:val="24"/>
        </w:rPr>
        <w:t>(4)先前於早期乳癌已使用過本藥品或pertuzumab與trastuzumab併用者，不得再次申請本藥品，惟於早期乳癌治療結束至首次疾病復發轉移時間超過12個月以上者得再次申請。(113/12/1)</w:t>
      </w:r>
    </w:p>
    <w:p w:rsidR="00B96EA0" w:rsidRDefault="007D66B8" w:rsidP="005142EB">
      <w:pPr>
        <w:tabs>
          <w:tab w:val="left" w:pos="1418"/>
        </w:tabs>
        <w:spacing w:line="400" w:lineRule="exact"/>
        <w:ind w:left="655" w:hanging="612"/>
        <w:rPr>
          <w:rFonts w:ascii="標楷體" w:eastAsia="標楷體" w:hAnsi="標楷體"/>
          <w:color w:val="000000"/>
        </w:rPr>
      </w:pPr>
      <w:r>
        <w:rPr>
          <w:rFonts w:ascii="標楷體" w:eastAsia="標楷體" w:hAnsi="標楷體"/>
          <w:color w:val="000000"/>
        </w:rPr>
        <w:t>9.113.Gemtuzumab ozogamicin(如Mylotarg)：(114/1/1)</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1.限用於新診斷原發型CD33陽性的急性骨髓性白血病(AML)病人之標準前導與鞏固性化療時合併使用，且完全符合下列條件：</w:t>
      </w:r>
    </w:p>
    <w:p w:rsidR="00B96EA0" w:rsidRDefault="007D66B8" w:rsidP="005142EB">
      <w:pPr>
        <w:tabs>
          <w:tab w:val="left" w:pos="1185"/>
        </w:tabs>
        <w:spacing w:line="400" w:lineRule="exact"/>
        <w:ind w:left="1051" w:hanging="245"/>
        <w:jc w:val="both"/>
      </w:pPr>
      <w:r>
        <w:rPr>
          <w:rFonts w:ascii="標楷體" w:eastAsia="標楷體" w:hAnsi="標楷體"/>
          <w:color w:val="000000"/>
        </w:rPr>
        <w:t>(1)需</w:t>
      </w:r>
      <w:r>
        <w:rPr>
          <w:rFonts w:ascii="標楷體" w:eastAsia="標楷體" w:hAnsi="標楷體"/>
          <w:szCs w:val="24"/>
        </w:rPr>
        <w:t>為細胞遺傳學風險等級較佳(favorable)的病人。</w:t>
      </w:r>
    </w:p>
    <w:p w:rsidR="00B96EA0" w:rsidRDefault="007D66B8" w:rsidP="005142EB">
      <w:pPr>
        <w:tabs>
          <w:tab w:val="left" w:pos="1185"/>
        </w:tabs>
        <w:spacing w:line="400" w:lineRule="exact"/>
        <w:ind w:left="1051" w:hanging="245"/>
        <w:jc w:val="both"/>
      </w:pPr>
      <w:r>
        <w:rPr>
          <w:rFonts w:ascii="標楷體" w:eastAsia="標楷體" w:hAnsi="標楷體"/>
          <w:szCs w:val="24"/>
        </w:rPr>
        <w:t>(2)排</w:t>
      </w:r>
      <w:r>
        <w:rPr>
          <w:rFonts w:ascii="標楷體" w:eastAsia="標楷體" w:hAnsi="標楷體"/>
          <w:color w:val="000000"/>
        </w:rPr>
        <w:t>除急性前骨髓性細胞白血病(acute promyelocytic leukemia,APL)病人。</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2.需經事前審查核准後使用，用於誘導期時，以1個療程(3次輸注)為限，並需合併標準3+7緩解誘導化療使用。</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3.若病患疾病達到完全緩解(即CR 或 CRi)，可續申請使用於鞏固治療期，每次申請以1個療程為限(1次輸注)，並最多給付2個鞏固治療療程(即2次輸注)。申請時需檢附前次治療結果評估資料證實無疾病惡化。</w:t>
      </w:r>
    </w:p>
    <w:p w:rsidR="00B96EA0" w:rsidRDefault="007D66B8" w:rsidP="005142EB">
      <w:pPr>
        <w:tabs>
          <w:tab w:val="left" w:pos="1418"/>
        </w:tabs>
        <w:spacing w:line="400" w:lineRule="exact"/>
        <w:ind w:left="811" w:hanging="245"/>
        <w:jc w:val="both"/>
        <w:rPr>
          <w:rFonts w:ascii="標楷體" w:eastAsia="標楷體" w:hAnsi="標楷體"/>
          <w:color w:val="000000"/>
        </w:rPr>
      </w:pPr>
      <w:r>
        <w:rPr>
          <w:rFonts w:ascii="標楷體" w:eastAsia="標楷體" w:hAnsi="標楷體"/>
          <w:color w:val="000000"/>
        </w:rPr>
        <w:t>4.每人以給付5次輸注為上限。</w:t>
      </w:r>
    </w:p>
    <w:p w:rsidR="00557419" w:rsidRPr="00AA26C9" w:rsidRDefault="00557419" w:rsidP="00557419">
      <w:pPr>
        <w:spacing w:line="400" w:lineRule="exact"/>
        <w:ind w:left="677" w:hangingChars="282" w:hanging="677"/>
        <w:rPr>
          <w:rFonts w:ascii="標楷體" w:eastAsia="標楷體" w:hAnsi="標楷體"/>
          <w:szCs w:val="24"/>
        </w:rPr>
      </w:pPr>
      <w:bookmarkStart w:id="45" w:name="_Hlk196225396"/>
      <w:r w:rsidRPr="00AA26C9">
        <w:rPr>
          <w:rFonts w:ascii="標楷體" w:eastAsia="標楷體" w:hAnsi="標楷體"/>
          <w:szCs w:val="24"/>
        </w:rPr>
        <w:t>9.114.Fedratinib (</w:t>
      </w:r>
      <w:r w:rsidRPr="00AA26C9">
        <w:rPr>
          <w:rFonts w:ascii="標楷體" w:eastAsia="標楷體" w:hAnsi="標楷體" w:hint="eastAsia"/>
          <w:szCs w:val="24"/>
        </w:rPr>
        <w:t>如</w:t>
      </w:r>
      <w:r w:rsidRPr="00AA26C9">
        <w:rPr>
          <w:rFonts w:ascii="標楷體" w:eastAsia="標楷體" w:hAnsi="標楷體"/>
          <w:szCs w:val="24"/>
        </w:rPr>
        <w:t>Inrebic)</w:t>
      </w:r>
      <w:r w:rsidRPr="00AA26C9">
        <w:rPr>
          <w:rFonts w:ascii="標楷體" w:eastAsia="標楷體" w:hAnsi="標楷體" w:hint="eastAsia"/>
          <w:szCs w:val="24"/>
        </w:rPr>
        <w:t>：</w:t>
      </w:r>
      <w:r w:rsidRPr="00AA26C9">
        <w:rPr>
          <w:rFonts w:ascii="標楷體" w:eastAsia="標楷體" w:hAnsi="標楷體"/>
          <w:szCs w:val="24"/>
        </w:rPr>
        <w:t>(114/1/1</w:t>
      </w:r>
      <w:r w:rsidRPr="00CD4BD4">
        <w:rPr>
          <w:rFonts w:ascii="標楷體" w:eastAsia="標楷體" w:hAnsi="標楷體" w:hint="eastAsia"/>
          <w:szCs w:val="24"/>
        </w:rPr>
        <w:t>、114</w:t>
      </w:r>
      <w:r w:rsidRPr="00CD4BD4">
        <w:rPr>
          <w:rFonts w:ascii="標楷體" w:eastAsia="標楷體" w:hAnsi="標楷體"/>
          <w:szCs w:val="24"/>
        </w:rPr>
        <w:t>/</w:t>
      </w:r>
      <w:r w:rsidRPr="00CD4BD4">
        <w:rPr>
          <w:rFonts w:ascii="標楷體" w:eastAsia="標楷體" w:hAnsi="標楷體" w:hint="eastAsia"/>
          <w:szCs w:val="24"/>
        </w:rPr>
        <w:t>10</w:t>
      </w:r>
      <w:r w:rsidRPr="00CD4BD4">
        <w:rPr>
          <w:rFonts w:ascii="標楷體" w:eastAsia="標楷體" w:hAnsi="標楷體"/>
          <w:szCs w:val="24"/>
        </w:rPr>
        <w:t>/1)</w:t>
      </w:r>
    </w:p>
    <w:bookmarkEnd w:id="45"/>
    <w:p w:rsidR="00557419" w:rsidRPr="00AA26C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用於未曾接受</w:t>
      </w:r>
      <w:r w:rsidRPr="00AA26C9">
        <w:rPr>
          <w:rFonts w:ascii="標楷體" w:eastAsia="標楷體" w:hAnsi="標楷體"/>
          <w:szCs w:val="24"/>
        </w:rPr>
        <w:t xml:space="preserve">Janus </w:t>
      </w:r>
      <w:r w:rsidRPr="00AA26C9">
        <w:rPr>
          <w:rFonts w:ascii="標楷體" w:eastAsia="標楷體" w:hAnsi="標楷體" w:hint="eastAsia"/>
          <w:szCs w:val="24"/>
        </w:rPr>
        <w:t>激酶抑制劑（</w:t>
      </w:r>
      <w:r w:rsidRPr="00AA26C9">
        <w:rPr>
          <w:rFonts w:ascii="標楷體" w:eastAsia="標楷體" w:hAnsi="標楷體"/>
          <w:szCs w:val="24"/>
        </w:rPr>
        <w:t>JAK inhibitor</w:t>
      </w:r>
      <w:r w:rsidRPr="00AA26C9">
        <w:rPr>
          <w:rFonts w:ascii="標楷體" w:eastAsia="標楷體" w:hAnsi="標楷體" w:hint="eastAsia"/>
          <w:szCs w:val="24"/>
        </w:rPr>
        <w:t>）治療或曾接受</w:t>
      </w:r>
      <w:r w:rsidRPr="00AA26C9">
        <w:rPr>
          <w:rFonts w:ascii="標楷體" w:eastAsia="標楷體" w:hAnsi="標楷體"/>
          <w:szCs w:val="24"/>
        </w:rPr>
        <w:t xml:space="preserve">ruxolitinib </w:t>
      </w:r>
      <w:r w:rsidRPr="00AA26C9">
        <w:rPr>
          <w:rFonts w:ascii="標楷體" w:eastAsia="標楷體" w:hAnsi="標楷體" w:hint="eastAsia"/>
          <w:szCs w:val="24"/>
        </w:rPr>
        <w:t>治療後不耐受或有禁忌症，且為</w:t>
      </w:r>
      <w:r w:rsidRPr="00AA26C9">
        <w:rPr>
          <w:rFonts w:ascii="標楷體" w:eastAsia="標楷體" w:hAnsi="標楷體"/>
          <w:szCs w:val="24"/>
        </w:rPr>
        <w:t>International Working Group</w:t>
      </w:r>
      <w:r w:rsidRPr="00AA26C9">
        <w:rPr>
          <w:rFonts w:ascii="標楷體" w:eastAsia="標楷體" w:hAnsi="標楷體" w:hint="eastAsia"/>
          <w:szCs w:val="24"/>
        </w:rPr>
        <w:t>（</w:t>
      </w:r>
      <w:r w:rsidRPr="00AA26C9">
        <w:rPr>
          <w:rFonts w:ascii="標楷體" w:eastAsia="標楷體" w:hAnsi="標楷體"/>
          <w:szCs w:val="24"/>
        </w:rPr>
        <w:t>IWG</w:t>
      </w:r>
      <w:r w:rsidRPr="00AA26C9">
        <w:rPr>
          <w:rFonts w:ascii="標楷體" w:eastAsia="標楷體" w:hAnsi="標楷體" w:hint="eastAsia"/>
          <w:szCs w:val="24"/>
        </w:rPr>
        <w:t>）</w:t>
      </w:r>
      <w:r w:rsidRPr="00AA26C9">
        <w:rPr>
          <w:rFonts w:ascii="標楷體" w:eastAsia="標楷體" w:hAnsi="標楷體"/>
          <w:szCs w:val="24"/>
        </w:rPr>
        <w:t xml:space="preserve">Consensus Criteria </w:t>
      </w:r>
      <w:r w:rsidRPr="00AA26C9">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A26C9">
        <w:rPr>
          <w:rFonts w:ascii="標楷體" w:eastAsia="標楷體" w:hAnsi="標楷體"/>
          <w:szCs w:val="24"/>
        </w:rPr>
        <w:t>symptomatic splenomegaly</w:t>
      </w:r>
      <w:r w:rsidRPr="00AA26C9">
        <w:rPr>
          <w:rFonts w:ascii="標楷體" w:eastAsia="標楷體" w:hAnsi="標楷體" w:hint="eastAsia"/>
          <w:szCs w:val="24"/>
        </w:rPr>
        <w:t>）及</w:t>
      </w:r>
      <w:r w:rsidRPr="00AA26C9">
        <w:rPr>
          <w:rFonts w:ascii="標楷體" w:eastAsia="標楷體" w:hAnsi="標楷體"/>
          <w:szCs w:val="24"/>
        </w:rPr>
        <w:t>/</w:t>
      </w:r>
      <w:r w:rsidRPr="00AA26C9">
        <w:rPr>
          <w:rFonts w:ascii="標楷體" w:eastAsia="標楷體" w:hAnsi="標楷體" w:hint="eastAsia"/>
          <w:szCs w:val="24"/>
        </w:rPr>
        <w:t>或其他相關全身症狀且不適於接受幹細胞移植的成人病人（</w:t>
      </w:r>
      <w:r w:rsidRPr="00AA26C9">
        <w:rPr>
          <w:rFonts w:ascii="標楷體" w:eastAsia="標楷體" w:hAnsi="標楷體"/>
          <w:szCs w:val="24"/>
        </w:rPr>
        <w:t>stem cell transplantation</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(1)</w:t>
      </w:r>
      <w:r w:rsidRPr="00AA26C9">
        <w:rPr>
          <w:rFonts w:ascii="標楷體" w:eastAsia="標楷體" w:hAnsi="標楷體" w:hint="eastAsia"/>
          <w:szCs w:val="24"/>
        </w:rPr>
        <w:t>需經事前審查核准後使用，每次申請之療程以</w:t>
      </w:r>
      <w:r w:rsidRPr="00AA26C9">
        <w:rPr>
          <w:rFonts w:ascii="標楷體" w:eastAsia="標楷體" w:hAnsi="標楷體"/>
          <w:szCs w:val="24"/>
        </w:rPr>
        <w:t>6</w:t>
      </w:r>
      <w:r w:rsidRPr="00AA26C9">
        <w:rPr>
          <w:rFonts w:ascii="標楷體" w:eastAsia="標楷體" w:hAnsi="標楷體" w:hint="eastAsia"/>
          <w:szCs w:val="24"/>
        </w:rPr>
        <w:t>個月為限，送審時需檢送影像資料及症狀改善之病歷紀錄，每</w:t>
      </w:r>
      <w:r w:rsidRPr="00AA26C9">
        <w:rPr>
          <w:rFonts w:ascii="標楷體" w:eastAsia="標楷體" w:hAnsi="標楷體"/>
          <w:szCs w:val="24"/>
        </w:rPr>
        <w:t>6</w:t>
      </w:r>
      <w:r w:rsidRPr="00AA26C9">
        <w:rPr>
          <w:rFonts w:ascii="標楷體" w:eastAsia="標楷體" w:hAnsi="標楷體" w:hint="eastAsia"/>
          <w:szCs w:val="24"/>
        </w:rPr>
        <w:t>個月評估一次。</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用藥後第一次評估時，需達到症狀反應</w:t>
      </w:r>
      <w:r w:rsidRPr="00AA26C9">
        <w:rPr>
          <w:rFonts w:ascii="標楷體" w:eastAsia="標楷體" w:hAnsi="標楷體"/>
          <w:szCs w:val="24"/>
        </w:rPr>
        <w:t>(symptom response)</w:t>
      </w:r>
      <w:r w:rsidRPr="00AA26C9">
        <w:rPr>
          <w:rFonts w:ascii="標楷體" w:eastAsia="標楷體" w:hAnsi="標楷體" w:hint="eastAsia"/>
          <w:szCs w:val="24"/>
        </w:rPr>
        <w:t>或脾臟體積無惡化兩者之一，且同時無</w:t>
      </w:r>
      <w:r w:rsidRPr="00AA26C9">
        <w:rPr>
          <w:rFonts w:ascii="標楷體" w:eastAsia="標楷體" w:hAnsi="標楷體"/>
          <w:szCs w:val="24"/>
        </w:rPr>
        <w:t>AML tranformation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症狀反應：</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與治療前基準值相比，需下降超過</w:t>
      </w:r>
      <w:r w:rsidRPr="00AA26C9">
        <w:rPr>
          <w:rFonts w:ascii="標楷體" w:eastAsia="標楷體" w:hAnsi="標楷體"/>
          <w:szCs w:val="24"/>
        </w:rPr>
        <w:t>50%</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脾臟體積無惡化：使用電腦斷層評估，脾臟長度未增加超過治療前基準值之</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557419" w:rsidRPr="00AA26C9" w:rsidRDefault="00557419" w:rsidP="00557419">
      <w:pPr>
        <w:spacing w:line="400" w:lineRule="exact"/>
        <w:ind w:leftChars="203" w:left="849" w:hangingChars="151" w:hanging="362"/>
        <w:rPr>
          <w:rFonts w:ascii="標楷體" w:eastAsia="標楷體" w:hAnsi="標楷體"/>
          <w:szCs w:val="24"/>
        </w:rPr>
      </w:pPr>
      <w:r w:rsidRPr="00AA26C9">
        <w:rPr>
          <w:rFonts w:ascii="標楷體" w:eastAsia="標楷體" w:hAnsi="標楷體"/>
          <w:szCs w:val="24"/>
        </w:rPr>
        <w:t>(3)</w:t>
      </w:r>
      <w:r w:rsidRPr="00AA26C9">
        <w:rPr>
          <w:rFonts w:ascii="標楷體" w:eastAsia="標楷體" w:hAnsi="標楷體" w:hint="eastAsia"/>
          <w:szCs w:val="24"/>
        </w:rPr>
        <w:t>用藥後第二次及其後的評估，必須顯示無疾病惡化（無症狀惡化且脾臟體積無惡化，並同時無</w:t>
      </w:r>
      <w:r w:rsidRPr="00AA26C9">
        <w:rPr>
          <w:rFonts w:ascii="標楷體" w:eastAsia="標楷體" w:hAnsi="標楷體"/>
          <w:szCs w:val="24"/>
        </w:rPr>
        <w:t>AML transformation</w:t>
      </w:r>
      <w:r w:rsidRPr="00AA26C9">
        <w:rPr>
          <w:rFonts w:ascii="標楷體" w:eastAsia="標楷體" w:hAnsi="標楷體" w:hint="eastAsia"/>
          <w:szCs w:val="24"/>
        </w:rPr>
        <w:t>），方得以繼續使用。分別定義如下：</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Ⅰ</w:t>
      </w:r>
      <w:r w:rsidRPr="00AA26C9">
        <w:rPr>
          <w:rFonts w:ascii="標楷體" w:eastAsia="標楷體" w:hAnsi="標楷體"/>
          <w:szCs w:val="24"/>
        </w:rPr>
        <w:t>.</w:t>
      </w:r>
      <w:r w:rsidRPr="00AA26C9">
        <w:rPr>
          <w:rFonts w:ascii="標楷體" w:eastAsia="標楷體" w:hAnsi="標楷體" w:hint="eastAsia"/>
          <w:szCs w:val="24"/>
        </w:rPr>
        <w:t>無症狀惡化：未出現新症狀，且</w:t>
      </w:r>
      <w:r w:rsidRPr="00AA26C9">
        <w:rPr>
          <w:rFonts w:ascii="標楷體" w:eastAsia="標楷體" w:hAnsi="標楷體"/>
          <w:szCs w:val="24"/>
        </w:rPr>
        <w:t>MPN-SAF-TSS</w:t>
      </w:r>
      <w:r w:rsidRPr="00AA26C9">
        <w:rPr>
          <w:rFonts w:ascii="標楷體" w:eastAsia="標楷體" w:hAnsi="標楷體" w:hint="eastAsia"/>
          <w:szCs w:val="24"/>
        </w:rPr>
        <w:t>分數或</w:t>
      </w:r>
      <w:r w:rsidRPr="00AA26C9">
        <w:rPr>
          <w:rFonts w:ascii="標楷體" w:eastAsia="標楷體" w:hAnsi="標楷體"/>
          <w:szCs w:val="24"/>
        </w:rPr>
        <w:t>MPN-10</w:t>
      </w:r>
      <w:r w:rsidRPr="00AA26C9">
        <w:rPr>
          <w:rFonts w:ascii="標楷體" w:eastAsia="標楷體" w:hAnsi="標楷體" w:hint="eastAsia"/>
          <w:szCs w:val="24"/>
        </w:rPr>
        <w:t>未超過治療前的基</w:t>
      </w:r>
      <w:r w:rsidRPr="00AA26C9">
        <w:rPr>
          <w:rFonts w:ascii="標楷體" w:eastAsia="標楷體" w:hAnsi="標楷體" w:hint="eastAsia"/>
          <w:szCs w:val="24"/>
        </w:rPr>
        <w:lastRenderedPageBreak/>
        <w:t>準值。</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Ⅱ</w:t>
      </w:r>
      <w:r w:rsidRPr="00AA26C9">
        <w:rPr>
          <w:rFonts w:ascii="標楷體" w:eastAsia="標楷體" w:hAnsi="標楷體"/>
          <w:szCs w:val="24"/>
        </w:rPr>
        <w:t>.</w:t>
      </w:r>
      <w:r w:rsidRPr="00AA26C9">
        <w:rPr>
          <w:rFonts w:ascii="標楷體" w:eastAsia="標楷體" w:hAnsi="標楷體" w:hint="eastAsia"/>
          <w:szCs w:val="24"/>
        </w:rPr>
        <w:t>脾臟體積無惡化：使用電腦斷層評估，脾臟長度未增加超過最佳反應</w:t>
      </w:r>
      <w:r w:rsidRPr="00AA26C9">
        <w:rPr>
          <w:rFonts w:ascii="標楷體" w:eastAsia="標楷體" w:hAnsi="標楷體"/>
          <w:szCs w:val="24"/>
        </w:rPr>
        <w:t>(best response)</w:t>
      </w:r>
      <w:r w:rsidRPr="00AA26C9">
        <w:rPr>
          <w:rFonts w:ascii="標楷體" w:eastAsia="標楷體" w:hAnsi="標楷體" w:hint="eastAsia"/>
          <w:szCs w:val="24"/>
        </w:rPr>
        <w:t>時之脾臟長度</w:t>
      </w:r>
      <w:r w:rsidRPr="00AA26C9">
        <w:rPr>
          <w:rFonts w:ascii="標楷體" w:eastAsia="標楷體" w:hAnsi="標楷體"/>
          <w:szCs w:val="24"/>
        </w:rPr>
        <w:t>40%</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或體積增加未達</w:t>
      </w:r>
      <w:r w:rsidRPr="00AA26C9">
        <w:rPr>
          <w:rFonts w:ascii="標楷體" w:eastAsia="標楷體" w:hAnsi="標楷體"/>
          <w:szCs w:val="24"/>
        </w:rPr>
        <w:t>25%</w:t>
      </w:r>
      <w:r w:rsidRPr="00AA26C9">
        <w:rPr>
          <w:rFonts w:ascii="標楷體" w:eastAsia="標楷體" w:hAnsi="標楷體" w:hint="eastAsia"/>
          <w:szCs w:val="24"/>
        </w:rPr>
        <w:t>以上</w:t>
      </w:r>
      <w:r w:rsidRPr="00AA26C9">
        <w:rPr>
          <w:rFonts w:ascii="標楷體" w:eastAsia="標楷體" w:hAnsi="標楷體"/>
          <w:szCs w:val="24"/>
        </w:rPr>
        <w:t>)</w:t>
      </w:r>
      <w:r w:rsidRPr="00AA26C9">
        <w:rPr>
          <w:rFonts w:ascii="標楷體" w:eastAsia="標楷體" w:hAnsi="標楷體" w:hint="eastAsia"/>
          <w:szCs w:val="24"/>
        </w:rPr>
        <w:t>。</w:t>
      </w:r>
    </w:p>
    <w:p w:rsidR="00557419" w:rsidRPr="00AA26C9" w:rsidRDefault="00557419" w:rsidP="00557419">
      <w:pPr>
        <w:spacing w:line="400" w:lineRule="exact"/>
        <w:ind w:leftChars="438" w:left="1416" w:hangingChars="152" w:hanging="365"/>
        <w:rPr>
          <w:rFonts w:ascii="標楷體" w:eastAsia="標楷體" w:hAnsi="標楷體"/>
          <w:szCs w:val="24"/>
        </w:rPr>
      </w:pPr>
      <w:r w:rsidRPr="00AA26C9">
        <w:rPr>
          <w:rFonts w:ascii="標楷體" w:eastAsia="標楷體" w:hAnsi="標楷體" w:hint="eastAsia"/>
          <w:szCs w:val="24"/>
        </w:rPr>
        <w:t>Ⅲ</w:t>
      </w:r>
      <w:r w:rsidRPr="00AA26C9">
        <w:rPr>
          <w:rFonts w:ascii="標楷體" w:eastAsia="標楷體" w:hAnsi="標楷體"/>
          <w:szCs w:val="24"/>
        </w:rPr>
        <w:t>.AML transformation</w:t>
      </w:r>
      <w:r w:rsidRPr="00AA26C9">
        <w:rPr>
          <w:rFonts w:ascii="標楷體" w:eastAsia="標楷體" w:hAnsi="標楷體" w:hint="eastAsia"/>
          <w:szCs w:val="24"/>
        </w:rPr>
        <w:t>：骨髓中之芽細胞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或血液中之芽細胞</w:t>
      </w:r>
      <w:r w:rsidRPr="00AA26C9">
        <w:rPr>
          <w:rFonts w:eastAsia="標楷體"/>
          <w:szCs w:val="24"/>
        </w:rPr>
        <w:t>≥</w:t>
      </w:r>
      <w:r w:rsidRPr="00AA26C9">
        <w:rPr>
          <w:rFonts w:ascii="標楷體" w:eastAsia="標楷體" w:hAnsi="標楷體"/>
          <w:szCs w:val="24"/>
        </w:rPr>
        <w:t>20%</w:t>
      </w:r>
      <w:r w:rsidRPr="00AA26C9">
        <w:rPr>
          <w:rFonts w:ascii="標楷體" w:eastAsia="標楷體" w:hAnsi="標楷體" w:hint="eastAsia"/>
          <w:szCs w:val="24"/>
        </w:rPr>
        <w:t>合併芽細胞數值</w:t>
      </w:r>
      <w:r w:rsidRPr="00AA26C9">
        <w:rPr>
          <w:rFonts w:eastAsia="標楷體"/>
          <w:szCs w:val="24"/>
        </w:rPr>
        <w:t>≥</w:t>
      </w:r>
      <w:r w:rsidRPr="00AA26C9">
        <w:rPr>
          <w:rFonts w:ascii="標楷體" w:eastAsia="標楷體" w:hAnsi="標楷體"/>
          <w:szCs w:val="24"/>
        </w:rPr>
        <w:t>1</w:t>
      </w:r>
      <w:r w:rsidRPr="00AA26C9">
        <w:rPr>
          <w:rFonts w:ascii="標楷體" w:eastAsia="標楷體" w:hAnsi="標楷體" w:cs="標楷體"/>
          <w:szCs w:val="24"/>
        </w:rPr>
        <w:t>×</w:t>
      </w:r>
      <w:r w:rsidRPr="00AA26C9">
        <w:rPr>
          <w:rFonts w:ascii="標楷體" w:eastAsia="標楷體" w:hAnsi="標楷體"/>
          <w:szCs w:val="24"/>
        </w:rPr>
        <w:t>10</w:t>
      </w:r>
      <w:r w:rsidRPr="00AA26C9">
        <w:rPr>
          <w:rFonts w:ascii="標楷體" w:eastAsia="標楷體" w:hAnsi="標楷體"/>
          <w:szCs w:val="24"/>
          <w:vertAlign w:val="superscript"/>
        </w:rPr>
        <w:t>9</w:t>
      </w:r>
      <w:r w:rsidRPr="00AA26C9">
        <w:rPr>
          <w:rFonts w:ascii="標楷體" w:eastAsia="標楷體" w:hAnsi="標楷體"/>
          <w:szCs w:val="24"/>
        </w:rPr>
        <w:t>/L</w:t>
      </w:r>
      <w:r w:rsidRPr="00AA26C9">
        <w:rPr>
          <w:rFonts w:ascii="標楷體" w:eastAsia="標楷體" w:hAnsi="標楷體" w:hint="eastAsia"/>
          <w:szCs w:val="24"/>
        </w:rPr>
        <w:t>。</w:t>
      </w:r>
    </w:p>
    <w:p w:rsidR="00B96EA0" w:rsidRPr="00557419" w:rsidRDefault="00557419" w:rsidP="00557419">
      <w:pPr>
        <w:spacing w:line="400" w:lineRule="exact"/>
        <w:ind w:leftChars="85" w:left="425" w:hangingChars="92" w:hanging="221"/>
        <w:rPr>
          <w:rFonts w:ascii="標楷體" w:eastAsia="標楷體" w:hAnsi="標楷體"/>
          <w:szCs w:val="24"/>
        </w:rPr>
      </w:pPr>
      <w:r w:rsidRPr="00AA26C9">
        <w:rPr>
          <w:rFonts w:ascii="標楷體" w:eastAsia="標楷體" w:hAnsi="標楷體"/>
          <w:szCs w:val="24"/>
        </w:rPr>
        <w:t>2.</w:t>
      </w:r>
      <w:r w:rsidRPr="00AA26C9">
        <w:rPr>
          <w:rFonts w:ascii="標楷體" w:eastAsia="標楷體" w:hAnsi="標楷體" w:hint="eastAsia"/>
          <w:szCs w:val="24"/>
        </w:rPr>
        <w:t>本藥品與</w:t>
      </w:r>
      <w:r w:rsidRPr="00AA26C9">
        <w:rPr>
          <w:rFonts w:ascii="標楷體" w:eastAsia="標楷體" w:hAnsi="標楷體"/>
          <w:szCs w:val="24"/>
        </w:rPr>
        <w:t>ruxolitinib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用於中度風險或高風險之骨髓纖維化治療時，僅得擇一給付。r</w:t>
      </w:r>
      <w:r w:rsidRPr="00AA26C9">
        <w:rPr>
          <w:rFonts w:ascii="標楷體" w:eastAsia="標楷體" w:hAnsi="標楷體"/>
          <w:szCs w:val="24"/>
        </w:rPr>
        <w:t>uxolitinib</w:t>
      </w:r>
      <w:r w:rsidRPr="00AA26C9">
        <w:rPr>
          <w:rFonts w:ascii="標楷體" w:eastAsia="標楷體" w:hAnsi="標楷體" w:hint="eastAsia"/>
          <w:szCs w:val="24"/>
          <w:u w:val="single"/>
        </w:rPr>
        <w:t>、</w:t>
      </w:r>
      <w:r w:rsidRPr="00AA26C9">
        <w:rPr>
          <w:rFonts w:ascii="標楷體" w:eastAsia="標楷體" w:hAnsi="標楷體"/>
          <w:szCs w:val="24"/>
          <w:u w:val="single"/>
        </w:rPr>
        <w:t>momelotinib</w:t>
      </w:r>
      <w:r w:rsidRPr="00AA26C9">
        <w:rPr>
          <w:rFonts w:ascii="標楷體" w:eastAsia="標楷體" w:hAnsi="標楷體" w:hint="eastAsia"/>
          <w:szCs w:val="24"/>
        </w:rPr>
        <w:t>治療後如疾病惡化不得換用本藥品。</w:t>
      </w:r>
      <w:r w:rsidRPr="00557419">
        <w:rPr>
          <w:rFonts w:ascii="標楷體" w:eastAsia="標楷體" w:hAnsi="標楷體"/>
          <w:szCs w:val="24"/>
        </w:rPr>
        <w:t>(</w:t>
      </w:r>
      <w:r w:rsidRPr="00557419">
        <w:rPr>
          <w:rFonts w:ascii="標楷體" w:eastAsia="標楷體" w:hAnsi="標楷體" w:hint="eastAsia"/>
          <w:szCs w:val="24"/>
        </w:rPr>
        <w:t>114</w:t>
      </w:r>
      <w:r w:rsidRPr="00557419">
        <w:rPr>
          <w:rFonts w:ascii="標楷體" w:eastAsia="標楷體" w:hAnsi="標楷體"/>
          <w:szCs w:val="24"/>
        </w:rPr>
        <w:t>/</w:t>
      </w:r>
      <w:r w:rsidRPr="00557419">
        <w:rPr>
          <w:rFonts w:ascii="標楷體" w:eastAsia="標楷體" w:hAnsi="標楷體" w:hint="eastAsia"/>
          <w:szCs w:val="24"/>
        </w:rPr>
        <w:t>10</w:t>
      </w:r>
      <w:r w:rsidRPr="00557419">
        <w:rPr>
          <w:rFonts w:ascii="標楷體" w:eastAsia="標楷體" w:hAnsi="標楷體"/>
          <w:szCs w:val="24"/>
        </w:rPr>
        <w:t>/1)</w:t>
      </w:r>
    </w:p>
    <w:p w:rsidR="00B96EA0" w:rsidRDefault="007D66B8" w:rsidP="005142EB">
      <w:pPr>
        <w:spacing w:line="400" w:lineRule="exact"/>
        <w:rPr>
          <w:rFonts w:ascii="標楷體" w:eastAsia="標楷體" w:hAnsi="標楷體"/>
          <w:szCs w:val="28"/>
        </w:rPr>
      </w:pPr>
      <w:r>
        <w:rPr>
          <w:rFonts w:ascii="標楷體" w:eastAsia="標楷體" w:hAnsi="標楷體"/>
          <w:szCs w:val="28"/>
        </w:rPr>
        <w:t>9.115.Trastuzumab deruxtecan (如Enhertu)：(114/2/1)</w:t>
      </w:r>
    </w:p>
    <w:p w:rsidR="00B96EA0" w:rsidRDefault="007D66B8" w:rsidP="005142EB">
      <w:pPr>
        <w:tabs>
          <w:tab w:val="left" w:pos="1418"/>
        </w:tabs>
        <w:spacing w:line="400" w:lineRule="exact"/>
        <w:ind w:left="811" w:hanging="245"/>
        <w:jc w:val="both"/>
      </w:pPr>
      <w:r>
        <w:rPr>
          <w:rFonts w:ascii="標楷體" w:eastAsia="標楷體" w:hAnsi="標楷體"/>
          <w:szCs w:val="28"/>
        </w:rPr>
        <w:t>1.單獨</w:t>
      </w:r>
      <w:r>
        <w:rPr>
          <w:rFonts w:ascii="標楷體" w:eastAsia="標楷體" w:hAnsi="標楷體"/>
          <w:color w:val="000000"/>
        </w:rPr>
        <w:t>使用</w:t>
      </w:r>
      <w:r>
        <w:rPr>
          <w:rFonts w:ascii="標楷體" w:eastAsia="標楷體" w:hAnsi="標楷體"/>
          <w:szCs w:val="28"/>
        </w:rPr>
        <w:t>於具HER2過度表現(IHC3+或FISH+)之轉移性乳癌病人作為二線治療，並同時符合下列情形：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8"/>
        </w:rPr>
        <w:t>(1)之前</w:t>
      </w:r>
      <w:r>
        <w:rPr>
          <w:rFonts w:ascii="標楷體" w:eastAsia="標楷體" w:hAnsi="標楷體"/>
          <w:color w:val="000000"/>
        </w:rPr>
        <w:t>分別接受過 trastuzumab 與一種taxane 藥物治療，或其合併療法，或pertuzumab 與trastuzumab 與一種taxane藥物治療。</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(2)之前已經接受過轉移性癌症治療，或在輔助療法治療期間或完成治療後6 個月內癌症復發。</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(3)合併有主要臟器(不包含骨及軟組織)轉移。</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(4)須經事前審查核准後使用，核准後每12週須檢附療效評估資料再次申請，若疾病有惡化情形即不應再行申請，每位病人至多給付18個療程為上限。</w:t>
      </w:r>
    </w:p>
    <w:p w:rsidR="00B96EA0" w:rsidRDefault="007D66B8" w:rsidP="005142EB">
      <w:pPr>
        <w:tabs>
          <w:tab w:val="left" w:pos="1185"/>
        </w:tabs>
        <w:spacing w:line="400" w:lineRule="exact"/>
        <w:ind w:left="1051" w:hanging="245"/>
        <w:jc w:val="both"/>
        <w:rPr>
          <w:rFonts w:ascii="標楷體" w:eastAsia="標楷體" w:hAnsi="標楷體"/>
          <w:color w:val="000000"/>
        </w:rPr>
      </w:pPr>
      <w:r>
        <w:rPr>
          <w:rFonts w:ascii="標楷體" w:eastAsia="標楷體" w:hAnsi="標楷體"/>
          <w:color w:val="000000"/>
        </w:rPr>
        <w:t>(5)Trastuzumab deruxtecan、trastuzumab emtansine 和lapatinib 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2.單獨使用於ER、PR皆陰性且具 HER2弱陽性(IHC 1+或IHC 2+/ISH-)表現之無法切除的局部晚期或轉移性乳癌病人，且符合下列各項條件：</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(1)病人身體狀況良好（ECOG≦1）。</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(2)須接受過至少一種化學療法治療。</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(3)須經事前審查核准後使用，每次申請之療程以12週為限，初次申請時需檢附ER、PR皆為陰性且HER2弱陽性(IHC1+或IHC2+/ISH-)之檢測報告。</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(4)再次申請必須提出客觀證據（如：影像學）證實無惡化，才可繼續使用。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(5)Trastuzumab deruxtecan和sacituzumab govitecan僅能擇一給付，不得互換。</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3.申報醫療費用時「總量」應依實際使用量申報，取至小數點第一位，第二位四捨五入。</w:t>
      </w:r>
    </w:p>
    <w:p w:rsidR="00B96EA0" w:rsidRDefault="007D66B8" w:rsidP="005142EB">
      <w:pPr>
        <w:spacing w:line="400" w:lineRule="exact"/>
      </w:pPr>
      <w:r>
        <w:rPr>
          <w:rFonts w:ascii="標楷體" w:eastAsia="標楷體" w:hAnsi="標楷體"/>
          <w:szCs w:val="28"/>
        </w:rPr>
        <w:t>9.116.Selumetinib (如Koselugo)：(114/2/1)</w:t>
      </w:r>
    </w:p>
    <w:p w:rsidR="00B96EA0" w:rsidRDefault="007D66B8" w:rsidP="005142EB">
      <w:pPr>
        <w:tabs>
          <w:tab w:val="left" w:pos="1418"/>
        </w:tabs>
        <w:spacing w:line="400" w:lineRule="exact"/>
        <w:ind w:left="811" w:hanging="245"/>
        <w:jc w:val="both"/>
      </w:pPr>
      <w:r>
        <w:rPr>
          <w:rFonts w:ascii="標楷體" w:eastAsia="標楷體" w:hAnsi="標楷體"/>
          <w:szCs w:val="24"/>
        </w:rPr>
        <w:t>1.</w:t>
      </w:r>
      <w:r>
        <w:rPr>
          <w:rFonts w:ascii="標楷體" w:eastAsia="標楷體" w:hAnsi="標楷體"/>
          <w:szCs w:val="28"/>
        </w:rPr>
        <w:t>治療</w:t>
      </w:r>
      <w:r>
        <w:rPr>
          <w:rFonts w:ascii="標楷體" w:eastAsia="標楷體" w:hAnsi="標楷體"/>
          <w:szCs w:val="24"/>
        </w:rPr>
        <w:t>3歲以上至未滿18歲第1型神經纖維瘤(neurofibromatosis type1，NF1) 合併有叢狀神經纖維瘤（plexiform neurofibroma，PN）之兒童病人，且同時符合下列情形：</w:t>
      </w:r>
    </w:p>
    <w:p w:rsidR="00B96EA0" w:rsidRDefault="007D66B8" w:rsidP="005142EB">
      <w:pPr>
        <w:tabs>
          <w:tab w:val="left" w:pos="1185"/>
        </w:tabs>
        <w:spacing w:line="400" w:lineRule="exact"/>
        <w:ind w:left="1051" w:hanging="245"/>
        <w:jc w:val="both"/>
      </w:pPr>
      <w:r>
        <w:rPr>
          <w:rFonts w:ascii="標楷體" w:eastAsia="標楷體" w:hAnsi="標楷體"/>
          <w:szCs w:val="24"/>
        </w:rPr>
        <w:t>(1)無法以</w:t>
      </w:r>
      <w:r>
        <w:rPr>
          <w:rFonts w:ascii="標楷體" w:eastAsia="標楷體" w:hAnsi="標楷體"/>
          <w:szCs w:val="28"/>
        </w:rPr>
        <w:t>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(2)具有症狀</w:t>
      </w:r>
      <w:r>
        <w:rPr>
          <w:rFonts w:ascii="標楷體" w:eastAsia="標楷體" w:hAnsi="標楷體"/>
          <w:szCs w:val="24"/>
        </w:rPr>
        <w:t>且嚴重的PN。</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lastRenderedPageBreak/>
        <w:t>2.無法以手術切除的定義為：</w:t>
      </w:r>
    </w:p>
    <w:p w:rsidR="00B96EA0" w:rsidRDefault="007D66B8" w:rsidP="005142EB">
      <w:pPr>
        <w:tabs>
          <w:tab w:val="left" w:pos="1185"/>
        </w:tabs>
        <w:spacing w:line="400" w:lineRule="exact"/>
        <w:ind w:left="1051" w:hanging="245"/>
        <w:jc w:val="both"/>
      </w:pPr>
      <w:r>
        <w:rPr>
          <w:rFonts w:ascii="標楷體" w:eastAsia="標楷體" w:hAnsi="標楷體"/>
          <w:szCs w:val="24"/>
        </w:rPr>
        <w:t>(1)經專科醫師</w:t>
      </w:r>
      <w:r>
        <w:rPr>
          <w:rFonts w:ascii="標楷體" w:eastAsia="標楷體" w:hAnsi="標楷體"/>
          <w:szCs w:val="28"/>
        </w:rPr>
        <w:t>評估</w:t>
      </w:r>
      <w:r>
        <w:rPr>
          <w:rFonts w:ascii="標楷體" w:eastAsia="標楷體" w:hAnsi="標楷體"/>
          <w:szCs w:val="24"/>
        </w:rPr>
        <w:t>無法以外科手術治療或手術切除者，須包含下列情形其中之一：</w:t>
      </w:r>
    </w:p>
    <w:p w:rsidR="00B96EA0" w:rsidRDefault="007D66B8" w:rsidP="005142EB">
      <w:pPr>
        <w:tabs>
          <w:tab w:val="left" w:pos="1418"/>
        </w:tabs>
        <w:spacing w:line="400" w:lineRule="exact"/>
        <w:ind w:left="1291" w:hanging="245"/>
        <w:jc w:val="both"/>
      </w:pPr>
      <w:r>
        <w:rPr>
          <w:rFonts w:ascii="標楷體" w:eastAsia="標楷體" w:hAnsi="標楷體"/>
          <w:szCs w:val="24"/>
        </w:rPr>
        <w:t>I.PN包</w:t>
      </w:r>
      <w:r>
        <w:rPr>
          <w:rFonts w:ascii="標楷體" w:eastAsia="標楷體" w:hAnsi="標楷體"/>
          <w:color w:val="000000"/>
        </w:rPr>
        <w:t>裹住或靠近重要器官。</w:t>
      </w:r>
    </w:p>
    <w:p w:rsidR="00B96EA0" w:rsidRDefault="007D66B8" w:rsidP="005142EB">
      <w:pPr>
        <w:tabs>
          <w:tab w:val="left" w:pos="1418"/>
        </w:tabs>
        <w:spacing w:line="400" w:lineRule="exact"/>
        <w:ind w:left="1291" w:hanging="245"/>
        <w:jc w:val="both"/>
      </w:pPr>
      <w:r>
        <w:rPr>
          <w:rFonts w:ascii="標楷體" w:eastAsia="標楷體" w:hAnsi="標楷體"/>
          <w:color w:val="000000"/>
        </w:rPr>
        <w:t>II.PN具</w:t>
      </w:r>
      <w:r>
        <w:rPr>
          <w:rFonts w:ascii="標楷體" w:eastAsia="標楷體" w:hAnsi="標楷體"/>
          <w:szCs w:val="24"/>
        </w:rPr>
        <w:t>侵襲性，或具高度血管分布，易導致術後大量出血、神經損傷或其他嚴重併發症者。</w:t>
      </w:r>
    </w:p>
    <w:p w:rsidR="00B96EA0" w:rsidRDefault="007D66B8" w:rsidP="005142EB">
      <w:pPr>
        <w:tabs>
          <w:tab w:val="left" w:pos="1185"/>
        </w:tabs>
        <w:spacing w:line="400" w:lineRule="exact"/>
        <w:ind w:left="1051" w:hanging="245"/>
        <w:jc w:val="both"/>
      </w:pPr>
      <w:r>
        <w:rPr>
          <w:rFonts w:ascii="標楷體" w:eastAsia="標楷體" w:hAnsi="標楷體"/>
          <w:szCs w:val="24"/>
        </w:rPr>
        <w:t>(2)需</w:t>
      </w:r>
      <w:r>
        <w:rPr>
          <w:rFonts w:ascii="標楷體" w:eastAsia="標楷體" w:hAnsi="標楷體"/>
          <w:szCs w:val="28"/>
        </w:rPr>
        <w:t>檢附經專科醫師評估後具名之手術風險評估報告。</w:t>
      </w:r>
    </w:p>
    <w:p w:rsidR="00B96EA0" w:rsidRDefault="007D66B8" w:rsidP="005142EB">
      <w:pPr>
        <w:tabs>
          <w:tab w:val="left" w:pos="1185"/>
        </w:tabs>
        <w:spacing w:line="400" w:lineRule="exact"/>
        <w:ind w:left="1051" w:hanging="245"/>
        <w:jc w:val="both"/>
      </w:pPr>
      <w:r>
        <w:rPr>
          <w:rFonts w:ascii="標楷體" w:eastAsia="標楷體" w:hAnsi="標楷體"/>
          <w:szCs w:val="28"/>
        </w:rPr>
        <w:t>(3)上</w:t>
      </w:r>
      <w:r>
        <w:rPr>
          <w:rFonts w:ascii="標楷體" w:eastAsia="標楷體" w:hAnsi="標楷體"/>
          <w:szCs w:val="24"/>
        </w:rPr>
        <w:t>述專科醫師包括：神經內科、神經外科、血液腫瘤科、整形外科、耳鼻喉科、一般外科、泌尿科、眼科、皮膚科、小兒神經科、小兒遺傳科或小兒血液腫瘤科。</w:t>
      </w:r>
    </w:p>
    <w:p w:rsidR="00B96EA0" w:rsidRDefault="007D66B8" w:rsidP="005142EB">
      <w:pPr>
        <w:tabs>
          <w:tab w:val="left" w:pos="1418"/>
        </w:tabs>
        <w:spacing w:line="400" w:lineRule="exact"/>
        <w:ind w:left="811" w:hanging="245"/>
        <w:jc w:val="both"/>
        <w:rPr>
          <w:rFonts w:ascii="標楷體" w:eastAsia="標楷體" w:hAnsi="標楷體"/>
          <w:szCs w:val="24"/>
        </w:rPr>
      </w:pPr>
      <w:r>
        <w:rPr>
          <w:rFonts w:ascii="標楷體" w:eastAsia="標楷體" w:hAnsi="標楷體"/>
          <w:szCs w:val="24"/>
        </w:rPr>
        <w:t>3.具有症狀且嚴重的PN定義為因PN引起的嚴重症狀，且符合下列情況之一者：</w:t>
      </w:r>
    </w:p>
    <w:p w:rsidR="00B96EA0" w:rsidRDefault="007D66B8" w:rsidP="005142EB">
      <w:pPr>
        <w:tabs>
          <w:tab w:val="left" w:pos="1185"/>
        </w:tabs>
        <w:spacing w:line="400" w:lineRule="exact"/>
        <w:ind w:left="1051" w:hanging="245"/>
        <w:jc w:val="both"/>
      </w:pPr>
      <w:r>
        <w:rPr>
          <w:rFonts w:ascii="標楷體" w:eastAsia="標楷體" w:hAnsi="標楷體"/>
          <w:szCs w:val="24"/>
        </w:rPr>
        <w:t>(1) 因</w:t>
      </w:r>
      <w:r>
        <w:rPr>
          <w:rFonts w:ascii="標楷體" w:eastAsia="標楷體" w:hAnsi="標楷體"/>
          <w:szCs w:val="28"/>
        </w:rPr>
        <w:t>腫瘤</w:t>
      </w:r>
      <w:r>
        <w:rPr>
          <w:rFonts w:ascii="標楷體" w:eastAsia="標楷體" w:hAnsi="標楷體"/>
          <w:szCs w:val="24"/>
        </w:rPr>
        <w:t>壓迫導致之中度至嚴重的疼痛，需檢附疼痛評估報告(pain scale score需</w:t>
      </w:r>
      <w:r>
        <w:rPr>
          <w:rFonts w:ascii="標楷體" w:eastAsia="標楷體" w:hAnsi="標楷體" w:cs="新細明體"/>
          <w:szCs w:val="24"/>
        </w:rPr>
        <w:t>≧</w:t>
      </w:r>
      <w:r>
        <w:rPr>
          <w:rFonts w:ascii="標楷體" w:eastAsia="標楷體" w:hAnsi="標楷體"/>
          <w:szCs w:val="24"/>
        </w:rPr>
        <w:t>7)。</w:t>
      </w:r>
    </w:p>
    <w:p w:rsidR="00B96EA0" w:rsidRDefault="007D66B8" w:rsidP="005142EB">
      <w:pPr>
        <w:tabs>
          <w:tab w:val="left" w:pos="1185"/>
        </w:tabs>
        <w:spacing w:line="400" w:lineRule="exact"/>
        <w:ind w:left="1051" w:hanging="245"/>
        <w:jc w:val="both"/>
      </w:pPr>
      <w:r>
        <w:rPr>
          <w:rFonts w:ascii="標楷體" w:eastAsia="標楷體" w:hAnsi="標楷體"/>
          <w:szCs w:val="24"/>
        </w:rPr>
        <w:t>(2)PN</w:t>
      </w:r>
      <w:r>
        <w:rPr>
          <w:rFonts w:ascii="標楷體" w:eastAsia="標楷體" w:hAnsi="標楷體"/>
          <w:szCs w:val="28"/>
        </w:rPr>
        <w:t>壓迫</w:t>
      </w:r>
      <w:r>
        <w:rPr>
          <w:rFonts w:ascii="標楷體" w:eastAsia="標楷體" w:hAnsi="標楷體"/>
          <w:szCs w:val="24"/>
        </w:rPr>
        <w:t>臟器、呼吸道、大血管或顱、脊椎、臂叢、腰叢區域神經等部位，以致影響器官功能或功能受損（如視力受損、聽力受損、下半身偏癱、大小便失禁等）。需檢附相關功能受損之評估檢驗報告。</w:t>
      </w:r>
    </w:p>
    <w:p w:rsidR="00B96EA0" w:rsidRDefault="007D66B8" w:rsidP="005142EB">
      <w:pPr>
        <w:tabs>
          <w:tab w:val="left" w:pos="1418"/>
        </w:tabs>
        <w:spacing w:line="400" w:lineRule="exact"/>
        <w:ind w:left="811" w:hanging="245"/>
        <w:jc w:val="both"/>
      </w:pPr>
      <w:r>
        <w:rPr>
          <w:rFonts w:ascii="標楷體" w:eastAsia="標楷體" w:hAnsi="標楷體"/>
          <w:szCs w:val="28"/>
        </w:rPr>
        <w:t>4.需經事前審查核准後使用，每次申請以6</w:t>
      </w:r>
      <w:r>
        <w:rPr>
          <w:rFonts w:ascii="標楷體" w:eastAsia="標楷體" w:hAnsi="標楷體"/>
          <w:szCs w:val="24"/>
        </w:rPr>
        <w:t>個月為</w:t>
      </w:r>
      <w:r>
        <w:rPr>
          <w:rFonts w:ascii="標楷體" w:eastAsia="標楷體" w:hAnsi="標楷體"/>
          <w:szCs w:val="28"/>
        </w:rPr>
        <w:t>限，初次申請時須提供疾病相關檢驗及症狀證據，如照片、檢查影像、病理報告或評估報告；再次申請時應檢附前次治療結果評估資料，以RECIST標準評定藥物療效反應，</w:t>
      </w:r>
      <w:r>
        <w:rPr>
          <w:rFonts w:ascii="標楷體" w:eastAsia="標楷體" w:hAnsi="標楷體"/>
          <w:szCs w:val="24"/>
        </w:rPr>
        <w:t>如有下列情況之一，應停止使用</w:t>
      </w:r>
      <w:r>
        <w:rPr>
          <w:rFonts w:ascii="標楷體" w:eastAsia="標楷體" w:hAnsi="標楷體"/>
          <w:szCs w:val="28"/>
        </w:rPr>
        <w:t>：</w:t>
      </w:r>
    </w:p>
    <w:p w:rsidR="00B96EA0" w:rsidRDefault="007D66B8" w:rsidP="005142EB">
      <w:pPr>
        <w:tabs>
          <w:tab w:val="left" w:pos="1185"/>
        </w:tabs>
        <w:spacing w:line="400" w:lineRule="exact"/>
        <w:ind w:left="1051" w:hanging="245"/>
        <w:jc w:val="both"/>
      </w:pPr>
      <w:r>
        <w:rPr>
          <w:rFonts w:ascii="標楷體" w:eastAsia="標楷體" w:hAnsi="標楷體"/>
          <w:szCs w:val="24"/>
        </w:rPr>
        <w:t>(1)病情惡化</w:t>
      </w:r>
      <w:r>
        <w:rPr>
          <w:rFonts w:ascii="標楷體" w:eastAsia="標楷體" w:hAnsi="標楷體"/>
          <w:szCs w:val="28"/>
        </w:rPr>
        <w:t>(PD，指與基準點或用藥後的最佳反應時相比時，目標PN最大直徑總和增加</w:t>
      </w:r>
      <w:r>
        <w:rPr>
          <w:rFonts w:ascii="Times New Roman" w:eastAsia="標楷體" w:hAnsi="Times New Roman"/>
          <w:szCs w:val="28"/>
        </w:rPr>
        <w:t>≥</w:t>
      </w:r>
      <w:r>
        <w:rPr>
          <w:rFonts w:ascii="標楷體" w:eastAsia="標楷體" w:hAnsi="標楷體"/>
          <w:szCs w:val="28"/>
        </w:rPr>
        <w:t>20%，或有新PN出現)。</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(2)無法耐受藥品副作用。</w:t>
      </w:r>
    </w:p>
    <w:p w:rsidR="00B96EA0" w:rsidRDefault="007D66B8" w:rsidP="005142EB">
      <w:pPr>
        <w:tabs>
          <w:tab w:val="left" w:pos="1185"/>
        </w:tabs>
        <w:spacing w:line="400" w:lineRule="exact"/>
        <w:ind w:left="1051" w:hanging="245"/>
        <w:jc w:val="both"/>
        <w:rPr>
          <w:rFonts w:ascii="標楷體" w:eastAsia="標楷體" w:hAnsi="標楷體"/>
          <w:szCs w:val="28"/>
        </w:rPr>
      </w:pPr>
      <w:r>
        <w:rPr>
          <w:rFonts w:ascii="標楷體" w:eastAsia="標楷體" w:hAnsi="標楷體"/>
          <w:szCs w:val="28"/>
        </w:rPr>
        <w:t>(3)原無法手術切除的PN得以接受完整手術切除。</w:t>
      </w:r>
    </w:p>
    <w:p w:rsidR="00B96EA0" w:rsidRDefault="007D66B8" w:rsidP="005142EB">
      <w:pPr>
        <w:tabs>
          <w:tab w:val="left" w:pos="1185"/>
        </w:tabs>
        <w:spacing w:line="400" w:lineRule="exact"/>
        <w:ind w:left="1051" w:hanging="245"/>
        <w:jc w:val="both"/>
      </w:pPr>
      <w:r>
        <w:rPr>
          <w:rFonts w:ascii="標楷體" w:eastAsia="標楷體" w:hAnsi="標楷體"/>
          <w:szCs w:val="28"/>
        </w:rPr>
        <w:t>(4)經治療18個月後，初次申請之目標PN引起之症狀未改善且PN惡化。</w:t>
      </w:r>
    </w:p>
    <w:p w:rsidR="00B96EA0" w:rsidRDefault="007D66B8" w:rsidP="005142EB">
      <w:pPr>
        <w:tabs>
          <w:tab w:val="left" w:pos="1418"/>
        </w:tabs>
        <w:spacing w:line="400" w:lineRule="exact"/>
        <w:ind w:left="811" w:hanging="245"/>
        <w:jc w:val="both"/>
        <w:rPr>
          <w:rFonts w:ascii="標楷體" w:eastAsia="標楷體" w:hAnsi="標楷體"/>
          <w:szCs w:val="28"/>
        </w:rPr>
      </w:pPr>
      <w:r>
        <w:rPr>
          <w:rFonts w:ascii="標楷體" w:eastAsia="標楷體" w:hAnsi="標楷體"/>
          <w:szCs w:val="28"/>
        </w:rPr>
        <w:t>5.每日最高劑量為100 mg。</w:t>
      </w:r>
    </w:p>
    <w:p w:rsidR="00B96EA0" w:rsidRDefault="007D66B8" w:rsidP="005142EB">
      <w:pPr>
        <w:spacing w:line="400" w:lineRule="exact"/>
        <w:rPr>
          <w:rFonts w:ascii="標楷體" w:eastAsia="標楷體" w:hAnsi="標楷體"/>
          <w:color w:val="000000"/>
        </w:rPr>
      </w:pPr>
      <w:r>
        <w:rPr>
          <w:rFonts w:ascii="標楷體" w:eastAsia="標楷體" w:hAnsi="標楷體"/>
          <w:color w:val="000000"/>
        </w:rPr>
        <w:t>9.117.Selinexor(如Xpovio)：(114/3/1)</w:t>
      </w:r>
    </w:p>
    <w:p w:rsidR="00B96EA0" w:rsidRDefault="007D66B8" w:rsidP="005142EB">
      <w:pPr>
        <w:tabs>
          <w:tab w:val="left" w:pos="1418"/>
        </w:tabs>
        <w:spacing w:line="400" w:lineRule="exact"/>
        <w:ind w:left="811" w:hanging="245"/>
        <w:jc w:val="both"/>
      </w:pPr>
      <w:r>
        <w:rPr>
          <w:rFonts w:ascii="標楷體" w:eastAsia="標楷體" w:hAnsi="標楷體"/>
          <w:color w:val="000000"/>
        </w:rPr>
        <w:t>1.</w:t>
      </w:r>
      <w:r>
        <w:rPr>
          <w:rFonts w:ascii="標楷體" w:eastAsia="標楷體" w:hAnsi="標楷體"/>
          <w:szCs w:val="28"/>
        </w:rPr>
        <w:t>與bortezomib及dexamethasone合併使用於先前已接受至少2種治療失敗之多發性骨髓瘤病人，且須具有良好日常體能狀態(ECOG&lt;2)者。</w:t>
      </w:r>
    </w:p>
    <w:p w:rsidR="00B96EA0" w:rsidRDefault="007D66B8" w:rsidP="005142EB">
      <w:pPr>
        <w:tabs>
          <w:tab w:val="left" w:pos="1418"/>
        </w:tabs>
        <w:spacing w:line="400" w:lineRule="exact"/>
        <w:ind w:left="811" w:hanging="245"/>
        <w:jc w:val="both"/>
      </w:pPr>
      <w:r>
        <w:rPr>
          <w:rFonts w:ascii="標楷體" w:eastAsia="標楷體" w:hAnsi="標楷體"/>
          <w:szCs w:val="28"/>
        </w:rPr>
        <w:t>2.須</w:t>
      </w:r>
      <w:r>
        <w:rPr>
          <w:rFonts w:ascii="標楷體" w:eastAsia="標楷體" w:hAnsi="標楷體"/>
          <w:color w:val="000000"/>
        </w:rPr>
        <w:t>經事前審查核准後使用：</w:t>
      </w:r>
    </w:p>
    <w:p w:rsidR="00B96EA0" w:rsidRDefault="007D66B8" w:rsidP="000C7C60">
      <w:pPr>
        <w:tabs>
          <w:tab w:val="left" w:pos="1185"/>
        </w:tabs>
        <w:spacing w:line="400" w:lineRule="exact"/>
        <w:ind w:left="993" w:hanging="245"/>
        <w:jc w:val="both"/>
      </w:pPr>
      <w:r>
        <w:rPr>
          <w:rFonts w:ascii="標楷體" w:eastAsia="標楷體" w:hAnsi="標楷體"/>
          <w:color w:val="000000"/>
        </w:rPr>
        <w:t>(1)</w:t>
      </w:r>
      <w:r w:rsidRPr="000C7C60">
        <w:rPr>
          <w:rFonts w:ascii="標楷體" w:eastAsia="標楷體" w:hAnsi="標楷體"/>
          <w:color w:val="000000"/>
        </w:rPr>
        <w:t>初次</w:t>
      </w:r>
      <w:r>
        <w:rPr>
          <w:rFonts w:ascii="標楷體" w:eastAsia="標楷體" w:hAnsi="標楷體"/>
          <w:color w:val="000000"/>
        </w:rPr>
        <w:t>申請以4個療程(每療程為5週)為限，且需同時符合下列Ⅰ.與Ⅱ.的條件：</w:t>
      </w:r>
    </w:p>
    <w:p w:rsidR="00B96EA0" w:rsidRDefault="007D66B8" w:rsidP="005142EB">
      <w:pPr>
        <w:tabs>
          <w:tab w:val="left" w:pos="1418"/>
        </w:tabs>
        <w:spacing w:line="400" w:lineRule="exact"/>
        <w:ind w:left="1291" w:hanging="245"/>
        <w:jc w:val="both"/>
      </w:pPr>
      <w:r>
        <w:rPr>
          <w:rFonts w:ascii="標楷體" w:eastAsia="標楷體" w:hAnsi="標楷體"/>
          <w:color w:val="000000"/>
        </w:rPr>
        <w:t>I.</w:t>
      </w:r>
      <w:r>
        <w:rPr>
          <w:rFonts w:ascii="標楷體" w:eastAsia="標楷體" w:hAnsi="標楷體"/>
          <w:szCs w:val="24"/>
        </w:rPr>
        <w:t>具有</w:t>
      </w:r>
      <w:r>
        <w:rPr>
          <w:rFonts w:ascii="標楷體" w:eastAsia="標楷體" w:hAnsi="標楷體"/>
          <w:color w:val="000000"/>
        </w:rPr>
        <w:t>下列任一疾病惡化的指標：病患開始治療前須在連續2次評估中均符合同一指標(但若為plamacytoma體積增加，或是新產生的bone lesion(s)或新plasmacytoma，則僅需1次評估)：</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i.若前一線治療中M component最低值≧5g/dL，血清M蛋白需增加≧1g/dL；若前一線治療中M component最低值＜5g/dL，血清M蛋白需增加≧0.5g/dL。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ii.Urine M-protein需增加≧0.2gm/24Hr，且需較前一線治療中的最低值增</w:t>
      </w:r>
      <w:r>
        <w:rPr>
          <w:rFonts w:ascii="標楷體" w:eastAsia="標楷體" w:hAnsi="標楷體"/>
          <w:color w:val="000000"/>
        </w:rPr>
        <w:lastRenderedPageBreak/>
        <w:t>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iii.在non-secretary myeloma病患，骨髓漿細胞(plasmacells)之比例絕對值增加≧10%，且需較前一線治療中的最低值增加≧25%。</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vi.周邊血液中漿細胞比例≧20%或漿細胞絕對值≧2000 cells/μL。</w:t>
      </w:r>
    </w:p>
    <w:p w:rsidR="00B96EA0" w:rsidRDefault="007D66B8" w:rsidP="005142EB">
      <w:pPr>
        <w:tabs>
          <w:tab w:val="left" w:pos="1418"/>
        </w:tabs>
        <w:spacing w:line="400" w:lineRule="exact"/>
        <w:ind w:left="1291" w:hanging="245"/>
        <w:jc w:val="both"/>
        <w:rPr>
          <w:rFonts w:ascii="標楷體" w:eastAsia="標楷體" w:hAnsi="標楷體"/>
          <w:color w:val="000000"/>
        </w:rPr>
      </w:pPr>
      <w:r>
        <w:rPr>
          <w:rFonts w:ascii="標楷體" w:eastAsia="標楷體" w:hAnsi="標楷體"/>
          <w:color w:val="000000"/>
        </w:rPr>
        <w:t>II.出現下列任一臨床症狀：</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i.新產生的bone lesion(s)或plasmacytoma；且須經病理切片證實。</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ii.Plasmacytoma體積增加≧50%。</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iii.高血鈣(corrected serumcalcium＞11.0mg/dL或2.75mmol/L)。</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iv.貧血(Hemoglobin下降幅度≧2gm/dL且無其他原因可以解釋)。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v.腎功能惡化(eGFR需下降幅度≧25%)，且無其他原因可以解釋。</w:t>
      </w:r>
    </w:p>
    <w:p w:rsidR="00B96EA0" w:rsidRDefault="007D66B8" w:rsidP="005142EB">
      <w:pPr>
        <w:spacing w:line="400" w:lineRule="exact"/>
        <w:ind w:left="1800" w:hanging="360"/>
        <w:rPr>
          <w:rFonts w:ascii="標楷體" w:eastAsia="標楷體" w:hAnsi="標楷體"/>
          <w:color w:val="000000"/>
        </w:rPr>
      </w:pPr>
      <w:r>
        <w:rPr>
          <w:rFonts w:ascii="標楷體" w:eastAsia="標楷體" w:hAnsi="標楷體"/>
          <w:color w:val="000000"/>
        </w:rPr>
        <w:t>vi.出現其他end-organ dysfunctions。</w:t>
      </w:r>
    </w:p>
    <w:p w:rsidR="00B96EA0" w:rsidRDefault="007D66B8" w:rsidP="000C7C60">
      <w:pPr>
        <w:tabs>
          <w:tab w:val="left" w:pos="1185"/>
        </w:tabs>
        <w:spacing w:line="400" w:lineRule="exact"/>
        <w:ind w:left="993" w:hanging="245"/>
        <w:jc w:val="both"/>
      </w:pPr>
      <w:r>
        <w:rPr>
          <w:rFonts w:ascii="標楷體" w:eastAsia="標楷體" w:hAnsi="標楷體"/>
          <w:color w:val="000000"/>
        </w:rPr>
        <w:t>(2)</w:t>
      </w:r>
      <w:r w:rsidRPr="000C7C60">
        <w:rPr>
          <w:rFonts w:ascii="標楷體" w:eastAsia="標楷體" w:hAnsi="標楷體"/>
          <w:color w:val="000000"/>
        </w:rPr>
        <w:t>再次</w:t>
      </w:r>
      <w:r>
        <w:rPr>
          <w:rFonts w:ascii="標楷體" w:eastAsia="標楷體" w:hAnsi="標楷體"/>
          <w:color w:val="000000"/>
        </w:rPr>
        <w:t>申請時必須確定paraprotein(M-protein)未上升(即表示對藥物有反應或為穩定狀態)；或對部分non-secretory type MM病人以骨髓檢查plasma cell為療效依據，證明為對藥物有反應或為穩定狀態，方可繼續使用。續用時的申請每次以4個療程為限。</w:t>
      </w:r>
    </w:p>
    <w:p w:rsidR="00B96EA0" w:rsidRDefault="007D66B8" w:rsidP="000C7C60">
      <w:pPr>
        <w:tabs>
          <w:tab w:val="left" w:pos="1185"/>
        </w:tabs>
        <w:spacing w:line="400" w:lineRule="exact"/>
        <w:ind w:left="993" w:hanging="245"/>
        <w:jc w:val="both"/>
        <w:rPr>
          <w:rFonts w:ascii="標楷體" w:eastAsia="標楷體" w:hAnsi="標楷體"/>
          <w:color w:val="000000"/>
        </w:rPr>
      </w:pPr>
      <w:r>
        <w:rPr>
          <w:rFonts w:ascii="標楷體" w:eastAsia="標楷體" w:hAnsi="標楷體"/>
          <w:color w:val="000000"/>
        </w:rPr>
        <w:t>(3)每人終生以8個療程為上限。</w:t>
      </w:r>
    </w:p>
    <w:p w:rsidR="000C7C60" w:rsidRDefault="000C7C60" w:rsidP="000C7C60">
      <w:pPr>
        <w:spacing w:line="400" w:lineRule="exact"/>
        <w:ind w:left="280" w:hanging="280"/>
        <w:rPr>
          <w:rFonts w:ascii="標楷體" w:eastAsia="標楷體" w:hAnsi="標楷體"/>
          <w:szCs w:val="24"/>
        </w:rPr>
      </w:pPr>
      <w:bookmarkStart w:id="46" w:name="_Hlk204088647"/>
      <w:r w:rsidRPr="000C7C60">
        <w:rPr>
          <w:rFonts w:ascii="標楷體" w:eastAsia="標楷體" w:hAnsi="標楷體"/>
          <w:szCs w:val="24"/>
        </w:rPr>
        <w:t>9.</w:t>
      </w:r>
      <w:r>
        <w:rPr>
          <w:rFonts w:ascii="標楷體" w:eastAsia="標楷體" w:hAnsi="標楷體" w:hint="eastAsia"/>
          <w:szCs w:val="24"/>
        </w:rPr>
        <w:t>118</w:t>
      </w:r>
      <w:r w:rsidRPr="000C7C60">
        <w:rPr>
          <w:rFonts w:ascii="標楷體" w:eastAsia="標楷體" w:hAnsi="標楷體"/>
          <w:szCs w:val="24"/>
        </w:rPr>
        <w:t>.Elranatamab (如Elrexfio)：(114/5/1</w:t>
      </w:r>
      <w:r w:rsidRPr="000C7C60">
        <w:rPr>
          <w:rFonts w:ascii="標楷體" w:eastAsia="標楷體" w:hAnsi="標楷體" w:hint="eastAsia"/>
          <w:szCs w:val="24"/>
        </w:rPr>
        <w:t>、114/8/1</w:t>
      </w:r>
      <w:r w:rsidRPr="000C7C60">
        <w:rPr>
          <w:rFonts w:ascii="標楷體" w:eastAsia="標楷體" w:hAnsi="標楷體"/>
          <w:szCs w:val="24"/>
        </w:rPr>
        <w:t>)</w:t>
      </w:r>
    </w:p>
    <w:p w:rsidR="000C7C60" w:rsidRPr="000C7C60" w:rsidRDefault="000C7C60" w:rsidP="00617D60">
      <w:pPr>
        <w:spacing w:line="400" w:lineRule="exact"/>
        <w:ind w:left="567" w:hanging="283"/>
        <w:rPr>
          <w:rFonts w:ascii="標楷體" w:eastAsia="標楷體" w:hAnsi="標楷體"/>
          <w:szCs w:val="24"/>
        </w:rPr>
      </w:pPr>
      <w:r>
        <w:rPr>
          <w:rFonts w:ascii="標楷體" w:eastAsia="標楷體" w:hAnsi="標楷體" w:hint="eastAsia"/>
          <w:szCs w:val="24"/>
        </w:rPr>
        <w:t>1.</w:t>
      </w:r>
      <w:r w:rsidRPr="000C7C60">
        <w:rPr>
          <w:rFonts w:ascii="標楷體" w:eastAsia="標楷體" w:hAnsi="標楷體"/>
          <w:szCs w:val="24"/>
        </w:rPr>
        <w:t>適用於治療先前曾接受至少四線療法(包括一種蛋白酶體抑制劑、一種免疫調節劑和一種抗CD38單株抗體)並在最近治療後顯示為疾病惡化的復發性或難治性多發性骨髓瘤成人病人，且須具有良好日常體能狀態(ECOG</w:t>
      </w:r>
      <w:r w:rsidRPr="000C7C60">
        <w:rPr>
          <w:rFonts w:ascii="Times New Roman" w:eastAsia="標楷體" w:hAnsi="Times New Roman"/>
          <w:szCs w:val="24"/>
        </w:rPr>
        <w:t>≤</w:t>
      </w:r>
      <w:r w:rsidRPr="000C7C60">
        <w:rPr>
          <w:rFonts w:ascii="標楷體" w:eastAsia="標楷體" w:hAnsi="標楷體"/>
          <w:szCs w:val="24"/>
        </w:rPr>
        <w:t>2)。</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2.須經事前審查核准後使用：</w:t>
      </w:r>
    </w:p>
    <w:p w:rsidR="000C7C60" w:rsidRPr="000C7C60" w:rsidRDefault="000C7C60" w:rsidP="000C7C60">
      <w:pPr>
        <w:spacing w:line="400" w:lineRule="exact"/>
        <w:ind w:left="567" w:firstLine="167"/>
        <w:rPr>
          <w:rFonts w:ascii="標楷體" w:eastAsia="標楷體" w:hAnsi="標楷體"/>
          <w:szCs w:val="24"/>
        </w:rPr>
      </w:pPr>
      <w:r w:rsidRPr="000C7C60">
        <w:rPr>
          <w:rFonts w:ascii="標楷體" w:eastAsia="標楷體" w:hAnsi="標楷體"/>
          <w:szCs w:val="24"/>
        </w:rPr>
        <w:t>(1)首次申請為13次輸注，且需同時符合下列Ⅰ.與Ⅱ.的條件：</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I.具有下列任一疾病惡化的指標：病人開始治療前須在連續2次評估中均符合同一指標 (但若為plamacytoma 體積增加，或是新產生的bone lesion(s)或新plasmacytoma，則僅需1次評估)：</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i.若前一線治療中M component 最低值≧5 g/dL，血清M蛋白需增加≧1 g/dL；若前一線治療中M component 最低值＜5 g/dL，血清M蛋白需增加≧0.5g/dL。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ii.Urine M-protein需增加≧0.2 gm/24Hr，且需較前一線治療中的最低值增加≧25%。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iii.在non-secretary myeloma病人，骨髓漿細胞 (plasma cells)之比例絕對值增加≧10%，且需較前一線治療中的最低值增加≧25%。</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v.Plasmacytoma體積增加≧50%。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lastRenderedPageBreak/>
        <w:t>vi.周邊血液中漿細胞比例≧20%或漿細胞絕對值≧2000 cells/μL。</w:t>
      </w:r>
    </w:p>
    <w:p w:rsidR="000C7C60" w:rsidRPr="000C7C60" w:rsidRDefault="000C7C60" w:rsidP="000C7C60">
      <w:pPr>
        <w:spacing w:line="400" w:lineRule="exact"/>
        <w:ind w:left="1418" w:hanging="284"/>
        <w:rPr>
          <w:rFonts w:ascii="標楷體" w:eastAsia="標楷體" w:hAnsi="標楷體"/>
          <w:szCs w:val="24"/>
        </w:rPr>
      </w:pPr>
      <w:r w:rsidRPr="000C7C60">
        <w:rPr>
          <w:rFonts w:ascii="標楷體" w:eastAsia="標楷體" w:hAnsi="標楷體"/>
          <w:szCs w:val="24"/>
        </w:rPr>
        <w:t>II.出現下列任一臨床症狀：</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i.新產生的bone lesion(s)或plasmacytoma，且須經病理切片證實。</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ii.Plasmacytoma 體積增加≧50%。</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iii.高血鈣(corrected serum calcium＞11.0 mg/dL或2.75 mmol/L)。</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iv.貧血(Hemoglobin 下降幅度≧ 2gm/dL 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v.腎功能惡化(eGFR下降幅度≧25%)，且無其他原因可以解釋。</w:t>
      </w:r>
    </w:p>
    <w:p w:rsidR="000C7C60" w:rsidRPr="000C7C60" w:rsidRDefault="000C7C60" w:rsidP="000C7C60">
      <w:pPr>
        <w:spacing w:line="400" w:lineRule="exact"/>
        <w:ind w:left="1701" w:hanging="280"/>
        <w:rPr>
          <w:rFonts w:ascii="標楷體" w:eastAsia="標楷體" w:hAnsi="標楷體"/>
          <w:szCs w:val="24"/>
        </w:rPr>
      </w:pPr>
      <w:r w:rsidRPr="000C7C60">
        <w:rPr>
          <w:rFonts w:ascii="標楷體" w:eastAsia="標楷體" w:hAnsi="標楷體"/>
          <w:szCs w:val="24"/>
        </w:rPr>
        <w:t>vi.出現其他end-organ dysfunctions。</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(2)再次申請時必須確定paraprotein (M-protein)未上升(即表示對藥物有反應或為穩定狀態)，或對部分non-secretory type MM 病人以骨髓檢查plasma cell 為療效依據，方可繼續使用。續用申請每次以13次輸注為限。</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3.每位病人終生限給付39次輸注。</w:t>
      </w:r>
    </w:p>
    <w:p w:rsidR="000C7C60" w:rsidRPr="000C7C60" w:rsidRDefault="000C7C60" w:rsidP="00617D60">
      <w:pPr>
        <w:spacing w:line="400" w:lineRule="exact"/>
        <w:ind w:left="567" w:hanging="283"/>
        <w:rPr>
          <w:rFonts w:ascii="標楷體" w:eastAsia="標楷體" w:hAnsi="標楷體"/>
          <w:szCs w:val="24"/>
        </w:rPr>
      </w:pPr>
      <w:r w:rsidRPr="000C7C60">
        <w:rPr>
          <w:rFonts w:ascii="標楷體" w:eastAsia="標楷體" w:hAnsi="標楷體"/>
          <w:szCs w:val="24"/>
        </w:rPr>
        <w:t>4.執行醫師須完全符合下列資格：</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(1)</w:t>
      </w:r>
      <w:r w:rsidRPr="000C7C60">
        <w:rPr>
          <w:rFonts w:ascii="標楷體" w:eastAsia="標楷體" w:hAnsi="標楷體" w:hint="eastAsia"/>
          <w:szCs w:val="24"/>
        </w:rPr>
        <w:t>醫師必須為血液病或造血幹細胞移植專科醫師且須完成血液病和造血幹細胞移植的相關照護訓練。</w:t>
      </w:r>
      <w:r w:rsidRPr="000C7C60">
        <w:rPr>
          <w:rFonts w:ascii="標楷體" w:eastAsia="標楷體" w:hAnsi="標楷體"/>
          <w:szCs w:val="24"/>
        </w:rPr>
        <w:t>(114/5/1</w:t>
      </w:r>
      <w:r w:rsidRPr="000C7C60">
        <w:rPr>
          <w:rFonts w:ascii="標楷體" w:eastAsia="標楷體" w:hAnsi="標楷體" w:hint="eastAsia"/>
          <w:szCs w:val="24"/>
        </w:rPr>
        <w:t>、</w:t>
      </w:r>
      <w:r w:rsidRPr="000C7C60">
        <w:rPr>
          <w:rFonts w:ascii="標楷體" w:eastAsia="標楷體" w:hAnsi="標楷體"/>
          <w:szCs w:val="24"/>
        </w:rPr>
        <w:t>114/8/1)</w:t>
      </w:r>
    </w:p>
    <w:p w:rsidR="000C7C60" w:rsidRPr="000C7C60" w:rsidRDefault="000C7C60" w:rsidP="000C7C60">
      <w:pPr>
        <w:spacing w:line="400" w:lineRule="exact"/>
        <w:ind w:left="1276" w:hanging="425"/>
        <w:rPr>
          <w:rFonts w:ascii="標楷體" w:eastAsia="標楷體" w:hAnsi="標楷體"/>
          <w:szCs w:val="24"/>
        </w:rPr>
      </w:pPr>
      <w:r w:rsidRPr="000C7C60">
        <w:rPr>
          <w:rFonts w:ascii="標楷體" w:eastAsia="標楷體" w:hAnsi="標楷體"/>
          <w:szCs w:val="24"/>
        </w:rPr>
        <w:t>(2)每兩年接受至少6小時中華民國血液及骨髓移植學會或中華民國血液病學會舉辦之雙特異性抗體相關治療教育訓練。</w:t>
      </w:r>
    </w:p>
    <w:p w:rsidR="00B96EA0" w:rsidRDefault="000C7C60" w:rsidP="00617D60">
      <w:pPr>
        <w:spacing w:line="400" w:lineRule="exact"/>
        <w:ind w:left="567" w:hanging="283"/>
      </w:pPr>
      <w:r w:rsidRPr="000C7C60">
        <w:rPr>
          <w:rFonts w:ascii="標楷體" w:eastAsia="標楷體" w:hAnsi="標楷體"/>
          <w:szCs w:val="24"/>
        </w:rPr>
        <w:t>5.Elranatamab與teclistamab僅能擇一給付，除因耐受性不良，不得互換。二者使用總療程合併計算，以全部39次輸注為上限。</w:t>
      </w:r>
    </w:p>
    <w:bookmarkEnd w:id="46"/>
    <w:p w:rsidR="00EA4516" w:rsidRPr="00EA4516" w:rsidRDefault="00EA4516" w:rsidP="00EA4516">
      <w:pPr>
        <w:snapToGrid w:val="0"/>
        <w:spacing w:line="400" w:lineRule="exact"/>
        <w:rPr>
          <w:rFonts w:ascii="標楷體" w:eastAsia="標楷體" w:hAnsi="標楷體"/>
          <w:szCs w:val="24"/>
        </w:rPr>
      </w:pPr>
      <w:r w:rsidRPr="00EA4516">
        <w:rPr>
          <w:rFonts w:ascii="標楷體" w:eastAsia="標楷體" w:hAnsi="標楷體"/>
          <w:szCs w:val="24"/>
        </w:rPr>
        <w:t>9.119. Teclistamab (如Tecvayli) ：(114/5/1</w:t>
      </w:r>
      <w:r w:rsidRPr="00EA4516">
        <w:rPr>
          <w:rFonts w:ascii="標楷體" w:eastAsia="標楷體" w:hAnsi="標楷體" w:hint="eastAsia"/>
          <w:szCs w:val="24"/>
        </w:rPr>
        <w:t>、114/8/1</w:t>
      </w:r>
      <w:r w:rsidRPr="00EA4516">
        <w:rPr>
          <w:rFonts w:ascii="標楷體" w:eastAsia="標楷體" w:hAnsi="標楷體"/>
          <w:szCs w:val="24"/>
        </w:rPr>
        <w:t>)</w:t>
      </w:r>
    </w:p>
    <w:p w:rsidR="00EA4516" w:rsidRPr="00EA4516" w:rsidRDefault="00EA4516" w:rsidP="00A33F1B">
      <w:pPr>
        <w:numPr>
          <w:ilvl w:val="0"/>
          <w:numId w:val="33"/>
        </w:numPr>
        <w:suppressAutoHyphens w:val="0"/>
        <w:snapToGrid w:val="0"/>
        <w:spacing w:line="400" w:lineRule="exact"/>
        <w:ind w:leftChars="119" w:left="567" w:hangingChars="117" w:hanging="281"/>
        <w:textAlignment w:val="auto"/>
        <w:rPr>
          <w:rFonts w:ascii="標楷體" w:eastAsia="標楷體" w:hAnsi="標楷體"/>
        </w:rPr>
      </w:pPr>
      <w:r w:rsidRPr="00EA4516">
        <w:rPr>
          <w:rFonts w:ascii="標楷體" w:eastAsia="標楷體" w:hAnsi="標楷體"/>
          <w:szCs w:val="24"/>
        </w:rPr>
        <w:t xml:space="preserve">適用於治療先前曾接受至少四線療法(包括一種蛋白酶體抑制劑、一種免疫調節劑和一種抗CD38單株抗體)並在最近治療後顯示疾病惡化的復發性或難治性多發性骨髓瘤成人病人，且須具有良好日常體能狀態(ECOG </w:t>
      </w:r>
      <w:r w:rsidRPr="00EA4516">
        <w:rPr>
          <w:rFonts w:ascii="Times New Roman" w:eastAsia="標楷體" w:hAnsi="Times New Roman"/>
          <w:szCs w:val="24"/>
        </w:rPr>
        <w:t>≤</w:t>
      </w:r>
      <w:r w:rsidRPr="00EA4516">
        <w:rPr>
          <w:rFonts w:ascii="標楷體" w:eastAsia="標楷體" w:hAnsi="標楷體"/>
          <w:szCs w:val="24"/>
        </w:rPr>
        <w:t xml:space="preserve"> 2)。 </w:t>
      </w:r>
    </w:p>
    <w:p w:rsidR="00EA4516" w:rsidRPr="00EA4516" w:rsidRDefault="00EA4516" w:rsidP="00A33F1B">
      <w:pPr>
        <w:numPr>
          <w:ilvl w:val="0"/>
          <w:numId w:val="33"/>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須經事前審查核准後使用：</w:t>
      </w:r>
    </w:p>
    <w:p w:rsidR="00EA4516" w:rsidRPr="00EA4516" w:rsidRDefault="00EA4516" w:rsidP="00EA4516">
      <w:pPr>
        <w:numPr>
          <w:ilvl w:val="1"/>
          <w:numId w:val="33"/>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首次申請為30mg/3ml規格2次輸注與153mg/1.7ml規格11次輸注，且需同時符合下列Ⅰ.與Ⅱ.的條件：</w:t>
      </w:r>
    </w:p>
    <w:p w:rsidR="00EA4516" w:rsidRPr="00EA4516" w:rsidRDefault="00EA4516" w:rsidP="00EA4516">
      <w:pPr>
        <w:suppressAutoHyphens w:val="0"/>
        <w:snapToGrid w:val="0"/>
        <w:spacing w:line="400" w:lineRule="exact"/>
        <w:ind w:leftChars="508" w:left="1699" w:hangingChars="200" w:hanging="480"/>
        <w:textAlignment w:val="auto"/>
        <w:rPr>
          <w:rFonts w:ascii="標楷體" w:eastAsia="標楷體" w:hAnsi="標楷體"/>
          <w:szCs w:val="24"/>
        </w:rPr>
      </w:pPr>
      <w:r w:rsidRPr="00EA4516">
        <w:rPr>
          <w:rFonts w:ascii="標楷體" w:eastAsia="標楷體" w:hAnsi="標楷體" w:hint="eastAsia"/>
          <w:szCs w:val="24"/>
        </w:rPr>
        <w:t>Ⅰ.</w:t>
      </w:r>
      <w:r w:rsidRPr="00EA4516">
        <w:rPr>
          <w:rFonts w:ascii="標楷體" w:eastAsia="標楷體" w:hAnsi="標楷體"/>
          <w:szCs w:val="24"/>
        </w:rPr>
        <w:t>具有下列任一疾病惡化的指標：病人開始治療前須在連續2次評估中均符合同一指標 (但若為plamacytoma 體積增加，或是新產生的bone lesion(s)或新plasmacytoma，則僅需1次評估)：</w:t>
      </w:r>
    </w:p>
    <w:p w:rsidR="00EA4516" w:rsidRPr="00EA4516" w:rsidRDefault="00EA4516" w:rsidP="00EA4516">
      <w:pPr>
        <w:numPr>
          <w:ilvl w:val="3"/>
          <w:numId w:val="33"/>
        </w:numPr>
        <w:suppressAutoHyphens w:val="0"/>
        <w:snapToGrid w:val="0"/>
        <w:spacing w:line="400" w:lineRule="exact"/>
        <w:ind w:leftChars="710" w:left="1985" w:hangingChars="117" w:hanging="281"/>
        <w:textAlignment w:val="auto"/>
        <w:rPr>
          <w:rFonts w:ascii="標楷體" w:eastAsia="標楷體" w:hAnsi="標楷體"/>
        </w:rPr>
      </w:pPr>
      <w:r w:rsidRPr="00EA4516">
        <w:rPr>
          <w:rFonts w:ascii="標楷體" w:eastAsia="標楷體" w:hAnsi="標楷體"/>
        </w:rPr>
        <w:t>若前一線治療中M component 最低值</w:t>
      </w:r>
      <w:r w:rsidRPr="00EA4516">
        <w:rPr>
          <w:rFonts w:ascii="標楷體" w:eastAsia="標楷體" w:hAnsi="標楷體" w:cs="新細明體"/>
        </w:rPr>
        <w:t>≧</w:t>
      </w:r>
      <w:r w:rsidRPr="00EA4516">
        <w:rPr>
          <w:rFonts w:ascii="標楷體" w:eastAsia="標楷體" w:hAnsi="標楷體"/>
        </w:rPr>
        <w:t>5 g/dL，血清M蛋白需增加</w:t>
      </w:r>
      <w:r w:rsidRPr="00EA4516">
        <w:rPr>
          <w:rFonts w:ascii="標楷體" w:eastAsia="標楷體" w:hAnsi="標楷體" w:cs="新細明體"/>
        </w:rPr>
        <w:t>≧</w:t>
      </w:r>
      <w:r w:rsidRPr="00EA4516">
        <w:rPr>
          <w:rFonts w:ascii="標楷體" w:eastAsia="標楷體" w:hAnsi="標楷體"/>
        </w:rPr>
        <w:t>1 g/dL；若前一線治療中M component 最低值＜5 g/dL，血清M蛋白需增加</w:t>
      </w:r>
      <w:r w:rsidRPr="00EA4516">
        <w:rPr>
          <w:rFonts w:ascii="標楷體" w:eastAsia="標楷體" w:hAnsi="標楷體" w:cs="新細明體"/>
        </w:rPr>
        <w:t>≧</w:t>
      </w:r>
      <w:r w:rsidRPr="00EA4516">
        <w:rPr>
          <w:rFonts w:ascii="標楷體" w:eastAsia="標楷體" w:hAnsi="標楷體"/>
        </w:rPr>
        <w:t>0.5g/dL。</w:t>
      </w:r>
    </w:p>
    <w:p w:rsidR="00EA4516" w:rsidRPr="00EA4516" w:rsidRDefault="00EA4516" w:rsidP="00EA4516">
      <w:pPr>
        <w:numPr>
          <w:ilvl w:val="3"/>
          <w:numId w:val="33"/>
        </w:numPr>
        <w:suppressAutoHyphens w:val="0"/>
        <w:snapToGrid w:val="0"/>
        <w:spacing w:line="400" w:lineRule="exact"/>
        <w:ind w:leftChars="710" w:left="2126" w:hangingChars="176" w:hanging="422"/>
        <w:textAlignment w:val="auto"/>
        <w:rPr>
          <w:rFonts w:ascii="標楷體" w:eastAsia="標楷體" w:hAnsi="標楷體"/>
        </w:rPr>
      </w:pPr>
      <w:r w:rsidRPr="00EA4516">
        <w:rPr>
          <w:rFonts w:ascii="標楷體" w:eastAsia="標楷體" w:hAnsi="標楷體"/>
        </w:rPr>
        <w:t>Urine M-protein需增加</w:t>
      </w:r>
      <w:r w:rsidRPr="00EA4516">
        <w:rPr>
          <w:rFonts w:ascii="標楷體" w:eastAsia="標楷體" w:hAnsi="標楷體" w:cs="新細明體"/>
        </w:rPr>
        <w:t>≧</w:t>
      </w:r>
      <w:r w:rsidRPr="00EA4516">
        <w:rPr>
          <w:rFonts w:ascii="標楷體" w:eastAsia="標楷體" w:hAnsi="標楷體"/>
        </w:rPr>
        <w:t>0.2 gm/24Hr，且需較前一線治療中的最低值增加</w:t>
      </w:r>
      <w:r w:rsidRPr="00EA4516">
        <w:rPr>
          <w:rFonts w:ascii="標楷體" w:eastAsia="標楷體" w:hAnsi="標楷體" w:cs="新細明體"/>
        </w:rPr>
        <w:t>≧</w:t>
      </w:r>
      <w:r w:rsidRPr="00EA4516">
        <w:rPr>
          <w:rFonts w:ascii="標楷體" w:eastAsia="標楷體" w:hAnsi="標楷體"/>
        </w:rPr>
        <w:t>25%。</w:t>
      </w:r>
    </w:p>
    <w:p w:rsidR="00EA4516" w:rsidRPr="00EA4516" w:rsidRDefault="00EA4516" w:rsidP="00EA4516">
      <w:pPr>
        <w:numPr>
          <w:ilvl w:val="3"/>
          <w:numId w:val="33"/>
        </w:numPr>
        <w:suppressAutoHyphens w:val="0"/>
        <w:snapToGrid w:val="0"/>
        <w:spacing w:line="400" w:lineRule="exact"/>
        <w:ind w:leftChars="709" w:left="2268" w:hangingChars="236" w:hanging="566"/>
        <w:textAlignment w:val="auto"/>
        <w:rPr>
          <w:rFonts w:ascii="標楷體" w:eastAsia="標楷體" w:hAnsi="標楷體"/>
        </w:rPr>
      </w:pPr>
      <w:r w:rsidRPr="00EA4516">
        <w:rPr>
          <w:rFonts w:ascii="標楷體" w:eastAsia="標楷體" w:hAnsi="標楷體"/>
        </w:rPr>
        <w:t>在non-secretary myeloma病人，骨髓漿細胞 (plasma cells)之比例絕對值增加≧10%，且需較前一線治療中的最低值增加≧25%。</w:t>
      </w:r>
    </w:p>
    <w:p w:rsidR="00EA4516" w:rsidRPr="00EA4516" w:rsidRDefault="00EA4516" w:rsidP="00EA4516">
      <w:pPr>
        <w:numPr>
          <w:ilvl w:val="3"/>
          <w:numId w:val="33"/>
        </w:numPr>
        <w:tabs>
          <w:tab w:val="left" w:pos="2127"/>
        </w:tabs>
        <w:suppressAutoHyphens w:val="0"/>
        <w:snapToGrid w:val="0"/>
        <w:spacing w:line="400" w:lineRule="exact"/>
        <w:ind w:leftChars="708" w:left="1699" w:firstLine="2"/>
        <w:textAlignment w:val="auto"/>
        <w:rPr>
          <w:rFonts w:ascii="標楷體" w:eastAsia="標楷體" w:hAnsi="標楷體"/>
        </w:rPr>
      </w:pPr>
      <w:r w:rsidRPr="00EA4516">
        <w:rPr>
          <w:rFonts w:ascii="標楷體" w:eastAsia="標楷體" w:hAnsi="標楷體"/>
        </w:rPr>
        <w:lastRenderedPageBreak/>
        <w:t>新產生的bone lesion(s)或plasmacytoma，且須經病理切片證實。</w:t>
      </w:r>
    </w:p>
    <w:p w:rsidR="00EA4516" w:rsidRPr="00EA4516" w:rsidRDefault="00EA4516" w:rsidP="00EA4516">
      <w:pPr>
        <w:numPr>
          <w:ilvl w:val="3"/>
          <w:numId w:val="33"/>
        </w:numPr>
        <w:suppressAutoHyphens w:val="0"/>
        <w:snapToGrid w:val="0"/>
        <w:spacing w:line="400" w:lineRule="exact"/>
        <w:ind w:leftChars="769" w:left="2127" w:hangingChars="117" w:hanging="281"/>
        <w:textAlignment w:val="auto"/>
        <w:rPr>
          <w:rFonts w:ascii="標楷體" w:eastAsia="標楷體" w:hAnsi="標楷體"/>
        </w:rPr>
      </w:pPr>
      <w:r w:rsidRPr="00EA4516">
        <w:rPr>
          <w:rFonts w:ascii="標楷體" w:eastAsia="標楷體" w:hAnsi="標楷體"/>
        </w:rPr>
        <w:t>Plasmacytoma體積增加≧50%。</w:t>
      </w:r>
    </w:p>
    <w:p w:rsidR="00EA4516" w:rsidRDefault="00EA4516" w:rsidP="00EA4516">
      <w:pPr>
        <w:numPr>
          <w:ilvl w:val="3"/>
          <w:numId w:val="33"/>
        </w:numPr>
        <w:suppressAutoHyphens w:val="0"/>
        <w:snapToGrid w:val="0"/>
        <w:spacing w:line="400" w:lineRule="exact"/>
        <w:ind w:leftChars="768" w:left="2265" w:hangingChars="176" w:hanging="422"/>
        <w:textAlignment w:val="auto"/>
        <w:rPr>
          <w:rFonts w:ascii="標楷體" w:eastAsia="標楷體" w:hAnsi="標楷體"/>
        </w:rPr>
      </w:pPr>
      <w:r w:rsidRPr="00EA4516">
        <w:rPr>
          <w:rFonts w:ascii="標楷體" w:eastAsia="標楷體" w:hAnsi="標楷體"/>
        </w:rPr>
        <w:t>周邊血液中漿細胞比例</w:t>
      </w:r>
      <w:r w:rsidRPr="00EA4516">
        <w:rPr>
          <w:rFonts w:ascii="標楷體" w:eastAsia="標楷體" w:hAnsi="標楷體" w:cs="新細明體"/>
        </w:rPr>
        <w:t>≧</w:t>
      </w:r>
      <w:r w:rsidRPr="00EA4516">
        <w:rPr>
          <w:rFonts w:ascii="標楷體" w:eastAsia="標楷體" w:hAnsi="標楷體"/>
        </w:rPr>
        <w:t>20%或漿細胞絕對值</w:t>
      </w:r>
      <w:r w:rsidRPr="00EA4516">
        <w:rPr>
          <w:rFonts w:ascii="標楷體" w:eastAsia="標楷體" w:hAnsi="標楷體" w:cs="新細明體"/>
        </w:rPr>
        <w:t>≧</w:t>
      </w:r>
      <w:r w:rsidRPr="00EA4516">
        <w:rPr>
          <w:rFonts w:ascii="標楷體" w:eastAsia="標楷體" w:hAnsi="標楷體"/>
        </w:rPr>
        <w:t>2000 cells/μL。</w:t>
      </w:r>
    </w:p>
    <w:p w:rsidR="00EA4516" w:rsidRPr="00EA4516" w:rsidRDefault="00EA4516" w:rsidP="00EA4516">
      <w:pPr>
        <w:suppressAutoHyphens w:val="0"/>
        <w:snapToGrid w:val="0"/>
        <w:spacing w:line="400" w:lineRule="exact"/>
        <w:ind w:left="1134"/>
        <w:textAlignment w:val="auto"/>
        <w:rPr>
          <w:rFonts w:ascii="標楷體" w:eastAsia="標楷體" w:hAnsi="標楷體"/>
        </w:rPr>
      </w:pPr>
      <w:r>
        <w:rPr>
          <w:rFonts w:ascii="標楷體" w:eastAsia="標楷體" w:hAnsi="標楷體" w:hint="eastAsia"/>
          <w:szCs w:val="24"/>
        </w:rPr>
        <w:t>Ⅱ.</w:t>
      </w:r>
      <w:r w:rsidRPr="00EA4516">
        <w:rPr>
          <w:rFonts w:ascii="標楷體" w:eastAsia="標楷體" w:hAnsi="標楷體"/>
          <w:szCs w:val="24"/>
        </w:rPr>
        <w:t>出現下列任一臨床症狀：</w:t>
      </w:r>
    </w:p>
    <w:p w:rsidR="00EA4516" w:rsidRPr="00EA4516" w:rsidRDefault="00EA4516" w:rsidP="00020935">
      <w:pPr>
        <w:numPr>
          <w:ilvl w:val="3"/>
          <w:numId w:val="38"/>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新產生的bone lesion(s)或plasmacytoma，且須經病理切片證實。</w:t>
      </w:r>
    </w:p>
    <w:p w:rsidR="00EA4516" w:rsidRPr="00EA4516" w:rsidRDefault="00EA4516" w:rsidP="00020935">
      <w:pPr>
        <w:numPr>
          <w:ilvl w:val="3"/>
          <w:numId w:val="38"/>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Plasmacytoma 體積增加≧50%。</w:t>
      </w:r>
    </w:p>
    <w:p w:rsidR="00EA4516" w:rsidRPr="00EA4516" w:rsidRDefault="00EA4516" w:rsidP="00020935">
      <w:pPr>
        <w:numPr>
          <w:ilvl w:val="3"/>
          <w:numId w:val="38"/>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高血鈣(corrected serum calcium＞11.0 mg/dL 或2.75 mmol/L)。</w:t>
      </w:r>
    </w:p>
    <w:p w:rsidR="00EA4516" w:rsidRDefault="00EA4516" w:rsidP="00020935">
      <w:pPr>
        <w:numPr>
          <w:ilvl w:val="3"/>
          <w:numId w:val="38"/>
        </w:numPr>
        <w:tabs>
          <w:tab w:val="left" w:pos="2410"/>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貧血(Hemoglobin 下降幅度≧ 2gm/dL 且無其他原因可以解釋)。</w:t>
      </w:r>
    </w:p>
    <w:p w:rsidR="00EA4516" w:rsidRPr="00EA4516" w:rsidRDefault="00EA4516" w:rsidP="00020935">
      <w:pPr>
        <w:numPr>
          <w:ilvl w:val="3"/>
          <w:numId w:val="38"/>
        </w:numPr>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腎功能惡化(eGFR下降幅度≧25%)，且無其他原因可以解釋。</w:t>
      </w:r>
    </w:p>
    <w:p w:rsidR="00EA4516" w:rsidRPr="00EA4516" w:rsidRDefault="00EA4516" w:rsidP="00020935">
      <w:pPr>
        <w:numPr>
          <w:ilvl w:val="3"/>
          <w:numId w:val="38"/>
        </w:numPr>
        <w:tabs>
          <w:tab w:val="left" w:pos="2127"/>
        </w:tabs>
        <w:suppressAutoHyphens w:val="0"/>
        <w:snapToGrid w:val="0"/>
        <w:spacing w:line="400" w:lineRule="exact"/>
        <w:ind w:leftChars="700" w:left="2160" w:hangingChars="200" w:hanging="480"/>
        <w:textAlignment w:val="auto"/>
        <w:rPr>
          <w:rFonts w:ascii="標楷體" w:eastAsia="標楷體" w:hAnsi="標楷體"/>
        </w:rPr>
      </w:pPr>
      <w:r w:rsidRPr="00EA4516">
        <w:rPr>
          <w:rFonts w:ascii="標楷體" w:eastAsia="標楷體" w:hAnsi="標楷體"/>
        </w:rPr>
        <w:t>出現其他end-organ dysfunctions。</w:t>
      </w:r>
    </w:p>
    <w:p w:rsidR="00EA4516" w:rsidRPr="00EA4516" w:rsidRDefault="00EA4516" w:rsidP="00020935">
      <w:pPr>
        <w:numPr>
          <w:ilvl w:val="1"/>
          <w:numId w:val="38"/>
        </w:numPr>
        <w:suppressAutoHyphens w:val="0"/>
        <w:snapToGrid w:val="0"/>
        <w:spacing w:line="400" w:lineRule="exact"/>
        <w:ind w:left="1276" w:hanging="425"/>
        <w:textAlignment w:val="auto"/>
        <w:rPr>
          <w:rFonts w:ascii="標楷體" w:eastAsia="標楷體" w:hAnsi="標楷體"/>
          <w:szCs w:val="24"/>
        </w:rPr>
      </w:pPr>
      <w:r w:rsidRPr="00EA4516">
        <w:rPr>
          <w:rFonts w:ascii="標楷體" w:eastAsia="標楷體" w:hAnsi="標楷體"/>
          <w:szCs w:val="24"/>
        </w:rPr>
        <w:t>再次申請時必須確定paraprotein (M-protein)未上升(即表示對藥物有反應或為穩定狀態)，或對部分non-secretory type MM 病人以骨髓檢查plasma cell 為療效依據，方可繼續使用。續用時的申請每次以153mg/1.7ml規格13次輸注為限。</w:t>
      </w:r>
    </w:p>
    <w:p w:rsidR="00EA4516" w:rsidRPr="00A33F1B" w:rsidRDefault="00EA4516" w:rsidP="00020935">
      <w:pPr>
        <w:numPr>
          <w:ilvl w:val="0"/>
          <w:numId w:val="38"/>
        </w:numPr>
        <w:suppressAutoHyphens w:val="0"/>
        <w:snapToGrid w:val="0"/>
        <w:spacing w:line="400" w:lineRule="exact"/>
        <w:ind w:leftChars="119" w:left="567" w:hangingChars="117" w:hanging="281"/>
        <w:textAlignment w:val="auto"/>
        <w:rPr>
          <w:rFonts w:ascii="標楷體" w:eastAsia="標楷體" w:hAnsi="標楷體"/>
          <w:szCs w:val="24"/>
        </w:rPr>
      </w:pPr>
      <w:r w:rsidRPr="00EA4516">
        <w:rPr>
          <w:rFonts w:ascii="標楷體" w:eastAsia="標楷體" w:hAnsi="標楷體"/>
          <w:szCs w:val="24"/>
        </w:rPr>
        <w:t>每位</w:t>
      </w:r>
      <w:r w:rsidRPr="00A33F1B">
        <w:rPr>
          <w:rFonts w:ascii="標楷體" w:eastAsia="標楷體" w:hAnsi="標楷體"/>
          <w:szCs w:val="24"/>
        </w:rPr>
        <w:t>病人終生限給付39次輸注(含30mg/3ml規格共2次輸注、153mg/1.7ml規格共37次輸注)。</w:t>
      </w:r>
    </w:p>
    <w:p w:rsidR="00EA4516" w:rsidRPr="00A33F1B" w:rsidRDefault="00EA4516" w:rsidP="00020935">
      <w:pPr>
        <w:numPr>
          <w:ilvl w:val="0"/>
          <w:numId w:val="38"/>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執行醫師須完全符合下列資格：</w:t>
      </w:r>
    </w:p>
    <w:p w:rsidR="00EA4516" w:rsidRPr="00A33F1B" w:rsidRDefault="00EA4516" w:rsidP="00020935">
      <w:pPr>
        <w:numPr>
          <w:ilvl w:val="0"/>
          <w:numId w:val="38"/>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hint="eastAsia"/>
          <w:szCs w:val="24"/>
        </w:rPr>
        <w:t>醫師必須為血液病或造血幹細胞移植專科醫師且須完成血液病和造血幹細胞移植的相關照護訓練。</w:t>
      </w:r>
      <w:r w:rsidRPr="00A33F1B">
        <w:rPr>
          <w:rFonts w:ascii="標楷體" w:eastAsia="標楷體" w:hAnsi="標楷體"/>
          <w:szCs w:val="24"/>
        </w:rPr>
        <w:t>(114/5/1</w:t>
      </w:r>
      <w:r w:rsidRPr="00A33F1B">
        <w:rPr>
          <w:rFonts w:ascii="標楷體" w:eastAsia="標楷體" w:hAnsi="標楷體" w:hint="eastAsia"/>
          <w:szCs w:val="24"/>
        </w:rPr>
        <w:t>、</w:t>
      </w:r>
      <w:r w:rsidRPr="00A33F1B">
        <w:rPr>
          <w:rFonts w:ascii="標楷體" w:eastAsia="標楷體" w:hAnsi="標楷體"/>
          <w:szCs w:val="24"/>
        </w:rPr>
        <w:t>114/8/1)</w:t>
      </w:r>
    </w:p>
    <w:p w:rsidR="00EA4516" w:rsidRPr="00EA4516" w:rsidRDefault="00EA4516" w:rsidP="00020935">
      <w:pPr>
        <w:numPr>
          <w:ilvl w:val="0"/>
          <w:numId w:val="38"/>
        </w:numPr>
        <w:suppressAutoHyphens w:val="0"/>
        <w:snapToGrid w:val="0"/>
        <w:spacing w:line="400" w:lineRule="exact"/>
        <w:ind w:leftChars="119" w:left="567" w:hangingChars="117" w:hanging="281"/>
        <w:textAlignment w:val="auto"/>
        <w:rPr>
          <w:rFonts w:ascii="標楷體" w:eastAsia="標楷體" w:hAnsi="標楷體"/>
          <w:szCs w:val="24"/>
        </w:rPr>
      </w:pPr>
      <w:r w:rsidRPr="00A33F1B">
        <w:rPr>
          <w:rFonts w:ascii="標楷體" w:eastAsia="標楷體" w:hAnsi="標楷體"/>
          <w:szCs w:val="24"/>
        </w:rPr>
        <w:t>每兩年接受至少6小時中華民國血液及骨髓移植學會或中華民國血液病學會舉辦之雙特異性</w:t>
      </w:r>
      <w:r w:rsidRPr="00EA4516">
        <w:rPr>
          <w:rFonts w:ascii="標楷體" w:eastAsia="標楷體" w:hAnsi="標楷體"/>
          <w:szCs w:val="24"/>
        </w:rPr>
        <w:t>抗體相關治療教育訓練。</w:t>
      </w:r>
    </w:p>
    <w:p w:rsidR="00B96EA0" w:rsidRPr="00EA4516" w:rsidRDefault="00EA4516" w:rsidP="00EA4516">
      <w:pPr>
        <w:tabs>
          <w:tab w:val="left" w:pos="1418"/>
        </w:tabs>
        <w:spacing w:line="400" w:lineRule="exact"/>
        <w:ind w:left="1274" w:firstLine="2"/>
        <w:jc w:val="both"/>
        <w:rPr>
          <w:rFonts w:ascii="標楷體" w:eastAsia="標楷體" w:hAnsi="標楷體"/>
          <w:color w:val="000000"/>
        </w:rPr>
      </w:pPr>
      <w:r w:rsidRPr="00EA4516">
        <w:rPr>
          <w:rFonts w:ascii="標楷體" w:eastAsia="標楷體" w:hAnsi="標楷體"/>
          <w:szCs w:val="24"/>
        </w:rPr>
        <w:t>Teclistamab與elranatamab僅能擇一給付，除因耐受性不良，不得互換。二者使用總療程合併計算，以全部39次輸注為上限。</w:t>
      </w:r>
    </w:p>
    <w:p w:rsidR="00DA176D" w:rsidRPr="00DA176D" w:rsidRDefault="00DA176D" w:rsidP="005142EB">
      <w:pPr>
        <w:suppressAutoHyphens w:val="0"/>
        <w:autoSpaceDN/>
        <w:spacing w:line="400" w:lineRule="exact"/>
        <w:ind w:firstLineChars="100" w:firstLine="240"/>
        <w:textAlignment w:val="auto"/>
        <w:rPr>
          <w:rFonts w:ascii="標楷體" w:eastAsia="標楷體" w:hAnsi="標楷體"/>
          <w:color w:val="000000"/>
        </w:rPr>
      </w:pPr>
      <w:r w:rsidRPr="00DA176D">
        <w:rPr>
          <w:rFonts w:ascii="標楷體" w:eastAsia="標楷體" w:hAnsi="標楷體" w:hint="eastAsia"/>
          <w:color w:val="000000"/>
        </w:rPr>
        <w:t>9.120.Glofitamab（如Columvi）：（114/8/1)</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1.用於治療先前曾接受至少兩線全身治療之復發性或難治性瀰漫性大B細胞淋巴瘤 (DLBCL) 的成人病人，且須完全符合以下條件：</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(1)</w:t>
      </w:r>
      <w:r w:rsidRPr="00DA176D">
        <w:rPr>
          <w:rFonts w:ascii="標楷體" w:eastAsia="標楷體" w:hAnsi="標楷體" w:hint="eastAsia"/>
          <w:color w:val="000000"/>
        </w:rPr>
        <w:tab/>
        <w:t>具CD20抗原陽性。</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w:t>
      </w:r>
      <w:r w:rsidRPr="00DA176D">
        <w:rPr>
          <w:rFonts w:ascii="標楷體" w:eastAsia="標楷體" w:hAnsi="標楷體" w:hint="eastAsia"/>
          <w:color w:val="000000"/>
        </w:rPr>
        <w:tab/>
        <w:t>一線曾接受rituximab合併化學治療(包含CD20)，及含有anthracycline類藥物的治療，治療四個療程以上復發或是於治療中發生疾病惡化者。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(3)</w:t>
      </w:r>
      <w:r w:rsidRPr="00DA176D">
        <w:rPr>
          <w:rFonts w:ascii="標楷體" w:eastAsia="標楷體" w:hAnsi="標楷體" w:hint="eastAsia"/>
          <w:color w:val="000000"/>
        </w:rPr>
        <w:tab/>
        <w:t>救援治療需符合以下任一條件：</w:t>
      </w:r>
    </w:p>
    <w:p w:rsidR="00DA176D" w:rsidRPr="00DA176D" w:rsidRDefault="00DA176D" w:rsidP="00A33F1B">
      <w:pPr>
        <w:spacing w:line="400" w:lineRule="exact"/>
        <w:ind w:left="1134" w:hanging="386"/>
        <w:rPr>
          <w:rFonts w:ascii="標楷體" w:eastAsia="標楷體" w:hAnsi="標楷體"/>
          <w:szCs w:val="24"/>
        </w:rPr>
      </w:pPr>
      <w:r w:rsidRPr="00A33F1B">
        <w:rPr>
          <w:rFonts w:ascii="標楷體" w:eastAsia="標楷體" w:hAnsi="標楷體"/>
          <w:color w:val="000000"/>
        </w:rPr>
        <w:t>Ⅰ.</w:t>
      </w:r>
      <w:r w:rsidRPr="00A33F1B">
        <w:rPr>
          <w:rFonts w:ascii="標楷體" w:eastAsia="標楷體" w:hAnsi="標楷體" w:hint="eastAsia"/>
          <w:color w:val="000000"/>
        </w:rPr>
        <w:t>治療二</w:t>
      </w:r>
      <w:r w:rsidRPr="00DA176D">
        <w:rPr>
          <w:rFonts w:ascii="標楷體" w:eastAsia="標楷體" w:hAnsi="標楷體" w:hint="eastAsia"/>
          <w:szCs w:val="24"/>
        </w:rPr>
        <w:t>個療程以上復發或是於治療中發生疾病惡化者。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.經造血幹細胞移植治療失敗者。</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(4)</w:t>
      </w:r>
      <w:r w:rsidRPr="00DA176D">
        <w:rPr>
          <w:rFonts w:ascii="標楷體" w:eastAsia="標楷體" w:hAnsi="標楷體" w:hint="eastAsia"/>
          <w:color w:val="000000"/>
        </w:rPr>
        <w:tab/>
        <w:t>ECOG為0或1。</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(5)</w:t>
      </w:r>
      <w:r w:rsidRPr="00DA176D">
        <w:rPr>
          <w:rFonts w:ascii="標楷體" w:eastAsia="標楷體" w:hAnsi="標楷體" w:hint="eastAsia"/>
          <w:color w:val="000000"/>
        </w:rPr>
        <w:tab/>
        <w:t>病人不得有以下任一疾病: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Ⅰ.</w:t>
      </w:r>
      <w:r w:rsidRPr="00DA176D">
        <w:rPr>
          <w:rFonts w:ascii="標楷體" w:eastAsia="標楷體" w:hAnsi="標楷體" w:hint="eastAsia"/>
          <w:szCs w:val="24"/>
        </w:rPr>
        <w:t>中樞神經系統淋巴瘤或中樞神經疾病。</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t>Ⅱ.</w:t>
      </w:r>
      <w:r w:rsidRPr="00DA176D">
        <w:rPr>
          <w:rFonts w:ascii="標楷體" w:eastAsia="標楷體" w:hAnsi="標楷體" w:hint="eastAsia"/>
          <w:szCs w:val="24"/>
        </w:rPr>
        <w:t>嚴重的心血管疾病，如NYHA (New York Heart Association) Class Ⅲ或Ⅳ。</w:t>
      </w:r>
    </w:p>
    <w:p w:rsidR="00DA176D" w:rsidRPr="00DA176D" w:rsidRDefault="00DA176D" w:rsidP="005142EB">
      <w:pPr>
        <w:spacing w:line="400" w:lineRule="exact"/>
        <w:ind w:left="1248" w:hanging="397"/>
        <w:rPr>
          <w:rFonts w:ascii="標楷體" w:eastAsia="標楷體" w:hAnsi="標楷體"/>
          <w:szCs w:val="24"/>
        </w:rPr>
      </w:pPr>
      <w:r w:rsidRPr="00DA176D">
        <w:rPr>
          <w:rFonts w:ascii="標楷體" w:eastAsia="標楷體" w:hAnsi="標楷體"/>
          <w:szCs w:val="24"/>
        </w:rPr>
        <w:lastRenderedPageBreak/>
        <w:t>Ⅲ.</w:t>
      </w:r>
      <w:r w:rsidRPr="00DA176D">
        <w:rPr>
          <w:rFonts w:ascii="標楷體" w:eastAsia="標楷體" w:hAnsi="標楷體" w:hint="eastAsia"/>
          <w:szCs w:val="24"/>
        </w:rPr>
        <w:t>自體免疫疾病正積極治療者。</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2.</w:t>
      </w:r>
      <w:r w:rsidRPr="00DA176D">
        <w:rPr>
          <w:rFonts w:ascii="標楷體" w:eastAsia="標楷體" w:hAnsi="標楷體" w:hint="eastAsia"/>
          <w:szCs w:val="24"/>
        </w:rPr>
        <w:tab/>
        <w:t>需經事前審查以核准使用，每次申請事前審查以3個療程為限；首次再申請須檢附達到CR或PR的證明方可續用；其後續申請須證明疾病無惡化方可續用。若病情惡化即須停用。</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3.</w:t>
      </w:r>
      <w:r w:rsidRPr="00DA176D">
        <w:rPr>
          <w:rFonts w:ascii="標楷體" w:eastAsia="標楷體" w:hAnsi="標楷體" w:hint="eastAsia"/>
          <w:szCs w:val="24"/>
        </w:rPr>
        <w:tab/>
        <w:t>總療程以12個療程為上限；每位病人一生限用一次連續療程(12個療程)，不得重複申請。</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4.</w:t>
      </w:r>
      <w:r w:rsidRPr="00DA176D">
        <w:rPr>
          <w:rFonts w:ascii="標楷體" w:eastAsia="標楷體" w:hAnsi="標楷體" w:hint="eastAsia"/>
          <w:szCs w:val="24"/>
        </w:rPr>
        <w:tab/>
        <w:t>限以obinutuzumab 1,000mg作為療程之前置治療，僅用以降低療程中誘導細胞激素釋放症候群(CRS)的風險。</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5.</w:t>
      </w:r>
      <w:r w:rsidRPr="00DA176D">
        <w:rPr>
          <w:rFonts w:ascii="標楷體" w:eastAsia="標楷體" w:hAnsi="標楷體" w:hint="eastAsia"/>
          <w:szCs w:val="24"/>
        </w:rPr>
        <w:tab/>
        <w:t>執行醫師須完全符合下列資格：</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color w:val="000000"/>
        </w:rPr>
        <w:t>(1)</w:t>
      </w:r>
      <w:r w:rsidRPr="00DA176D">
        <w:rPr>
          <w:rFonts w:ascii="標楷體" w:eastAsia="標楷體" w:hAnsi="標楷體" w:hint="eastAsia"/>
          <w:color w:val="000000"/>
        </w:rPr>
        <w:t>醫師必須為血液病或造血幹細胞移植專科醫師且須完成血液病或造血幹細胞移植的相關照護訓練。</w:t>
      </w:r>
    </w:p>
    <w:p w:rsidR="00DA176D" w:rsidRPr="00DA176D" w:rsidRDefault="00DA176D" w:rsidP="00A33F1B">
      <w:pPr>
        <w:spacing w:line="400" w:lineRule="exact"/>
        <w:ind w:left="1134" w:hanging="386"/>
        <w:rPr>
          <w:rFonts w:ascii="標楷體" w:eastAsia="標楷體" w:hAnsi="標楷體"/>
          <w:color w:val="000000"/>
        </w:rPr>
      </w:pPr>
      <w:r w:rsidRPr="00DA176D">
        <w:rPr>
          <w:rFonts w:ascii="標楷體" w:eastAsia="標楷體" w:hAnsi="標楷體" w:hint="eastAsia"/>
          <w:color w:val="000000"/>
        </w:rPr>
        <w:t>(2)每兩年接受至少6小時中華民國血液及骨髓移植學會或中華民國血液病學會舉辦之雙特異性抗體相關治療教育訓練。</w:t>
      </w:r>
    </w:p>
    <w:p w:rsidR="00DA176D" w:rsidRPr="00DA176D" w:rsidRDefault="00DA176D" w:rsidP="005142EB">
      <w:pPr>
        <w:spacing w:line="400" w:lineRule="exact"/>
        <w:ind w:left="794" w:hanging="284"/>
        <w:rPr>
          <w:rFonts w:ascii="標楷體" w:eastAsia="標楷體" w:hAnsi="標楷體"/>
          <w:szCs w:val="24"/>
        </w:rPr>
      </w:pPr>
      <w:r w:rsidRPr="00DA176D">
        <w:rPr>
          <w:rFonts w:ascii="標楷體" w:eastAsia="標楷體" w:hAnsi="標楷體" w:hint="eastAsia"/>
          <w:szCs w:val="24"/>
        </w:rPr>
        <w:t>6.</w:t>
      </w:r>
      <w:r w:rsidRPr="00DA176D">
        <w:rPr>
          <w:rFonts w:ascii="標楷體" w:eastAsia="標楷體" w:hAnsi="標楷體" w:hint="eastAsia"/>
          <w:szCs w:val="24"/>
        </w:rPr>
        <w:tab/>
        <w:t>本藥品、polatuzumab vedotin及 epcoritamab僅得擇一給付，治療失敗後不得互換。</w:t>
      </w:r>
    </w:p>
    <w:p w:rsidR="004C2511" w:rsidRPr="004C2511" w:rsidRDefault="004C2511" w:rsidP="005142EB">
      <w:pPr>
        <w:spacing w:line="400" w:lineRule="exact"/>
        <w:rPr>
          <w:rFonts w:ascii="標楷體" w:eastAsia="標楷體" w:hAnsi="標楷體"/>
          <w:kern w:val="2"/>
          <w:szCs w:val="24"/>
        </w:rPr>
      </w:pPr>
      <w:r w:rsidRPr="004C2511">
        <w:rPr>
          <w:rFonts w:ascii="標楷體" w:eastAsia="標楷體" w:hAnsi="標楷體"/>
          <w:kern w:val="0"/>
          <w:szCs w:val="24"/>
        </w:rPr>
        <w:t>9.</w:t>
      </w:r>
      <w:r w:rsidRPr="004C2511">
        <w:rPr>
          <w:rFonts w:ascii="標楷體" w:eastAsia="標楷體" w:hAnsi="標楷體"/>
          <w:kern w:val="2"/>
          <w:szCs w:val="24"/>
        </w:rPr>
        <w:t>121</w:t>
      </w:r>
      <w:r w:rsidRPr="004C2511">
        <w:rPr>
          <w:rFonts w:ascii="標楷體" w:eastAsia="標楷體" w:hAnsi="標楷體"/>
          <w:kern w:val="0"/>
          <w:szCs w:val="24"/>
        </w:rPr>
        <w:t>.Epcoritamab (</w:t>
      </w:r>
      <w:r w:rsidRPr="004C2511">
        <w:rPr>
          <w:rFonts w:ascii="標楷體" w:eastAsia="標楷體" w:hAnsi="標楷體" w:hint="eastAsia"/>
          <w:kern w:val="0"/>
          <w:szCs w:val="24"/>
        </w:rPr>
        <w:t>如</w:t>
      </w:r>
      <w:r w:rsidRPr="004C2511">
        <w:rPr>
          <w:rFonts w:ascii="標楷體" w:eastAsia="標楷體" w:hAnsi="標楷體"/>
          <w:kern w:val="0"/>
          <w:szCs w:val="24"/>
        </w:rPr>
        <w:t>Epkinly)</w:t>
      </w:r>
      <w:r w:rsidRPr="004C2511">
        <w:rPr>
          <w:rFonts w:ascii="標楷體" w:eastAsia="標楷體" w:hAnsi="標楷體" w:hint="eastAsia"/>
          <w:kern w:val="0"/>
          <w:szCs w:val="24"/>
        </w:rPr>
        <w:t>：</w:t>
      </w:r>
      <w:r w:rsidRPr="004C2511">
        <w:rPr>
          <w:rFonts w:ascii="標楷體" w:eastAsia="標楷體" w:hAnsi="標楷體"/>
          <w:kern w:val="0"/>
          <w:szCs w:val="24"/>
        </w:rPr>
        <w:t>(</w:t>
      </w:r>
      <w:r w:rsidRPr="004C2511">
        <w:rPr>
          <w:rFonts w:ascii="標楷體" w:eastAsia="標楷體" w:hAnsi="標楷體"/>
          <w:kern w:val="2"/>
          <w:szCs w:val="24"/>
        </w:rPr>
        <w:t>114</w:t>
      </w:r>
      <w:r w:rsidRPr="004C2511">
        <w:rPr>
          <w:rFonts w:ascii="標楷體" w:eastAsia="標楷體" w:hAnsi="標楷體"/>
          <w:kern w:val="0"/>
          <w:szCs w:val="24"/>
        </w:rPr>
        <w:t>/</w:t>
      </w:r>
      <w:r w:rsidRPr="004C2511">
        <w:rPr>
          <w:rFonts w:ascii="標楷體" w:eastAsia="標楷體" w:hAnsi="標楷體"/>
          <w:kern w:val="2"/>
          <w:szCs w:val="24"/>
        </w:rPr>
        <w:t>8</w:t>
      </w:r>
      <w:r w:rsidRPr="004C2511">
        <w:rPr>
          <w:rFonts w:ascii="標楷體" w:eastAsia="標楷體" w:hAnsi="標楷體"/>
          <w:kern w:val="0"/>
          <w:szCs w:val="24"/>
        </w:rPr>
        <w:t>/1)</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適用於治療先前曾接受至少兩線全身治療之復發性或難治性瀰漫性大</w:t>
      </w:r>
      <w:r w:rsidRPr="004C2511">
        <w:rPr>
          <w:rFonts w:ascii="標楷體" w:eastAsia="標楷體" w:hAnsi="標楷體"/>
          <w:kern w:val="2"/>
          <w:szCs w:val="24"/>
        </w:rPr>
        <w:t>B</w:t>
      </w:r>
      <w:r w:rsidRPr="004C2511">
        <w:rPr>
          <w:rFonts w:ascii="標楷體" w:eastAsia="標楷體" w:hAnsi="標楷體" w:hint="eastAsia"/>
          <w:kern w:val="2"/>
          <w:szCs w:val="24"/>
        </w:rPr>
        <w:t>細胞淋巴瘤</w:t>
      </w:r>
      <w:r w:rsidRPr="004C2511">
        <w:rPr>
          <w:rFonts w:ascii="標楷體" w:eastAsia="標楷體" w:hAnsi="標楷體"/>
          <w:kern w:val="2"/>
          <w:szCs w:val="24"/>
        </w:rPr>
        <w:t xml:space="preserve"> (DLBCL) </w:t>
      </w:r>
      <w:r w:rsidRPr="004C2511">
        <w:rPr>
          <w:rFonts w:ascii="標楷體" w:eastAsia="標楷體" w:hAnsi="標楷體" w:hint="eastAsia"/>
          <w:kern w:val="2"/>
          <w:szCs w:val="24"/>
        </w:rPr>
        <w:t>的成人病人，且須完全符合以下條件：</w:t>
      </w:r>
    </w:p>
    <w:p w:rsidR="004C2511" w:rsidRPr="00A33F1B" w:rsidRDefault="004C2511" w:rsidP="00A33F1B">
      <w:pPr>
        <w:spacing w:line="400" w:lineRule="exact"/>
        <w:ind w:left="851" w:hanging="386"/>
        <w:rPr>
          <w:rFonts w:ascii="標楷體" w:eastAsia="標楷體" w:hAnsi="標楷體"/>
          <w:color w:val="000000"/>
        </w:rPr>
      </w:pPr>
      <w:r w:rsidRPr="004C2511">
        <w:rPr>
          <w:rFonts w:ascii="標楷體" w:eastAsia="標楷體" w:hAnsi="標楷體"/>
          <w:kern w:val="2"/>
          <w:szCs w:val="24"/>
        </w:rPr>
        <w:t>(1)</w:t>
      </w:r>
      <w:r w:rsidRPr="004C2511">
        <w:rPr>
          <w:rFonts w:ascii="標楷體" w:eastAsia="標楷體" w:hAnsi="標楷體" w:hint="eastAsia"/>
          <w:kern w:val="2"/>
          <w:szCs w:val="24"/>
        </w:rPr>
        <w:t>具</w:t>
      </w:r>
      <w:r w:rsidRPr="004C2511">
        <w:rPr>
          <w:rFonts w:ascii="標楷體" w:eastAsia="標楷體" w:hAnsi="標楷體"/>
          <w:kern w:val="2"/>
          <w:szCs w:val="24"/>
        </w:rPr>
        <w:t>CD20</w:t>
      </w:r>
      <w:r w:rsidRPr="004C2511">
        <w:rPr>
          <w:rFonts w:ascii="標楷體" w:eastAsia="標楷體" w:hAnsi="標楷體" w:hint="eastAsia"/>
          <w:kern w:val="2"/>
          <w:szCs w:val="24"/>
        </w:rPr>
        <w:t>抗</w:t>
      </w:r>
      <w:r w:rsidRPr="00A33F1B">
        <w:rPr>
          <w:rFonts w:ascii="標楷體" w:eastAsia="標楷體" w:hAnsi="標楷體" w:hint="eastAsia"/>
          <w:color w:val="000000"/>
        </w:rPr>
        <w:t>原陽性。</w:t>
      </w:r>
    </w:p>
    <w:p w:rsidR="004C2511" w:rsidRPr="00A33F1B"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color w:val="000000"/>
        </w:rPr>
        <w:t>(2)</w:t>
      </w:r>
      <w:r w:rsidRPr="00A33F1B">
        <w:rPr>
          <w:rFonts w:ascii="標楷體" w:eastAsia="標楷體" w:hAnsi="標楷體" w:hint="eastAsia"/>
          <w:color w:val="000000"/>
        </w:rPr>
        <w:t>一線</w:t>
      </w:r>
      <w:r w:rsidRPr="00A33F1B">
        <w:rPr>
          <w:rFonts w:ascii="標楷體" w:eastAsia="標楷體" w:hAnsi="標楷體" w:hint="eastAsia"/>
          <w:kern w:val="2"/>
          <w:szCs w:val="24"/>
        </w:rPr>
        <w:t>曾接受</w:t>
      </w:r>
      <w:r w:rsidRPr="00A33F1B">
        <w:rPr>
          <w:rFonts w:ascii="標楷體" w:eastAsia="標楷體" w:hAnsi="標楷體"/>
          <w:kern w:val="2"/>
          <w:szCs w:val="24"/>
        </w:rPr>
        <w:t>rituximab</w:t>
      </w:r>
      <w:r w:rsidRPr="00A33F1B">
        <w:rPr>
          <w:rFonts w:ascii="標楷體" w:eastAsia="標楷體" w:hAnsi="標楷體" w:hint="eastAsia"/>
          <w:kern w:val="2"/>
          <w:szCs w:val="24"/>
        </w:rPr>
        <w:t>合併化學治療</w:t>
      </w:r>
      <w:r w:rsidRPr="00A33F1B">
        <w:rPr>
          <w:rFonts w:ascii="標楷體" w:eastAsia="標楷體" w:hAnsi="標楷體"/>
          <w:kern w:val="2"/>
          <w:szCs w:val="24"/>
        </w:rPr>
        <w:t>(</w:t>
      </w:r>
      <w:r w:rsidRPr="00A33F1B">
        <w:rPr>
          <w:rFonts w:ascii="標楷體" w:eastAsia="標楷體" w:hAnsi="標楷體" w:hint="eastAsia"/>
          <w:kern w:val="2"/>
          <w:szCs w:val="24"/>
        </w:rPr>
        <w:t>包含</w:t>
      </w:r>
      <w:r w:rsidRPr="00A33F1B">
        <w:rPr>
          <w:rFonts w:ascii="標楷體" w:eastAsia="標楷體" w:hAnsi="標楷體"/>
          <w:kern w:val="2"/>
          <w:szCs w:val="24"/>
        </w:rPr>
        <w:t>CD20)</w:t>
      </w:r>
      <w:r w:rsidRPr="00A33F1B">
        <w:rPr>
          <w:rFonts w:ascii="標楷體" w:eastAsia="標楷體" w:hAnsi="標楷體" w:hint="eastAsia"/>
          <w:kern w:val="2"/>
          <w:szCs w:val="24"/>
        </w:rPr>
        <w:t>，及含有</w:t>
      </w:r>
      <w:r w:rsidRPr="00A33F1B">
        <w:rPr>
          <w:rFonts w:ascii="標楷體" w:eastAsia="標楷體" w:hAnsi="標楷體"/>
          <w:kern w:val="2"/>
          <w:szCs w:val="24"/>
        </w:rPr>
        <w:t>anthracycline</w:t>
      </w:r>
      <w:r w:rsidRPr="00A33F1B">
        <w:rPr>
          <w:rFonts w:ascii="標楷體" w:eastAsia="標楷體" w:hAnsi="標楷體" w:hint="eastAsia"/>
          <w:kern w:val="2"/>
          <w:szCs w:val="24"/>
        </w:rPr>
        <w:t>類藥物的治療，治療四個療程以上復發或是於治療中發生疾病惡化者。</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hint="eastAsia"/>
          <w:kern w:val="2"/>
          <w:szCs w:val="24"/>
        </w:rPr>
        <w:t>(3)救援治療需</w:t>
      </w:r>
      <w:r w:rsidRPr="004C2511">
        <w:rPr>
          <w:rFonts w:ascii="標楷體" w:eastAsia="標楷體" w:hAnsi="標楷體" w:hint="eastAsia"/>
          <w:kern w:val="2"/>
          <w:szCs w:val="24"/>
        </w:rPr>
        <w:t>符合以下任一條件：</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治療二個療程以上復發或是於治療中發生疾病惡化者。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經造血幹細胞移植治療失敗者。</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(4)ECOG</w:t>
      </w:r>
      <w:r w:rsidRPr="004C2511">
        <w:rPr>
          <w:rFonts w:ascii="標楷體" w:eastAsia="標楷體" w:hAnsi="標楷體" w:hint="eastAsia"/>
          <w:kern w:val="2"/>
          <w:szCs w:val="24"/>
        </w:rPr>
        <w:t>為</w:t>
      </w:r>
      <w:r w:rsidRPr="00A33F1B">
        <w:rPr>
          <w:rFonts w:ascii="標楷體" w:eastAsia="標楷體" w:hAnsi="標楷體"/>
          <w:kern w:val="2"/>
          <w:szCs w:val="24"/>
        </w:rPr>
        <w:t>0</w:t>
      </w:r>
      <w:r w:rsidRPr="00A33F1B">
        <w:rPr>
          <w:rFonts w:ascii="標楷體" w:eastAsia="標楷體" w:hAnsi="標楷體" w:hint="eastAsia"/>
          <w:kern w:val="2"/>
          <w:szCs w:val="24"/>
        </w:rPr>
        <w:t>或</w:t>
      </w:r>
      <w:r w:rsidRPr="00A33F1B">
        <w:rPr>
          <w:rFonts w:ascii="標楷體" w:eastAsia="標楷體" w:hAnsi="標楷體"/>
          <w:kern w:val="2"/>
          <w:szCs w:val="24"/>
        </w:rPr>
        <w:t>1</w:t>
      </w:r>
      <w:r w:rsidRPr="00A33F1B">
        <w:rPr>
          <w:rFonts w:ascii="標楷體" w:eastAsia="標楷體" w:hAnsi="標楷體" w:hint="eastAsia"/>
          <w:kern w:val="2"/>
          <w:szCs w:val="24"/>
        </w:rPr>
        <w:t>。</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(5)</w:t>
      </w:r>
      <w:r w:rsidRPr="00A33F1B">
        <w:rPr>
          <w:rFonts w:ascii="標楷體" w:eastAsia="標楷體" w:hAnsi="標楷體" w:hint="eastAsia"/>
          <w:kern w:val="2"/>
          <w:szCs w:val="24"/>
        </w:rPr>
        <w:t>病人</w:t>
      </w:r>
      <w:r w:rsidRPr="00A33F1B">
        <w:rPr>
          <w:rFonts w:ascii="標楷體" w:eastAsia="標楷體" w:hAnsi="標楷體" w:hint="eastAsia"/>
          <w:color w:val="000000"/>
        </w:rPr>
        <w:t>不</w:t>
      </w:r>
      <w:r w:rsidRPr="004C2511">
        <w:rPr>
          <w:rFonts w:ascii="標楷體" w:eastAsia="標楷體" w:hAnsi="標楷體" w:hint="eastAsia"/>
          <w:kern w:val="2"/>
          <w:szCs w:val="24"/>
        </w:rPr>
        <w:t>得有以下任一疾病</w:t>
      </w:r>
      <w:r w:rsidRPr="004C2511">
        <w:rPr>
          <w:rFonts w:ascii="標楷體" w:eastAsia="標楷體" w:hAnsi="標楷體"/>
          <w:kern w:val="2"/>
          <w:szCs w:val="24"/>
        </w:rPr>
        <w:t>:</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Ⅰ</w:t>
      </w:r>
      <w:r w:rsidRPr="004C2511">
        <w:rPr>
          <w:rFonts w:ascii="標楷體" w:eastAsia="標楷體" w:hAnsi="標楷體"/>
          <w:kern w:val="2"/>
          <w:szCs w:val="24"/>
        </w:rPr>
        <w:t>.</w:t>
      </w:r>
      <w:r w:rsidRPr="004C2511">
        <w:rPr>
          <w:rFonts w:ascii="標楷體" w:eastAsia="標楷體" w:hAnsi="標楷體" w:hint="eastAsia"/>
          <w:kern w:val="2"/>
          <w:szCs w:val="24"/>
        </w:rPr>
        <w:t>中樞神經系統淋巴瘤或中樞神經疾病。</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Ⅱ</w:t>
      </w:r>
      <w:r w:rsidRPr="004C2511">
        <w:rPr>
          <w:rFonts w:ascii="標楷體" w:eastAsia="標楷體" w:hAnsi="標楷體"/>
          <w:kern w:val="2"/>
          <w:szCs w:val="24"/>
        </w:rPr>
        <w:t>.</w:t>
      </w:r>
      <w:r w:rsidRPr="004C2511">
        <w:rPr>
          <w:rFonts w:ascii="標楷體" w:eastAsia="標楷體" w:hAnsi="標楷體" w:hint="eastAsia"/>
          <w:kern w:val="2"/>
          <w:szCs w:val="24"/>
        </w:rPr>
        <w:t>嚴重的心血管疾病，如</w:t>
      </w:r>
      <w:r w:rsidRPr="004C2511">
        <w:rPr>
          <w:rFonts w:ascii="標楷體" w:eastAsia="標楷體" w:hAnsi="標楷體"/>
          <w:kern w:val="2"/>
          <w:szCs w:val="24"/>
        </w:rPr>
        <w:t xml:space="preserve">NYHA (New York Heart Association) Class </w:t>
      </w:r>
      <w:r w:rsidRPr="004C2511">
        <w:rPr>
          <w:rFonts w:ascii="標楷體" w:eastAsia="標楷體" w:hAnsi="標楷體" w:hint="eastAsia"/>
          <w:kern w:val="2"/>
          <w:szCs w:val="24"/>
        </w:rPr>
        <w:t>Ⅲ或Ⅳ。</w:t>
      </w:r>
    </w:p>
    <w:p w:rsidR="004C2511" w:rsidRPr="004C2511" w:rsidRDefault="004C2511" w:rsidP="00A33F1B">
      <w:pPr>
        <w:spacing w:line="400" w:lineRule="exact"/>
        <w:ind w:leftChars="421" w:left="1132" w:hangingChars="51" w:hanging="122"/>
        <w:rPr>
          <w:rFonts w:ascii="標楷體" w:eastAsia="標楷體" w:hAnsi="標楷體"/>
          <w:kern w:val="2"/>
          <w:szCs w:val="24"/>
        </w:rPr>
      </w:pPr>
      <w:r w:rsidRPr="004C2511">
        <w:rPr>
          <w:rFonts w:ascii="標楷體" w:eastAsia="標楷體" w:hAnsi="標楷體" w:hint="eastAsia"/>
          <w:kern w:val="2"/>
          <w:szCs w:val="24"/>
        </w:rPr>
        <w:t>Ⅲ</w:t>
      </w:r>
      <w:r w:rsidRPr="004C2511">
        <w:rPr>
          <w:rFonts w:ascii="標楷體" w:eastAsia="標楷體" w:hAnsi="標楷體"/>
          <w:kern w:val="2"/>
          <w:szCs w:val="24"/>
        </w:rPr>
        <w:t>.</w:t>
      </w:r>
      <w:r w:rsidRPr="004C2511">
        <w:rPr>
          <w:rFonts w:ascii="標楷體" w:eastAsia="標楷體" w:hAnsi="標楷體" w:hint="eastAsia"/>
          <w:kern w:val="2"/>
          <w:szCs w:val="24"/>
        </w:rPr>
        <w:t>自體免疫疾病正積極治療者。</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2.</w:t>
      </w:r>
      <w:r w:rsidRPr="004C2511">
        <w:rPr>
          <w:rFonts w:ascii="標楷體" w:eastAsia="標楷體" w:hAnsi="標楷體" w:hint="eastAsia"/>
          <w:kern w:val="2"/>
          <w:szCs w:val="24"/>
        </w:rPr>
        <w:t>須經事前審查以核准使用，每次申請事前審查以</w:t>
      </w:r>
      <w:r w:rsidRPr="004C2511">
        <w:rPr>
          <w:rFonts w:ascii="標楷體" w:eastAsia="標楷體" w:hAnsi="標楷體"/>
          <w:kern w:val="2"/>
          <w:szCs w:val="24"/>
        </w:rPr>
        <w:t>3</w:t>
      </w:r>
      <w:r w:rsidRPr="004C2511">
        <w:rPr>
          <w:rFonts w:ascii="標楷體" w:eastAsia="標楷體" w:hAnsi="標楷體" w:hint="eastAsia"/>
          <w:kern w:val="2"/>
          <w:szCs w:val="24"/>
        </w:rPr>
        <w:t>個療程為限；首次再申請須檢附達到</w:t>
      </w:r>
      <w:r w:rsidRPr="004C2511">
        <w:rPr>
          <w:rFonts w:ascii="標楷體" w:eastAsia="標楷體" w:hAnsi="標楷體"/>
          <w:kern w:val="2"/>
          <w:szCs w:val="24"/>
        </w:rPr>
        <w:t>CR</w:t>
      </w:r>
      <w:r w:rsidRPr="004C2511">
        <w:rPr>
          <w:rFonts w:ascii="標楷體" w:eastAsia="標楷體" w:hAnsi="標楷體" w:hint="eastAsia"/>
          <w:kern w:val="2"/>
          <w:szCs w:val="24"/>
        </w:rPr>
        <w:t>或</w:t>
      </w:r>
      <w:r w:rsidRPr="004C2511">
        <w:rPr>
          <w:rFonts w:ascii="標楷體" w:eastAsia="標楷體" w:hAnsi="標楷體"/>
          <w:kern w:val="2"/>
          <w:szCs w:val="24"/>
        </w:rPr>
        <w:t>PR</w:t>
      </w:r>
      <w:r w:rsidRPr="004C2511">
        <w:rPr>
          <w:rFonts w:ascii="標楷體" w:eastAsia="標楷體" w:hAnsi="標楷體" w:hint="eastAsia"/>
          <w:kern w:val="2"/>
          <w:szCs w:val="24"/>
        </w:rPr>
        <w:t>的證明方可續用；其後續申請須證明疾病無惡化方可續用。若病情惡化即須停用。</w:t>
      </w:r>
    </w:p>
    <w:p w:rsidR="004C2511" w:rsidRPr="00A33F1B"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3.</w:t>
      </w:r>
      <w:r w:rsidRPr="004C2511">
        <w:rPr>
          <w:rFonts w:ascii="標楷體" w:eastAsia="標楷體" w:hAnsi="標楷體" w:hint="eastAsia"/>
          <w:kern w:val="2"/>
          <w:szCs w:val="24"/>
        </w:rPr>
        <w:t>總療程以</w:t>
      </w:r>
      <w:r w:rsidRPr="004C2511">
        <w:rPr>
          <w:rFonts w:ascii="標楷體" w:eastAsia="標楷體" w:hAnsi="標楷體"/>
          <w:kern w:val="2"/>
          <w:szCs w:val="24"/>
        </w:rPr>
        <w:t>12</w:t>
      </w:r>
      <w:r w:rsidRPr="004C2511">
        <w:rPr>
          <w:rFonts w:ascii="標楷體" w:eastAsia="標楷體" w:hAnsi="標楷體" w:hint="eastAsia"/>
          <w:kern w:val="2"/>
          <w:szCs w:val="24"/>
        </w:rPr>
        <w:t>個療程為上限；每位病人一生限用一次連續療程</w:t>
      </w:r>
      <w:r w:rsidRPr="004C2511">
        <w:rPr>
          <w:rFonts w:ascii="標楷體" w:eastAsia="標楷體" w:hAnsi="標楷體"/>
          <w:kern w:val="2"/>
          <w:szCs w:val="24"/>
        </w:rPr>
        <w:t>(12</w:t>
      </w:r>
      <w:r w:rsidRPr="004C2511">
        <w:rPr>
          <w:rFonts w:ascii="標楷體" w:eastAsia="標楷體" w:hAnsi="標楷體" w:hint="eastAsia"/>
          <w:kern w:val="2"/>
          <w:szCs w:val="24"/>
        </w:rPr>
        <w:t>個療程</w:t>
      </w:r>
      <w:r w:rsidRPr="004C2511">
        <w:rPr>
          <w:rFonts w:ascii="標楷體" w:eastAsia="標楷體" w:hAnsi="標楷體"/>
          <w:kern w:val="2"/>
          <w:szCs w:val="24"/>
        </w:rPr>
        <w:t>)</w:t>
      </w:r>
      <w:r w:rsidRPr="004C2511">
        <w:rPr>
          <w:rFonts w:ascii="標楷體" w:eastAsia="標楷體" w:hAnsi="標楷體" w:hint="eastAsia"/>
          <w:kern w:val="2"/>
          <w:szCs w:val="24"/>
        </w:rPr>
        <w:t>，不得重複申請。</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4.</w:t>
      </w:r>
      <w:r w:rsidRPr="004C2511">
        <w:rPr>
          <w:rFonts w:ascii="標楷體" w:eastAsia="標楷體" w:hAnsi="標楷體" w:hint="eastAsia"/>
          <w:kern w:val="2"/>
          <w:szCs w:val="24"/>
        </w:rPr>
        <w:t>執行醫師須完全符合下列資格：</w:t>
      </w:r>
    </w:p>
    <w:p w:rsidR="004C2511" w:rsidRPr="00A33F1B" w:rsidRDefault="004C2511" w:rsidP="00A33F1B">
      <w:pPr>
        <w:spacing w:line="400" w:lineRule="exact"/>
        <w:ind w:left="851" w:hanging="386"/>
        <w:rPr>
          <w:rFonts w:ascii="標楷體" w:eastAsia="標楷體" w:hAnsi="標楷體"/>
          <w:kern w:val="2"/>
          <w:szCs w:val="24"/>
        </w:rPr>
      </w:pPr>
      <w:r w:rsidRPr="004C2511">
        <w:rPr>
          <w:rFonts w:ascii="標楷體" w:eastAsia="標楷體" w:hAnsi="標楷體"/>
          <w:kern w:val="2"/>
          <w:szCs w:val="24"/>
        </w:rPr>
        <w:t>(1)</w:t>
      </w:r>
      <w:r w:rsidRPr="004C2511">
        <w:rPr>
          <w:rFonts w:ascii="標楷體" w:eastAsia="標楷體" w:hAnsi="標楷體" w:hint="eastAsia"/>
          <w:kern w:val="2"/>
          <w:szCs w:val="24"/>
        </w:rPr>
        <w:t>醫師必須為</w:t>
      </w:r>
      <w:r w:rsidRPr="00A33F1B">
        <w:rPr>
          <w:rFonts w:ascii="標楷體" w:eastAsia="標楷體" w:hAnsi="標楷體" w:hint="eastAsia"/>
          <w:kern w:val="2"/>
          <w:szCs w:val="24"/>
        </w:rPr>
        <w:t>血液病或造血幹細胞移植專科醫師且須完成血液病或造血幹細胞移植的</w:t>
      </w:r>
      <w:r w:rsidRPr="00A33F1B">
        <w:rPr>
          <w:rFonts w:ascii="標楷體" w:eastAsia="標楷體" w:hAnsi="標楷體" w:hint="eastAsia"/>
          <w:kern w:val="2"/>
          <w:szCs w:val="24"/>
        </w:rPr>
        <w:lastRenderedPageBreak/>
        <w:t>相關照護訓練。</w:t>
      </w:r>
    </w:p>
    <w:p w:rsidR="004C2511" w:rsidRPr="004C2511" w:rsidRDefault="004C2511" w:rsidP="00A33F1B">
      <w:pPr>
        <w:spacing w:line="400" w:lineRule="exact"/>
        <w:ind w:left="851" w:hanging="386"/>
        <w:rPr>
          <w:rFonts w:ascii="標楷體" w:eastAsia="標楷體" w:hAnsi="標楷體"/>
          <w:kern w:val="2"/>
          <w:szCs w:val="24"/>
        </w:rPr>
      </w:pPr>
      <w:r w:rsidRPr="00A33F1B">
        <w:rPr>
          <w:rFonts w:ascii="標楷體" w:eastAsia="標楷體" w:hAnsi="標楷體"/>
          <w:kern w:val="2"/>
          <w:szCs w:val="24"/>
        </w:rPr>
        <w:t>(2)</w:t>
      </w:r>
      <w:r w:rsidRPr="00A33F1B">
        <w:rPr>
          <w:rFonts w:ascii="標楷體" w:eastAsia="標楷體" w:hAnsi="標楷體" w:hint="eastAsia"/>
          <w:kern w:val="2"/>
          <w:szCs w:val="24"/>
        </w:rPr>
        <w:t>每兩年接受至</w:t>
      </w:r>
      <w:r w:rsidRPr="004C2511">
        <w:rPr>
          <w:rFonts w:ascii="標楷體" w:eastAsia="標楷體" w:hAnsi="標楷體" w:hint="eastAsia"/>
          <w:kern w:val="2"/>
          <w:szCs w:val="24"/>
        </w:rPr>
        <w:t>少</w:t>
      </w:r>
      <w:r w:rsidRPr="004C2511">
        <w:rPr>
          <w:rFonts w:ascii="標楷體" w:eastAsia="標楷體" w:hAnsi="標楷體"/>
          <w:kern w:val="2"/>
          <w:szCs w:val="24"/>
        </w:rPr>
        <w:t>6</w:t>
      </w:r>
      <w:r w:rsidRPr="004C2511">
        <w:rPr>
          <w:rFonts w:ascii="標楷體" w:eastAsia="標楷體" w:hAnsi="標楷體" w:hint="eastAsia"/>
          <w:kern w:val="2"/>
          <w:szCs w:val="24"/>
        </w:rPr>
        <w:t>小時中華民國血液及骨髓移植學會或中華民國血液病學會舉辦之雙特異性抗體相關治療教育訓練。</w:t>
      </w:r>
    </w:p>
    <w:p w:rsidR="004C2511" w:rsidRPr="004C2511" w:rsidRDefault="004C2511" w:rsidP="005142EB">
      <w:pPr>
        <w:spacing w:line="400" w:lineRule="exact"/>
        <w:ind w:leftChars="118" w:left="566" w:hangingChars="118" w:hanging="283"/>
        <w:rPr>
          <w:rFonts w:ascii="標楷體" w:eastAsia="標楷體" w:hAnsi="標楷體"/>
          <w:kern w:val="2"/>
          <w:szCs w:val="24"/>
        </w:rPr>
      </w:pPr>
      <w:r w:rsidRPr="004C2511">
        <w:rPr>
          <w:rFonts w:ascii="標楷體" w:eastAsia="標楷體" w:hAnsi="標楷體"/>
          <w:kern w:val="2"/>
          <w:szCs w:val="24"/>
        </w:rPr>
        <w:t>5.</w:t>
      </w:r>
      <w:r w:rsidRPr="004C2511">
        <w:rPr>
          <w:rFonts w:ascii="標楷體" w:eastAsia="標楷體" w:hAnsi="標楷體" w:hint="eastAsia"/>
          <w:kern w:val="2"/>
          <w:szCs w:val="24"/>
        </w:rPr>
        <w:t>本藥品、glofitamab、polatuzumab vedotin，三者僅得擇一給付，治療失敗後不得互換。</w:t>
      </w:r>
    </w:p>
    <w:p w:rsidR="00D4365C" w:rsidRPr="00897BF1" w:rsidRDefault="00D4365C" w:rsidP="00D4365C">
      <w:pPr>
        <w:spacing w:line="400" w:lineRule="exact"/>
        <w:ind w:left="290" w:hangingChars="121" w:hanging="290"/>
        <w:rPr>
          <w:rFonts w:ascii="標楷體" w:eastAsia="標楷體" w:hAnsi="標楷體"/>
          <w:szCs w:val="24"/>
        </w:rPr>
      </w:pPr>
      <w:r w:rsidRPr="00897BF1">
        <w:rPr>
          <w:rFonts w:ascii="標楷體" w:eastAsia="標楷體" w:hAnsi="標楷體"/>
          <w:szCs w:val="24"/>
        </w:rPr>
        <w:t>9.</w:t>
      </w:r>
      <w:r w:rsidRPr="00897BF1">
        <w:rPr>
          <w:rFonts w:ascii="標楷體" w:eastAsia="標楷體" w:hAnsi="標楷體" w:hint="eastAsia"/>
          <w:szCs w:val="24"/>
        </w:rPr>
        <w:t>122</w:t>
      </w:r>
      <w:r w:rsidRPr="00897BF1">
        <w:rPr>
          <w:rFonts w:ascii="標楷體" w:eastAsia="標楷體" w:hAnsi="標楷體"/>
          <w:szCs w:val="24"/>
        </w:rPr>
        <w:t>.</w:t>
      </w:r>
      <w:r w:rsidRPr="00897BF1">
        <w:rPr>
          <w:rFonts w:ascii="標楷體" w:eastAsia="標楷體" w:hAnsi="標楷體" w:hint="eastAsia"/>
          <w:szCs w:val="24"/>
        </w:rPr>
        <w:t>As</w:t>
      </w:r>
      <w:r w:rsidRPr="00897BF1">
        <w:rPr>
          <w:rFonts w:ascii="標楷體" w:eastAsia="標楷體" w:hAnsi="標楷體"/>
          <w:szCs w:val="24"/>
        </w:rPr>
        <w:t>ciminib (如Scemblix)：(</w:t>
      </w:r>
      <w:r w:rsidRPr="00897BF1">
        <w:rPr>
          <w:rFonts w:ascii="標楷體" w:eastAsia="標楷體" w:hAnsi="標楷體" w:hint="eastAsia"/>
          <w:szCs w:val="24"/>
        </w:rPr>
        <w:t>114</w:t>
      </w:r>
      <w:r w:rsidRPr="00897BF1">
        <w:rPr>
          <w:rFonts w:ascii="標楷體" w:eastAsia="標楷體" w:hAnsi="標楷體"/>
          <w:szCs w:val="24"/>
        </w:rPr>
        <w:t>/</w:t>
      </w:r>
      <w:r w:rsidRPr="00897BF1">
        <w:rPr>
          <w:rFonts w:ascii="標楷體" w:eastAsia="標楷體" w:hAnsi="標楷體" w:hint="eastAsia"/>
          <w:szCs w:val="24"/>
        </w:rPr>
        <w:t>9</w:t>
      </w:r>
      <w:r w:rsidRPr="00897BF1">
        <w:rPr>
          <w:rFonts w:ascii="標楷體" w:eastAsia="標楷體" w:hAnsi="標楷體"/>
          <w:szCs w:val="24"/>
        </w:rPr>
        <w:t>/1)</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1.</w:t>
      </w:r>
      <w:r w:rsidRPr="00897BF1">
        <w:rPr>
          <w:rFonts w:ascii="標楷體" w:eastAsia="標楷體" w:hAnsi="標楷體" w:hint="eastAsia"/>
          <w:szCs w:val="24"/>
        </w:rPr>
        <w:t>限用於治療先前曾接受2種以上的酪胺酸激酶抑制劑治療，且發生耐受性不良或治療無效的慢性期費城染色體陽性之慢性骨髓性白血病</w:t>
      </w:r>
      <w:r w:rsidRPr="00897BF1">
        <w:rPr>
          <w:rFonts w:ascii="標楷體" w:eastAsia="標楷體" w:hAnsi="標楷體"/>
          <w:szCs w:val="24"/>
        </w:rPr>
        <w:t>(Ph+</w:t>
      </w:r>
      <w:r w:rsidRPr="00897BF1">
        <w:rPr>
          <w:rFonts w:ascii="標楷體" w:eastAsia="標楷體" w:hAnsi="標楷體" w:hint="eastAsia"/>
          <w:szCs w:val="24"/>
        </w:rPr>
        <w:t xml:space="preserve"> </w:t>
      </w:r>
      <w:r w:rsidRPr="00897BF1">
        <w:rPr>
          <w:rFonts w:ascii="標楷體" w:eastAsia="標楷體" w:hAnsi="標楷體"/>
          <w:szCs w:val="24"/>
        </w:rPr>
        <w:t>CML-</w:t>
      </w:r>
      <w:r w:rsidRPr="00897BF1">
        <w:rPr>
          <w:rFonts w:ascii="標楷體" w:eastAsia="標楷體" w:hAnsi="標楷體" w:hint="eastAsia"/>
          <w:szCs w:val="24"/>
        </w:rPr>
        <w:t>c</w:t>
      </w:r>
      <w:r w:rsidRPr="00897BF1">
        <w:rPr>
          <w:rFonts w:ascii="標楷體" w:eastAsia="標楷體" w:hAnsi="標楷體"/>
          <w:szCs w:val="24"/>
        </w:rPr>
        <w:t>hronic phase)</w:t>
      </w:r>
      <w:r w:rsidRPr="00897BF1">
        <w:rPr>
          <w:rFonts w:ascii="標楷體" w:eastAsia="標楷體" w:hAnsi="標楷體" w:hint="eastAsia"/>
          <w:szCs w:val="24"/>
        </w:rPr>
        <w:t>成年病人</w:t>
      </w:r>
      <w:r w:rsidRPr="00897BF1">
        <w:rPr>
          <w:rFonts w:ascii="新細明體" w:hAnsi="新細明體" w:hint="eastAsia"/>
          <w:szCs w:val="24"/>
        </w:rPr>
        <w:t>。</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hint="eastAsia"/>
          <w:szCs w:val="24"/>
        </w:rPr>
        <w:t>2.不能為具有T315I或V299L突變之BCR-ABL融合基因的疾病。</w:t>
      </w:r>
    </w:p>
    <w:p w:rsidR="00D4365C" w:rsidRPr="00897BF1"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3.</w:t>
      </w:r>
      <w:r w:rsidRPr="00897BF1">
        <w:rPr>
          <w:rFonts w:ascii="標楷體" w:eastAsia="標楷體" w:hAnsi="標楷體" w:hint="eastAsia"/>
          <w:szCs w:val="24"/>
        </w:rPr>
        <w:t>使用後無法耐受藥物副作用或發生疾病進展，須停止使用。</w:t>
      </w:r>
    </w:p>
    <w:p w:rsidR="00DA176D" w:rsidRPr="00D4365C" w:rsidRDefault="00D4365C" w:rsidP="00D4365C">
      <w:pPr>
        <w:snapToGrid w:val="0"/>
        <w:spacing w:line="400" w:lineRule="exact"/>
        <w:ind w:left="567" w:hanging="283"/>
        <w:jc w:val="both"/>
        <w:rPr>
          <w:rFonts w:ascii="標楷體" w:eastAsia="標楷體" w:hAnsi="標楷體"/>
          <w:szCs w:val="24"/>
        </w:rPr>
      </w:pPr>
      <w:r w:rsidRPr="00897BF1">
        <w:rPr>
          <w:rFonts w:ascii="標楷體" w:eastAsia="標楷體" w:hAnsi="標楷體"/>
          <w:szCs w:val="24"/>
        </w:rPr>
        <w:t>4.</w:t>
      </w:r>
      <w:r w:rsidRPr="00897BF1">
        <w:rPr>
          <w:rFonts w:ascii="標楷體" w:eastAsia="標楷體" w:hAnsi="標楷體" w:hint="eastAsia"/>
          <w:szCs w:val="24"/>
        </w:rPr>
        <w:t>1~</w:t>
      </w:r>
      <w:r w:rsidRPr="00897BF1">
        <w:rPr>
          <w:rFonts w:ascii="標楷體" w:eastAsia="標楷體" w:hAnsi="標楷體"/>
          <w:szCs w:val="24"/>
        </w:rPr>
        <w:t>2</w:t>
      </w:r>
      <w:r w:rsidRPr="00897BF1">
        <w:rPr>
          <w:rFonts w:ascii="標楷體" w:eastAsia="標楷體" w:hAnsi="標楷體" w:hint="eastAsia"/>
          <w:szCs w:val="24"/>
        </w:rPr>
        <w:t>項規定之疾病診斷或追蹤若為依據基因檢測報告，需符合全民健康保險藥品給付規定之通則十二。</w:t>
      </w:r>
    </w:p>
    <w:p w:rsidR="00D4365C" w:rsidRPr="00EE1F60" w:rsidRDefault="00D4365C" w:rsidP="00D4365C">
      <w:pPr>
        <w:tabs>
          <w:tab w:val="left" w:pos="1418"/>
        </w:tabs>
        <w:spacing w:line="400" w:lineRule="exact"/>
        <w:ind w:left="316" w:hanging="316"/>
        <w:rPr>
          <w:rFonts w:ascii="標楷體" w:eastAsia="標楷體" w:hAnsi="標楷體"/>
          <w:color w:val="000000"/>
          <w:szCs w:val="24"/>
        </w:rPr>
      </w:pPr>
      <w:r w:rsidRPr="00EE1F60">
        <w:rPr>
          <w:rFonts w:ascii="標楷體" w:eastAsia="標楷體" w:hAnsi="標楷體"/>
          <w:color w:val="000000"/>
          <w:szCs w:val="24"/>
        </w:rPr>
        <w:t>9.123.Ripretinib(如Qinlock）：(114/9/1)</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1.適用於治療已接受3種或以上激酶抑制劑(包括imatinib)治療的晚期胃腸道基質瘤(GIST)成人病人。</w:t>
      </w:r>
    </w:p>
    <w:p w:rsidR="00D4365C" w:rsidRPr="00EE1F60" w:rsidRDefault="00D4365C" w:rsidP="00D4365C">
      <w:pPr>
        <w:tabs>
          <w:tab w:val="left" w:pos="1418"/>
        </w:tabs>
        <w:spacing w:line="400" w:lineRule="exact"/>
        <w:ind w:left="567" w:hanging="280"/>
        <w:jc w:val="both"/>
        <w:rPr>
          <w:rFonts w:ascii="標楷體" w:eastAsia="標楷體" w:hAnsi="標楷體"/>
          <w:color w:val="000000"/>
          <w:szCs w:val="24"/>
        </w:rPr>
      </w:pPr>
      <w:r w:rsidRPr="00EE1F60">
        <w:rPr>
          <w:rFonts w:ascii="標楷體" w:eastAsia="標楷體" w:hAnsi="標楷體"/>
          <w:kern w:val="0"/>
          <w:szCs w:val="24"/>
        </w:rPr>
        <w:t>2.需經</w:t>
      </w:r>
      <w:r w:rsidRPr="00EE1F60">
        <w:rPr>
          <w:rFonts w:ascii="標楷體" w:eastAsia="標楷體" w:hAnsi="標楷體"/>
          <w:color w:val="000000"/>
          <w:szCs w:val="24"/>
        </w:rPr>
        <w:t>事前審查核准後使用，每次申請之療程以3個月為限，送審時需檢送影像資料，每3個月評估一次。治療期間出現疾病惡化，則不可繼續使用。</w:t>
      </w:r>
    </w:p>
    <w:p w:rsidR="00D4365C" w:rsidRPr="00EE1F60" w:rsidRDefault="00D4365C" w:rsidP="00D4365C">
      <w:pPr>
        <w:tabs>
          <w:tab w:val="left" w:pos="1418"/>
        </w:tabs>
        <w:spacing w:line="400" w:lineRule="exact"/>
        <w:ind w:left="567" w:hanging="280"/>
        <w:jc w:val="both"/>
        <w:rPr>
          <w:szCs w:val="24"/>
        </w:rPr>
      </w:pPr>
      <w:r w:rsidRPr="00EE1F60">
        <w:rPr>
          <w:rFonts w:ascii="標楷體" w:eastAsia="標楷體" w:hAnsi="標楷體"/>
          <w:color w:val="000000"/>
          <w:szCs w:val="24"/>
        </w:rPr>
        <w:t>3.本藥品不得</w:t>
      </w:r>
      <w:r w:rsidRPr="00EE1F60">
        <w:rPr>
          <w:rFonts w:ascii="標楷體" w:eastAsia="標楷體" w:hAnsi="標楷體"/>
          <w:kern w:val="0"/>
          <w:szCs w:val="24"/>
        </w:rPr>
        <w:t>合併其他藥品，每日至多處方3粒。</w:t>
      </w:r>
    </w:p>
    <w:p w:rsidR="0020695F" w:rsidRPr="00133CA0" w:rsidRDefault="0020695F" w:rsidP="0020695F">
      <w:pPr>
        <w:spacing w:line="400" w:lineRule="exact"/>
        <w:jc w:val="both"/>
        <w:rPr>
          <w:rFonts w:ascii="標楷體" w:eastAsia="標楷體" w:hAnsi="標楷體"/>
          <w:szCs w:val="24"/>
        </w:rPr>
      </w:pPr>
      <w:bookmarkStart w:id="47" w:name="_Hlk209193042"/>
      <w:r w:rsidRPr="00133CA0">
        <w:rPr>
          <w:rFonts w:ascii="標楷體" w:eastAsia="標楷體" w:hAnsi="標楷體"/>
          <w:szCs w:val="24"/>
        </w:rPr>
        <w:t>9.</w:t>
      </w:r>
      <w:r w:rsidRPr="00133CA0">
        <w:rPr>
          <w:rFonts w:ascii="標楷體" w:eastAsia="標楷體" w:hAnsi="標楷體" w:hint="eastAsia"/>
          <w:szCs w:val="24"/>
        </w:rPr>
        <w:t>124</w:t>
      </w:r>
      <w:r w:rsidRPr="00133CA0">
        <w:rPr>
          <w:rFonts w:ascii="標楷體" w:eastAsia="標楷體" w:hAnsi="標楷體"/>
          <w:szCs w:val="24"/>
        </w:rPr>
        <w:t>.</w:t>
      </w:r>
      <w:r w:rsidRPr="00133CA0">
        <w:rPr>
          <w:rFonts w:ascii="標楷體" w:eastAsia="標楷體" w:hAnsi="標楷體" w:hint="eastAsia"/>
          <w:szCs w:val="24"/>
        </w:rPr>
        <w:t>T</w:t>
      </w:r>
      <w:r w:rsidRPr="00133CA0">
        <w:rPr>
          <w:rFonts w:ascii="標楷體" w:eastAsia="標楷體" w:hAnsi="標楷體"/>
          <w:szCs w:val="24"/>
        </w:rPr>
        <w:t>afasitamab（如Minjuvi</w:t>
      </w:r>
      <w:r w:rsidRPr="00133CA0">
        <w:rPr>
          <w:rFonts w:ascii="標楷體" w:eastAsia="標楷體" w:hAnsi="標楷體" w:hint="eastAsia"/>
          <w:szCs w:val="24"/>
        </w:rPr>
        <w:t>）：（114</w:t>
      </w:r>
      <w:r w:rsidRPr="00133CA0">
        <w:rPr>
          <w:rFonts w:ascii="標楷體" w:eastAsia="標楷體" w:hAnsi="標楷體"/>
          <w:szCs w:val="24"/>
        </w:rPr>
        <w:t>/</w:t>
      </w:r>
      <w:r w:rsidRPr="00133CA0">
        <w:rPr>
          <w:rFonts w:ascii="標楷體" w:eastAsia="標楷體" w:hAnsi="標楷體" w:hint="eastAsia"/>
          <w:szCs w:val="24"/>
        </w:rPr>
        <w:t>10</w:t>
      </w:r>
      <w:r w:rsidRPr="00133CA0">
        <w:rPr>
          <w:rFonts w:ascii="標楷體" w:eastAsia="標楷體" w:hAnsi="標楷體"/>
          <w:szCs w:val="24"/>
        </w:rPr>
        <w:t>/1</w:t>
      </w:r>
      <w:r w:rsidRPr="00133CA0">
        <w:rPr>
          <w:rFonts w:ascii="標楷體" w:eastAsia="標楷體" w:hAnsi="標楷體" w:hint="eastAsia"/>
          <w:szCs w:val="24"/>
        </w:rPr>
        <w:t>）</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1.限與</w:t>
      </w:r>
      <w:r w:rsidRPr="00133CA0">
        <w:rPr>
          <w:rFonts w:ascii="標楷體" w:eastAsia="標楷體" w:hAnsi="標楷體"/>
          <w:szCs w:val="24"/>
        </w:rPr>
        <w:t>lenalidomide</w:t>
      </w:r>
      <w:r w:rsidRPr="00133CA0">
        <w:rPr>
          <w:rFonts w:ascii="標楷體" w:eastAsia="標楷體" w:hAnsi="標楷體" w:hint="eastAsia"/>
          <w:szCs w:val="24"/>
        </w:rPr>
        <w:t>併用，適</w:t>
      </w:r>
      <w:bookmarkStart w:id="48" w:name="_Hlk202951206"/>
      <w:r w:rsidRPr="00133CA0">
        <w:rPr>
          <w:rFonts w:ascii="標楷體" w:eastAsia="標楷體" w:hAnsi="標楷體" w:hint="eastAsia"/>
          <w:szCs w:val="24"/>
        </w:rPr>
        <w:t>用於經一線全身治療含</w:t>
      </w:r>
      <w:r w:rsidRPr="00133CA0">
        <w:rPr>
          <w:rFonts w:ascii="標楷體" w:eastAsia="標楷體" w:hAnsi="標楷體"/>
          <w:szCs w:val="24"/>
        </w:rPr>
        <w:t>rituximab</w:t>
      </w:r>
      <w:r w:rsidRPr="00133CA0">
        <w:rPr>
          <w:rFonts w:ascii="標楷體" w:eastAsia="標楷體" w:hAnsi="標楷體" w:hint="eastAsia"/>
          <w:szCs w:val="24"/>
        </w:rPr>
        <w:t>治療復發型，不適合接受造血幹細胞移植瀰漫性大型</w:t>
      </w:r>
      <w:r w:rsidRPr="00133CA0">
        <w:rPr>
          <w:rFonts w:ascii="標楷體" w:eastAsia="標楷體" w:hAnsi="標楷體"/>
          <w:szCs w:val="24"/>
        </w:rPr>
        <w:t>B</w:t>
      </w:r>
      <w:r w:rsidRPr="00133CA0">
        <w:rPr>
          <w:rFonts w:ascii="標楷體" w:eastAsia="標楷體" w:hAnsi="標楷體" w:hint="eastAsia"/>
          <w:szCs w:val="24"/>
        </w:rPr>
        <w:t>細胞淋巴瘤</w:t>
      </w:r>
      <w:r w:rsidRPr="00133CA0">
        <w:rPr>
          <w:rFonts w:ascii="標楷體" w:eastAsia="標楷體" w:hAnsi="標楷體"/>
          <w:szCs w:val="24"/>
        </w:rPr>
        <w:t>(DLBCL)</w:t>
      </w:r>
      <w:r w:rsidRPr="00133CA0">
        <w:rPr>
          <w:rFonts w:ascii="標楷體" w:eastAsia="標楷體" w:hAnsi="標楷體" w:hint="eastAsia"/>
          <w:szCs w:val="24"/>
        </w:rPr>
        <w:t>成人病人</w:t>
      </w:r>
      <w:bookmarkEnd w:id="48"/>
      <w:r w:rsidRPr="00133CA0">
        <w:rPr>
          <w:rFonts w:ascii="標楷體" w:eastAsia="標楷體" w:hAnsi="標楷體" w:hint="eastAsia"/>
          <w:szCs w:val="24"/>
        </w:rPr>
        <w:t>，且須完全符合以下條件：</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(1)具</w:t>
      </w:r>
      <w:r w:rsidRPr="00133CA0">
        <w:rPr>
          <w:rFonts w:ascii="標楷體" w:eastAsia="標楷體" w:hAnsi="標楷體"/>
          <w:szCs w:val="24"/>
        </w:rPr>
        <w:t>CD19</w:t>
      </w:r>
      <w:r w:rsidRPr="00133CA0">
        <w:rPr>
          <w:rFonts w:ascii="標楷體" w:eastAsia="標楷體" w:hAnsi="標楷體" w:hint="eastAsia"/>
          <w:szCs w:val="24"/>
        </w:rPr>
        <w:t>抗原陽性。</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(2)一線曾接受</w:t>
      </w:r>
      <w:r w:rsidRPr="00133CA0">
        <w:rPr>
          <w:rFonts w:ascii="標楷體" w:eastAsia="標楷體" w:hAnsi="標楷體"/>
          <w:szCs w:val="24"/>
        </w:rPr>
        <w:t>rituximab</w:t>
      </w:r>
      <w:r w:rsidRPr="00133CA0">
        <w:rPr>
          <w:rFonts w:ascii="標楷體" w:eastAsia="標楷體" w:hAnsi="標楷體" w:hint="eastAsia"/>
          <w:szCs w:val="24"/>
        </w:rPr>
        <w:t>合併化學治療</w:t>
      </w:r>
      <w:r w:rsidRPr="00133CA0">
        <w:rPr>
          <w:rFonts w:ascii="標楷體" w:eastAsia="標楷體" w:hAnsi="標楷體"/>
          <w:szCs w:val="24"/>
        </w:rPr>
        <w:t>(</w:t>
      </w:r>
      <w:r w:rsidRPr="00133CA0">
        <w:rPr>
          <w:rFonts w:ascii="標楷體" w:eastAsia="標楷體" w:hAnsi="標楷體" w:hint="eastAsia"/>
          <w:szCs w:val="24"/>
        </w:rPr>
        <w:t>包含</w:t>
      </w:r>
      <w:r w:rsidRPr="00133CA0">
        <w:rPr>
          <w:rFonts w:ascii="標楷體" w:eastAsia="標楷體" w:hAnsi="標楷體"/>
          <w:szCs w:val="24"/>
        </w:rPr>
        <w:t>CD20)</w:t>
      </w:r>
      <w:r w:rsidRPr="00133CA0">
        <w:rPr>
          <w:rFonts w:ascii="標楷體" w:eastAsia="標楷體" w:hAnsi="標楷體" w:hint="eastAsia"/>
          <w:szCs w:val="24"/>
        </w:rPr>
        <w:t>，及含有</w:t>
      </w:r>
      <w:r w:rsidRPr="00133CA0">
        <w:rPr>
          <w:rFonts w:ascii="標楷體" w:eastAsia="標楷體" w:hAnsi="標楷體"/>
          <w:szCs w:val="24"/>
        </w:rPr>
        <w:t>anthracycline</w:t>
      </w:r>
      <w:r w:rsidRPr="00133CA0">
        <w:rPr>
          <w:rFonts w:ascii="標楷體" w:eastAsia="標楷體" w:hAnsi="標楷體" w:hint="eastAsia"/>
          <w:szCs w:val="24"/>
        </w:rPr>
        <w:t>類藥物的治療，治療四個療程以上並於1</w:t>
      </w:r>
      <w:r w:rsidRPr="00133CA0">
        <w:rPr>
          <w:rFonts w:ascii="標楷體" w:eastAsia="標楷體" w:hAnsi="標楷體"/>
          <w:szCs w:val="24"/>
        </w:rPr>
        <w:t>2</w:t>
      </w:r>
      <w:r w:rsidRPr="00133CA0">
        <w:rPr>
          <w:rFonts w:ascii="標楷體" w:eastAsia="標楷體" w:hAnsi="標楷體" w:hint="eastAsia"/>
          <w:szCs w:val="24"/>
        </w:rPr>
        <w:t>個月內復發者。</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(3)</w:t>
      </w:r>
      <w:r w:rsidRPr="00133CA0">
        <w:rPr>
          <w:rFonts w:ascii="標楷體" w:eastAsia="標楷體" w:hAnsi="標楷體"/>
          <w:szCs w:val="24"/>
        </w:rPr>
        <w:t>ECOG</w:t>
      </w:r>
      <w:r w:rsidRPr="00133CA0">
        <w:rPr>
          <w:rFonts w:ascii="標楷體" w:eastAsia="標楷體" w:hAnsi="標楷體" w:hint="eastAsia"/>
          <w:szCs w:val="24"/>
        </w:rPr>
        <w:t>為</w:t>
      </w:r>
      <w:r w:rsidRPr="00133CA0">
        <w:rPr>
          <w:rFonts w:ascii="標楷體" w:eastAsia="標楷體" w:hAnsi="標楷體"/>
          <w:szCs w:val="24"/>
        </w:rPr>
        <w:t>0</w:t>
      </w:r>
      <w:r w:rsidRPr="00133CA0">
        <w:rPr>
          <w:rFonts w:ascii="標楷體" w:eastAsia="標楷體" w:hAnsi="標楷體" w:hint="eastAsia"/>
          <w:szCs w:val="24"/>
        </w:rPr>
        <w:t>或</w:t>
      </w:r>
      <w:r w:rsidRPr="00133CA0">
        <w:rPr>
          <w:rFonts w:ascii="標楷體" w:eastAsia="標楷體" w:hAnsi="標楷體"/>
          <w:szCs w:val="24"/>
        </w:rPr>
        <w:t>1</w:t>
      </w:r>
      <w:r w:rsidRPr="00133CA0">
        <w:rPr>
          <w:rFonts w:ascii="標楷體" w:eastAsia="標楷體" w:hAnsi="標楷體" w:hint="eastAsia"/>
          <w:szCs w:val="24"/>
        </w:rPr>
        <w:t>。</w:t>
      </w:r>
    </w:p>
    <w:p w:rsidR="0020695F" w:rsidRPr="00133CA0" w:rsidRDefault="0020695F" w:rsidP="0020695F">
      <w:pPr>
        <w:spacing w:line="400" w:lineRule="exact"/>
        <w:ind w:leftChars="177" w:left="706" w:hangingChars="117" w:hanging="281"/>
        <w:rPr>
          <w:rFonts w:ascii="標楷體" w:eastAsia="標楷體" w:hAnsi="標楷體"/>
          <w:szCs w:val="24"/>
        </w:rPr>
      </w:pPr>
      <w:r w:rsidRPr="00133CA0">
        <w:rPr>
          <w:rFonts w:ascii="標楷體" w:eastAsia="標楷體" w:hAnsi="標楷體" w:hint="eastAsia"/>
          <w:szCs w:val="24"/>
        </w:rPr>
        <w:t>(4)病人不得有以下任一疾病</w:t>
      </w:r>
      <w:r w:rsidRPr="00133CA0">
        <w:rPr>
          <w:rFonts w:ascii="標楷體" w:eastAsia="標楷體" w:hAnsi="標楷體"/>
          <w:szCs w:val="24"/>
        </w:rPr>
        <w:t>:</w:t>
      </w:r>
    </w:p>
    <w:p w:rsidR="0020695F" w:rsidRPr="00133CA0" w:rsidRDefault="0020695F" w:rsidP="0020695F">
      <w:pPr>
        <w:spacing w:line="400" w:lineRule="exact"/>
        <w:ind w:leftChars="254" w:left="850" w:hangingChars="100" w:hanging="240"/>
        <w:rPr>
          <w:rFonts w:ascii="標楷體" w:eastAsia="標楷體" w:hAnsi="標楷體"/>
          <w:szCs w:val="24"/>
        </w:rPr>
      </w:pPr>
      <w:r w:rsidRPr="00133CA0">
        <w:rPr>
          <w:rFonts w:ascii="標楷體" w:eastAsia="標楷體" w:hAnsi="標楷體" w:hint="eastAsia"/>
          <w:szCs w:val="24"/>
        </w:rPr>
        <w:t>Ⅰ.中樞神經系統淋巴瘤或中樞神經疾病。</w:t>
      </w:r>
    </w:p>
    <w:p w:rsidR="0020695F" w:rsidRPr="00133CA0" w:rsidRDefault="0020695F" w:rsidP="0020695F">
      <w:pPr>
        <w:spacing w:line="400" w:lineRule="exact"/>
        <w:ind w:leftChars="254" w:left="850" w:hangingChars="100" w:hanging="240"/>
        <w:rPr>
          <w:rFonts w:ascii="標楷體" w:eastAsia="標楷體" w:hAnsi="標楷體"/>
          <w:szCs w:val="24"/>
        </w:rPr>
      </w:pPr>
      <w:r w:rsidRPr="00133CA0">
        <w:rPr>
          <w:rFonts w:ascii="標楷體" w:eastAsia="標楷體" w:hAnsi="標楷體" w:hint="eastAsia"/>
          <w:szCs w:val="24"/>
        </w:rPr>
        <w:t>Ⅱ.嚴重的心血管疾病，如</w:t>
      </w:r>
      <w:r w:rsidRPr="00133CA0">
        <w:rPr>
          <w:rFonts w:ascii="標楷體" w:eastAsia="標楷體" w:hAnsi="標楷體"/>
          <w:szCs w:val="24"/>
        </w:rPr>
        <w:t xml:space="preserve">NYHA (New York Heart Association) Class </w:t>
      </w:r>
      <w:r w:rsidRPr="00133CA0">
        <w:rPr>
          <w:rFonts w:ascii="標楷體" w:eastAsia="標楷體" w:hAnsi="標楷體" w:hint="eastAsia"/>
          <w:szCs w:val="24"/>
        </w:rPr>
        <w:t>Ⅲ或Ⅳ。</w:t>
      </w:r>
    </w:p>
    <w:p w:rsidR="0020695F" w:rsidRPr="00133CA0" w:rsidRDefault="0020695F" w:rsidP="0020695F">
      <w:pPr>
        <w:spacing w:line="400" w:lineRule="exact"/>
        <w:ind w:leftChars="254" w:left="850" w:hangingChars="100" w:hanging="240"/>
        <w:rPr>
          <w:rFonts w:ascii="標楷體" w:eastAsia="標楷體" w:hAnsi="標楷體"/>
          <w:szCs w:val="24"/>
        </w:rPr>
      </w:pPr>
      <w:r w:rsidRPr="00133CA0">
        <w:rPr>
          <w:rFonts w:ascii="標楷體" w:eastAsia="標楷體" w:hAnsi="標楷體" w:hint="eastAsia"/>
          <w:szCs w:val="24"/>
        </w:rPr>
        <w:t>Ⅲ.自體免疫疾病正積極治療者。</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2.須經事前審查核准以使用，每次申請事前審查以</w:t>
      </w:r>
      <w:r w:rsidRPr="00133CA0">
        <w:rPr>
          <w:rFonts w:ascii="標楷體" w:eastAsia="標楷體" w:hAnsi="標楷體"/>
          <w:szCs w:val="24"/>
        </w:rPr>
        <w:t>3</w:t>
      </w:r>
      <w:r w:rsidRPr="00133CA0">
        <w:rPr>
          <w:rFonts w:ascii="標楷體" w:eastAsia="標楷體" w:hAnsi="標楷體" w:hint="eastAsia"/>
          <w:szCs w:val="24"/>
        </w:rPr>
        <w:t>個療程為限，首次再申請須檢附達到</w:t>
      </w:r>
      <w:r w:rsidRPr="00133CA0">
        <w:rPr>
          <w:rFonts w:ascii="標楷體" w:eastAsia="標楷體" w:hAnsi="標楷體"/>
          <w:szCs w:val="24"/>
        </w:rPr>
        <w:t>CR</w:t>
      </w:r>
      <w:r w:rsidRPr="00133CA0">
        <w:rPr>
          <w:rFonts w:ascii="標楷體" w:eastAsia="標楷體" w:hAnsi="標楷體" w:hint="eastAsia"/>
          <w:szCs w:val="24"/>
        </w:rPr>
        <w:t>或</w:t>
      </w:r>
      <w:r w:rsidRPr="00133CA0">
        <w:rPr>
          <w:rFonts w:ascii="標楷體" w:eastAsia="標楷體" w:hAnsi="標楷體"/>
          <w:szCs w:val="24"/>
        </w:rPr>
        <w:t>PR</w:t>
      </w:r>
      <w:r w:rsidRPr="00133CA0">
        <w:rPr>
          <w:rFonts w:ascii="標楷體" w:eastAsia="標楷體" w:hAnsi="標楷體" w:hint="eastAsia"/>
          <w:szCs w:val="24"/>
        </w:rPr>
        <w:t>的證明方可續用；其後續申請須證明疾病無惡化方可續用。若病情惡化即須停用。</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3.總療程以</w:t>
      </w:r>
      <w:r w:rsidRPr="00133CA0">
        <w:rPr>
          <w:rFonts w:ascii="標楷體" w:eastAsia="標楷體" w:hAnsi="標楷體"/>
          <w:szCs w:val="24"/>
        </w:rPr>
        <w:t>12</w:t>
      </w:r>
      <w:r w:rsidRPr="00133CA0">
        <w:rPr>
          <w:rFonts w:ascii="標楷體" w:eastAsia="標楷體" w:hAnsi="標楷體" w:hint="eastAsia"/>
          <w:szCs w:val="24"/>
        </w:rPr>
        <w:t>個療程為上限；每位病人一生限用一次</w:t>
      </w:r>
      <w:r w:rsidRPr="00133CA0">
        <w:rPr>
          <w:rFonts w:ascii="標楷體" w:eastAsia="標楷體" w:hAnsi="標楷體"/>
          <w:szCs w:val="24"/>
        </w:rPr>
        <w:t xml:space="preserve"> (12</w:t>
      </w:r>
      <w:r w:rsidRPr="00133CA0">
        <w:rPr>
          <w:rFonts w:ascii="標楷體" w:eastAsia="標楷體" w:hAnsi="標楷體" w:hint="eastAsia"/>
          <w:szCs w:val="24"/>
        </w:rPr>
        <w:t>個療程</w:t>
      </w:r>
      <w:r w:rsidRPr="00133CA0">
        <w:rPr>
          <w:rFonts w:ascii="標楷體" w:eastAsia="標楷體" w:hAnsi="標楷體"/>
          <w:szCs w:val="24"/>
        </w:rPr>
        <w:t>)</w:t>
      </w:r>
      <w:r w:rsidRPr="00133CA0">
        <w:rPr>
          <w:rFonts w:ascii="標楷體" w:eastAsia="標楷體" w:hAnsi="標楷體" w:hint="eastAsia"/>
          <w:szCs w:val="24"/>
        </w:rPr>
        <w:t>，不得重複申請。</w:t>
      </w:r>
    </w:p>
    <w:p w:rsidR="0020695F" w:rsidRPr="00133CA0" w:rsidRDefault="0020695F" w:rsidP="0020695F">
      <w:pPr>
        <w:spacing w:line="400" w:lineRule="exact"/>
        <w:ind w:leftChars="136" w:left="566" w:hangingChars="100" w:hanging="240"/>
        <w:rPr>
          <w:rFonts w:ascii="標楷體" w:eastAsia="標楷體" w:hAnsi="標楷體"/>
          <w:szCs w:val="24"/>
        </w:rPr>
      </w:pPr>
      <w:r w:rsidRPr="00133CA0">
        <w:rPr>
          <w:rFonts w:ascii="標楷體" w:eastAsia="標楷體" w:hAnsi="標楷體" w:hint="eastAsia"/>
          <w:szCs w:val="24"/>
        </w:rPr>
        <w:t>4.執行醫師須為血液病或造血幹細胞移植專科醫師且須完成血液病或造血幹細胞移植的相關照護訓練。</w:t>
      </w:r>
    </w:p>
    <w:p w:rsidR="00D4365C" w:rsidRDefault="0020695F" w:rsidP="00B60500">
      <w:pPr>
        <w:spacing w:line="400" w:lineRule="exact"/>
        <w:ind w:leftChars="118" w:left="283"/>
        <w:jc w:val="both"/>
        <w:rPr>
          <w:rFonts w:ascii="標楷體" w:eastAsia="標楷體" w:hAnsi="標楷體"/>
          <w:szCs w:val="24"/>
        </w:rPr>
      </w:pPr>
      <w:r w:rsidRPr="00133CA0">
        <w:rPr>
          <w:rFonts w:ascii="標楷體" w:eastAsia="標楷體" w:hAnsi="標楷體" w:hint="eastAsia"/>
          <w:szCs w:val="24"/>
        </w:rPr>
        <w:lastRenderedPageBreak/>
        <w:t>5.病人接受本藥物治療後，不給付造血幹細胞移植。</w:t>
      </w:r>
    </w:p>
    <w:p w:rsidR="00B74E3A" w:rsidRPr="006A2FC8" w:rsidRDefault="00B74E3A" w:rsidP="00B74E3A">
      <w:pPr>
        <w:tabs>
          <w:tab w:val="left" w:pos="1418"/>
        </w:tabs>
        <w:spacing w:line="400" w:lineRule="exact"/>
        <w:ind w:left="567" w:hanging="527"/>
        <w:rPr>
          <w:rFonts w:ascii="標楷體" w:eastAsia="標楷體" w:hAnsi="標楷體"/>
          <w:color w:val="000000"/>
        </w:rPr>
      </w:pPr>
      <w:r w:rsidRPr="006A2FC8">
        <w:rPr>
          <w:rFonts w:ascii="標楷體" w:eastAsia="標楷體" w:hAnsi="標楷體" w:hint="eastAsia"/>
          <w:color w:val="000000"/>
        </w:rPr>
        <w:t>9.125.Quizartinib（如Vanflyta）：（114/10/1)</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1.</w:t>
      </w:r>
      <w:r w:rsidRPr="006A2FC8">
        <w:rPr>
          <w:rFonts w:ascii="標楷體" w:eastAsia="標楷體" w:hAnsi="標楷體" w:hint="eastAsia"/>
          <w:color w:val="000000"/>
        </w:rPr>
        <w:tab/>
        <w:t>限用於新確診為FLT3-ITD 突變陽性的急性骨髓性白血病(AML)成人病人，於標準前導(cytarabine 和anthracycline)與鞏固性化療(cytarabine)時合併使用，及於維持治療時單獨使用。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2.</w:t>
      </w:r>
      <w:r w:rsidRPr="006A2FC8">
        <w:rPr>
          <w:rFonts w:ascii="標楷體" w:eastAsia="標楷體" w:hAnsi="標楷體" w:hint="eastAsia"/>
          <w:color w:val="000000"/>
        </w:rPr>
        <w:tab/>
        <w:t>需排除急性前骨髓性細胞白血病（acute promyelocytic leukemia，APL）的病人。</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3.</w:t>
      </w:r>
      <w:r w:rsidRPr="006A2FC8">
        <w:rPr>
          <w:rFonts w:ascii="標楷體" w:eastAsia="標楷體" w:hAnsi="標楷體" w:hint="eastAsia"/>
          <w:color w:val="000000"/>
        </w:rPr>
        <w:tab/>
        <w:t>首次用於標準前導期，可免事前審查，且以2個療程為限。若在2個療程後仍未達完全緩解，則不得再使用。</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4.</w:t>
      </w:r>
      <w:r w:rsidRPr="006A2FC8">
        <w:rPr>
          <w:rFonts w:ascii="標楷體" w:eastAsia="標楷體" w:hAnsi="標楷體" w:hint="eastAsia"/>
          <w:color w:val="000000"/>
        </w:rPr>
        <w:tab/>
        <w:t>續用於鞏固治療時需經事前審查核准後使用，申請時須檢附FLT3 突變陽性檢測結果及日期、化學治療處方紀錄及療效評估，每次續用申請以2個療程為限，並需檢附前次治療結果評估資料證實無疾病進展，才可繼續使用。前導治療與鞏固治療每人以總共給付6個療程為上限。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5.</w:t>
      </w:r>
      <w:r w:rsidRPr="006A2FC8">
        <w:rPr>
          <w:rFonts w:ascii="標楷體" w:eastAsia="標楷體" w:hAnsi="標楷體" w:hint="eastAsia"/>
          <w:color w:val="000000"/>
        </w:rPr>
        <w:tab/>
        <w:t>維持治療僅限於無疾病進展且尚未接受造血幹細胞移植的病人，病人接受造血幹細胞移植後即需停用。續用維持治療須經審查核准後使用，初次申請為3個療程，並須檢附前次治療結果評估資料證實無疾病進展才可繼續使用，每3個療程需再次申請，可治療至疾病復發或無法耐受藥物毒性為止。維持治療每人以24個療程為上限。</w:t>
      </w:r>
    </w:p>
    <w:p w:rsidR="00B74E3A" w:rsidRPr="006A2FC8"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6.</w:t>
      </w:r>
      <w:r w:rsidRPr="006A2FC8">
        <w:rPr>
          <w:rFonts w:ascii="標楷體" w:eastAsia="標楷體" w:hAnsi="標楷體" w:hint="eastAsia"/>
          <w:color w:val="000000"/>
        </w:rPr>
        <w:tab/>
        <w:t>前導治療與鞏固治療限與midostaurin僅得擇一使用，除因耐受性不良，不得互換。</w:t>
      </w:r>
    </w:p>
    <w:p w:rsidR="00B74E3A" w:rsidRPr="00B74E3A" w:rsidRDefault="00B74E3A" w:rsidP="00B74E3A">
      <w:pPr>
        <w:tabs>
          <w:tab w:val="left" w:pos="1418"/>
        </w:tabs>
        <w:spacing w:line="400" w:lineRule="exact"/>
        <w:ind w:left="567" w:hanging="245"/>
        <w:rPr>
          <w:rFonts w:ascii="標楷體" w:eastAsia="標楷體" w:hAnsi="標楷體"/>
          <w:color w:val="000000"/>
        </w:rPr>
      </w:pPr>
      <w:r w:rsidRPr="006A2FC8">
        <w:rPr>
          <w:rFonts w:ascii="標楷體" w:eastAsia="標楷體" w:hAnsi="標楷體" w:hint="eastAsia"/>
          <w:color w:val="000000"/>
        </w:rPr>
        <w:t>7.</w:t>
      </w:r>
      <w:r w:rsidRPr="006A2FC8">
        <w:rPr>
          <w:rFonts w:ascii="標楷體" w:eastAsia="標楷體" w:hAnsi="標楷體" w:hint="eastAsia"/>
          <w:color w:val="000000"/>
        </w:rPr>
        <w:tab/>
        <w:t>維持治療限與azacitidine擇一使用，除因耐受性不良，不得互換。</w:t>
      </w:r>
    </w:p>
    <w:p w:rsidR="001314F6" w:rsidRPr="00367DBE" w:rsidRDefault="001314F6" w:rsidP="001314F6">
      <w:pPr>
        <w:spacing w:line="400" w:lineRule="exact"/>
        <w:rPr>
          <w:rFonts w:ascii="標楷體" w:eastAsia="標楷體" w:hAnsi="標楷體"/>
          <w:szCs w:val="24"/>
        </w:rPr>
      </w:pPr>
      <w:r w:rsidRPr="00367DBE">
        <w:rPr>
          <w:rFonts w:ascii="標楷體" w:eastAsia="標楷體" w:hAnsi="標楷體"/>
          <w:szCs w:val="24"/>
        </w:rPr>
        <w:t>9.</w:t>
      </w:r>
      <w:r w:rsidRPr="00367DBE">
        <w:rPr>
          <w:rFonts w:ascii="標楷體" w:eastAsia="標楷體" w:hAnsi="標楷體" w:hint="eastAsia"/>
          <w:szCs w:val="24"/>
        </w:rPr>
        <w:t>126</w:t>
      </w:r>
      <w:r w:rsidRPr="00367DBE">
        <w:rPr>
          <w:rFonts w:ascii="標楷體" w:eastAsia="標楷體" w:hAnsi="標楷體"/>
          <w:szCs w:val="24"/>
        </w:rPr>
        <w:t>.Amivantamab</w:t>
      </w:r>
      <w:r w:rsidRPr="00367DBE">
        <w:rPr>
          <w:rFonts w:ascii="標楷體" w:eastAsia="標楷體" w:hAnsi="標楷體" w:hint="eastAsia"/>
          <w:szCs w:val="24"/>
        </w:rPr>
        <w:t>(</w:t>
      </w:r>
      <w:r w:rsidRPr="00367DBE">
        <w:rPr>
          <w:rFonts w:ascii="標楷體" w:eastAsia="標楷體" w:hAnsi="標楷體"/>
          <w:szCs w:val="24"/>
        </w:rPr>
        <w:t>如Rybrevant)</w:t>
      </w:r>
      <w:r w:rsidRPr="00367DBE">
        <w:rPr>
          <w:rFonts w:ascii="標楷體" w:eastAsia="標楷體" w:hAnsi="標楷體" w:hint="eastAsia"/>
          <w:szCs w:val="24"/>
        </w:rPr>
        <w:t>：</w:t>
      </w:r>
      <w:r w:rsidRPr="00367DBE">
        <w:rPr>
          <w:rFonts w:ascii="標楷體" w:eastAsia="標楷體" w:hAnsi="標楷體"/>
          <w:szCs w:val="24"/>
        </w:rPr>
        <w:t>(114/</w:t>
      </w:r>
      <w:r w:rsidRPr="00367DBE">
        <w:rPr>
          <w:rFonts w:ascii="標楷體" w:eastAsia="標楷體" w:hAnsi="標楷體" w:hint="eastAsia"/>
          <w:szCs w:val="24"/>
        </w:rPr>
        <w:t>10</w:t>
      </w:r>
      <w:r w:rsidRPr="00367DBE">
        <w:rPr>
          <w:rFonts w:ascii="標楷體" w:eastAsia="標楷體" w:hAnsi="標楷體"/>
          <w:szCs w:val="24"/>
        </w:rPr>
        <w:t>/1)</w:t>
      </w:r>
    </w:p>
    <w:p w:rsidR="001314F6" w:rsidRPr="00367DBE" w:rsidRDefault="001314F6" w:rsidP="001314F6">
      <w:pPr>
        <w:pStyle w:val="a9"/>
        <w:tabs>
          <w:tab w:val="left" w:pos="1418"/>
        </w:tabs>
        <w:spacing w:line="400" w:lineRule="exact"/>
        <w:ind w:leftChars="136" w:left="566" w:hangingChars="100" w:hanging="240"/>
        <w:rPr>
          <w:rFonts w:ascii="標楷體" w:eastAsia="標楷體" w:hAnsi="標楷體"/>
        </w:rPr>
      </w:pPr>
      <w:r w:rsidRPr="00367DBE">
        <w:rPr>
          <w:rFonts w:ascii="標楷體" w:eastAsia="標楷體" w:hAnsi="標楷體" w:hint="eastAsia"/>
        </w:rPr>
        <w:t>1</w:t>
      </w:r>
      <w:r w:rsidRPr="00367DBE">
        <w:rPr>
          <w:rFonts w:ascii="標楷體" w:eastAsia="標楷體" w:hAnsi="標楷體"/>
        </w:rPr>
        <w:t>.與carboplatin 及pemetrexed 併用，適用於罹患帶有表皮生長因子受體(EGFR) exon 20 插入突變之局部晚期或轉移性非小細胞肺癌(NSCLC)的成人病人，作為第一線治療。</w:t>
      </w:r>
    </w:p>
    <w:p w:rsidR="001314F6" w:rsidRPr="00367DBE" w:rsidRDefault="001314F6" w:rsidP="001314F6">
      <w:pPr>
        <w:pStyle w:val="a9"/>
        <w:tabs>
          <w:tab w:val="left" w:pos="1418"/>
        </w:tabs>
        <w:spacing w:line="400" w:lineRule="exact"/>
        <w:ind w:leftChars="118" w:left="283"/>
        <w:rPr>
          <w:rFonts w:ascii="標楷體" w:eastAsia="標楷體" w:hAnsi="標楷體"/>
        </w:rPr>
      </w:pPr>
      <w:r w:rsidRPr="00367DBE">
        <w:rPr>
          <w:rFonts w:ascii="標楷體" w:eastAsia="標楷體" w:hAnsi="標楷體" w:hint="eastAsia"/>
        </w:rPr>
        <w:t>2</w:t>
      </w:r>
      <w:r w:rsidRPr="00367DBE">
        <w:rPr>
          <w:rFonts w:ascii="標楷體" w:eastAsia="標楷體" w:hAnsi="標楷體"/>
        </w:rPr>
        <w:t>.需經事前審查核准後使用</w:t>
      </w:r>
      <w:r w:rsidRPr="00367DBE">
        <w:rPr>
          <w:rFonts w:ascii="標楷體" w:eastAsia="標楷體" w:hAnsi="標楷體" w:hint="eastAsia"/>
        </w:rPr>
        <w:t>：</w:t>
      </w:r>
    </w:p>
    <w:p w:rsidR="001314F6" w:rsidRPr="00367DBE" w:rsidRDefault="001314F6" w:rsidP="001314F6">
      <w:pPr>
        <w:pStyle w:val="a9"/>
        <w:spacing w:line="400" w:lineRule="exact"/>
        <w:ind w:leftChars="204" w:left="850" w:hangingChars="150" w:hanging="360"/>
        <w:rPr>
          <w:rFonts w:ascii="標楷體" w:eastAsia="標楷體" w:hAnsi="標楷體"/>
        </w:rPr>
      </w:pPr>
      <w:r w:rsidRPr="00367DBE">
        <w:rPr>
          <w:rFonts w:ascii="標楷體" w:eastAsia="標楷體" w:hAnsi="標楷體" w:hint="eastAsia"/>
        </w:rPr>
        <w:t>(</w:t>
      </w:r>
      <w:r w:rsidRPr="00367DBE">
        <w:rPr>
          <w:rFonts w:ascii="標楷體" w:eastAsia="標楷體" w:hAnsi="標楷體"/>
        </w:rPr>
        <w:t>1)</w:t>
      </w:r>
      <w:r w:rsidRPr="00367DBE">
        <w:rPr>
          <w:rFonts w:ascii="標楷體" w:eastAsia="標楷體" w:hAnsi="標楷體" w:hint="eastAsia"/>
        </w:rPr>
        <w:t>初次申請時需檢具確實患有非小細胞肺癌之病理或細胞檢查報告，及檢具表皮生長因子受體</w:t>
      </w:r>
      <w:r w:rsidRPr="00367DBE">
        <w:rPr>
          <w:rFonts w:ascii="標楷體" w:eastAsia="標楷體" w:hAnsi="標楷體"/>
        </w:rPr>
        <w:t xml:space="preserve"> (EGFR) exon 20</w:t>
      </w:r>
      <w:r w:rsidRPr="00367DBE">
        <w:rPr>
          <w:rFonts w:ascii="標楷體" w:eastAsia="標楷體" w:hAnsi="標楷體" w:hint="eastAsia"/>
        </w:rPr>
        <w:t>插入突變分析檢測結果報告，且需符合全民健康保險藥品給付規定之通則十二。</w:t>
      </w:r>
    </w:p>
    <w:p w:rsidR="001314F6" w:rsidRDefault="001314F6" w:rsidP="001314F6">
      <w:pPr>
        <w:spacing w:line="400" w:lineRule="exact"/>
        <w:ind w:leftChars="118" w:left="283"/>
        <w:jc w:val="both"/>
        <w:rPr>
          <w:rFonts w:ascii="標楷體" w:eastAsia="標楷體" w:hAnsi="標楷體"/>
          <w:szCs w:val="24"/>
        </w:rPr>
      </w:pPr>
      <w:r w:rsidRPr="00367DBE">
        <w:rPr>
          <w:rFonts w:ascii="標楷體" w:eastAsia="標楷體" w:hAnsi="標楷體" w:hint="eastAsia"/>
          <w:szCs w:val="24"/>
        </w:rPr>
        <w:t>(2)每次申請事前審查之療程以</w:t>
      </w:r>
      <w:r w:rsidRPr="00367DBE">
        <w:rPr>
          <w:rFonts w:ascii="標楷體" w:eastAsia="標楷體" w:hAnsi="標楷體"/>
          <w:szCs w:val="24"/>
        </w:rPr>
        <w:t>3</w:t>
      </w:r>
      <w:r w:rsidRPr="00367DBE">
        <w:rPr>
          <w:rFonts w:ascii="標楷體" w:eastAsia="標楷體" w:hAnsi="標楷體" w:hint="eastAsia"/>
          <w:szCs w:val="24"/>
        </w:rPr>
        <w:t>個月為限，每</w:t>
      </w:r>
      <w:r w:rsidRPr="00367DBE">
        <w:rPr>
          <w:rFonts w:ascii="標楷體" w:eastAsia="標楷體" w:hAnsi="標楷體"/>
          <w:szCs w:val="24"/>
        </w:rPr>
        <w:t>3</w:t>
      </w:r>
      <w:r w:rsidRPr="00367DBE">
        <w:rPr>
          <w:rFonts w:ascii="標楷體" w:eastAsia="標楷體" w:hAnsi="標楷體" w:hint="eastAsia"/>
          <w:szCs w:val="24"/>
        </w:rPr>
        <w:t>個月需再次申請，再次申請時需檢附療效評估資料，若病情惡化即不得再次申請。</w:t>
      </w:r>
    </w:p>
    <w:p w:rsidR="00D250AB" w:rsidRPr="00AB5B6D" w:rsidRDefault="00D250AB" w:rsidP="00D250AB">
      <w:pPr>
        <w:snapToGrid w:val="0"/>
        <w:spacing w:line="400" w:lineRule="exact"/>
        <w:ind w:left="567" w:hanging="283"/>
        <w:jc w:val="both"/>
        <w:rPr>
          <w:rFonts w:ascii="標楷體" w:eastAsia="標楷體" w:hAnsi="標楷體"/>
          <w:szCs w:val="24"/>
        </w:rPr>
      </w:pPr>
      <w:r w:rsidRPr="00AB5B6D">
        <w:rPr>
          <w:rFonts w:ascii="標楷體" w:eastAsia="標楷體" w:hAnsi="標楷體" w:hint="eastAsia"/>
          <w:szCs w:val="24"/>
        </w:rPr>
        <w:t>9.127.Momelotinib (如Omjjara)：(114/10/1)</w:t>
      </w:r>
    </w:p>
    <w:p w:rsidR="00D250AB" w:rsidRPr="00AB5B6D"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szCs w:val="24"/>
        </w:rPr>
        <w:t>1.</w:t>
      </w:r>
      <w:r w:rsidRPr="00AB5B6D">
        <w:rPr>
          <w:rFonts w:ascii="標楷體" w:eastAsia="標楷體" w:hAnsi="標楷體" w:hint="eastAsia"/>
          <w:szCs w:val="24"/>
        </w:rPr>
        <w:t>用於未曾接受</w:t>
      </w:r>
      <w:r w:rsidRPr="00AB5B6D">
        <w:rPr>
          <w:rFonts w:ascii="標楷體" w:eastAsia="標楷體" w:hAnsi="標楷體"/>
          <w:szCs w:val="24"/>
        </w:rPr>
        <w:t>Janus</w:t>
      </w:r>
      <w:r w:rsidRPr="00AB5B6D">
        <w:rPr>
          <w:rFonts w:ascii="標楷體" w:eastAsia="標楷體" w:hAnsi="標楷體" w:hint="eastAsia"/>
          <w:szCs w:val="24"/>
        </w:rPr>
        <w:t>激酶抑制劑（</w:t>
      </w:r>
      <w:r w:rsidRPr="00AB5B6D">
        <w:rPr>
          <w:rFonts w:ascii="標楷體" w:eastAsia="標楷體" w:hAnsi="標楷體"/>
          <w:szCs w:val="24"/>
        </w:rPr>
        <w:t>JAK inhibitor</w:t>
      </w:r>
      <w:r w:rsidRPr="00AB5B6D">
        <w:rPr>
          <w:rFonts w:ascii="標楷體" w:eastAsia="標楷體" w:hAnsi="標楷體" w:hint="eastAsia"/>
          <w:szCs w:val="24"/>
        </w:rPr>
        <w:t>）治療或曾接受</w:t>
      </w:r>
      <w:r w:rsidRPr="00AB5B6D">
        <w:rPr>
          <w:rFonts w:ascii="標楷體" w:eastAsia="標楷體" w:hAnsi="標楷體"/>
          <w:szCs w:val="24"/>
        </w:rPr>
        <w:t>ruxolitinib</w:t>
      </w:r>
      <w:r w:rsidRPr="00AB5B6D">
        <w:rPr>
          <w:rFonts w:ascii="標楷體" w:eastAsia="標楷體" w:hAnsi="標楷體" w:hint="eastAsia"/>
          <w:szCs w:val="24"/>
        </w:rPr>
        <w:t>、</w:t>
      </w:r>
      <w:r w:rsidRPr="00AB5B6D">
        <w:rPr>
          <w:rFonts w:ascii="標楷體" w:eastAsia="標楷體" w:hAnsi="標楷體"/>
          <w:szCs w:val="24"/>
        </w:rPr>
        <w:t>fedratinib</w:t>
      </w:r>
      <w:r w:rsidRPr="00AB5B6D">
        <w:rPr>
          <w:rFonts w:ascii="標楷體" w:eastAsia="標楷體" w:hAnsi="標楷體" w:hint="eastAsia"/>
          <w:szCs w:val="24"/>
        </w:rPr>
        <w:t>治療後不耐受或有禁忌症，且為</w:t>
      </w:r>
      <w:r w:rsidRPr="00AB5B6D">
        <w:rPr>
          <w:rFonts w:ascii="標楷體" w:eastAsia="標楷體" w:hAnsi="標楷體"/>
          <w:szCs w:val="24"/>
        </w:rPr>
        <w:t>International Working Group</w:t>
      </w:r>
      <w:r w:rsidRPr="00AB5B6D">
        <w:rPr>
          <w:rFonts w:ascii="標楷體" w:eastAsia="標楷體" w:hAnsi="標楷體" w:hint="eastAsia"/>
          <w:szCs w:val="24"/>
        </w:rPr>
        <w:t>（</w:t>
      </w:r>
      <w:r w:rsidRPr="00AB5B6D">
        <w:rPr>
          <w:rFonts w:ascii="標楷體" w:eastAsia="標楷體" w:hAnsi="標楷體"/>
          <w:szCs w:val="24"/>
        </w:rPr>
        <w:t>IWG</w:t>
      </w:r>
      <w:r w:rsidRPr="00AB5B6D">
        <w:rPr>
          <w:rFonts w:ascii="標楷體" w:eastAsia="標楷體" w:hAnsi="標楷體" w:hint="eastAsia"/>
          <w:szCs w:val="24"/>
        </w:rPr>
        <w:t>）</w:t>
      </w:r>
      <w:r w:rsidRPr="00AB5B6D">
        <w:rPr>
          <w:rFonts w:ascii="標楷體" w:eastAsia="標楷體" w:hAnsi="標楷體"/>
          <w:szCs w:val="24"/>
        </w:rPr>
        <w:t>Consensus Criteria</w:t>
      </w:r>
      <w:r w:rsidRPr="00AB5B6D">
        <w:rPr>
          <w:rFonts w:ascii="標楷體" w:eastAsia="標楷體" w:hAnsi="標楷體" w:hint="eastAsia"/>
          <w:szCs w:val="24"/>
        </w:rPr>
        <w:t>中度風險或高風險之骨髓纖維化，包括原發性骨髓纖維化、真性紅血球增多症後骨髓纖維化、或血小板增多症後骨髓纖維化等疾病所造成脾臟腫大（</w:t>
      </w:r>
      <w:r w:rsidRPr="00AB5B6D">
        <w:rPr>
          <w:rFonts w:ascii="標楷體" w:eastAsia="標楷體" w:hAnsi="標楷體"/>
          <w:szCs w:val="24"/>
        </w:rPr>
        <w:t>symptomatic splenomegaly</w:t>
      </w:r>
      <w:r w:rsidRPr="00AB5B6D">
        <w:rPr>
          <w:rFonts w:ascii="標楷體" w:eastAsia="標楷體" w:hAnsi="標楷體" w:hint="eastAsia"/>
          <w:szCs w:val="24"/>
        </w:rPr>
        <w:t>）及</w:t>
      </w:r>
      <w:r w:rsidRPr="00AB5B6D">
        <w:rPr>
          <w:rFonts w:ascii="標楷體" w:eastAsia="標楷體" w:hAnsi="標楷體"/>
          <w:szCs w:val="24"/>
        </w:rPr>
        <w:t>/</w:t>
      </w:r>
      <w:r w:rsidRPr="00AB5B6D">
        <w:rPr>
          <w:rFonts w:ascii="標楷體" w:eastAsia="標楷體" w:hAnsi="標楷體" w:hint="eastAsia"/>
          <w:szCs w:val="24"/>
        </w:rPr>
        <w:t>或其他相關全身症狀且不適於接受幹細胞移植（</w:t>
      </w:r>
      <w:r w:rsidRPr="00AB5B6D">
        <w:rPr>
          <w:rFonts w:ascii="標楷體" w:eastAsia="標楷體" w:hAnsi="標楷體"/>
          <w:szCs w:val="24"/>
        </w:rPr>
        <w:t>stem cell transpla</w:t>
      </w:r>
      <w:r w:rsidRPr="00AB5B6D">
        <w:rPr>
          <w:rFonts w:ascii="標楷體" w:eastAsia="標楷體" w:hAnsi="標楷體" w:hint="eastAsia"/>
          <w:szCs w:val="24"/>
        </w:rPr>
        <w:t>ntation）且併有中至重度貧血之成人病人。</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(1)需經事前審查核准後使用，每次申請之療程以6個月為限，送審時需檢送影像資</w:t>
      </w:r>
      <w:r w:rsidRPr="00AB5B6D">
        <w:rPr>
          <w:rFonts w:ascii="標楷體" w:eastAsia="標楷體" w:hAnsi="標楷體" w:hint="eastAsia"/>
          <w:szCs w:val="24"/>
        </w:rPr>
        <w:lastRenderedPageBreak/>
        <w:t>料及症狀改善之病歷紀錄，每6個月評估一次。</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(2)用藥後第一次評估時，需達到症狀反應(symptom response)或脾臟體積無惡化兩者之一，且同時無AML tranformation，方得以繼續使用。分別定義如下：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Ⅰ.症狀反應：MPN-SAF-TSS分數或MPN-10與治療前基準值相比，需下降超過50%。</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Ⅱ.脾臟體積無惡化：使用電腦斷層評估，脾臟長度未增加超過治療前基準值之40%以上(或體積增加未達25%以上)。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eastAsia="標楷體"/>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eastAsia="標楷體"/>
          <w:szCs w:val="24"/>
        </w:rPr>
        <w:t>≥</w:t>
      </w:r>
      <w:r w:rsidRPr="00AB5B6D">
        <w:rPr>
          <w:rFonts w:ascii="標楷體" w:eastAsia="標楷體" w:hAnsi="標楷體"/>
          <w:szCs w:val="24"/>
        </w:rPr>
        <w:t>1</w:t>
      </w:r>
      <w:r w:rsidRPr="00AB5B6D">
        <w:rPr>
          <w:rFonts w:ascii="標楷體" w:eastAsia="標楷體" w:hAnsi="標楷體" w:cs="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Chars="320" w:left="1133" w:hangingChars="152" w:hanging="365"/>
        <w:jc w:val="both"/>
        <w:rPr>
          <w:rFonts w:ascii="標楷體" w:eastAsia="標楷體" w:hAnsi="標楷體"/>
          <w:szCs w:val="24"/>
        </w:rPr>
      </w:pPr>
      <w:r w:rsidRPr="00AB5B6D">
        <w:rPr>
          <w:rFonts w:ascii="標楷體" w:eastAsia="標楷體" w:hAnsi="標楷體" w:hint="eastAsia"/>
          <w:szCs w:val="24"/>
        </w:rPr>
        <w:t>(3)用藥後第二次及其後的評估，必須顯示無疾病惡化（無症狀惡化且脾臟體積無惡化，並同時無AML transformation），方得以繼續使用。分別定義如下：</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Ⅰ.無症狀惡化：未出現新症狀，且MPN-SAF-TSS分數或MPN-10未超過治療前的基準值。</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Ⅱ.脾臟體積無惡化：使用電腦斷層評估，脾臟長度未增加超過最佳反應(best response)時之脾臟長度40%以上(或體積增加未達25%以上)。</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Ⅲ</w:t>
      </w:r>
      <w:r w:rsidRPr="00AB5B6D">
        <w:rPr>
          <w:rFonts w:ascii="標楷體" w:eastAsia="標楷體" w:hAnsi="標楷體"/>
          <w:szCs w:val="24"/>
        </w:rPr>
        <w:t>.AML transformation</w:t>
      </w:r>
      <w:r w:rsidRPr="00AB5B6D">
        <w:rPr>
          <w:rFonts w:ascii="標楷體" w:eastAsia="標楷體" w:hAnsi="標楷體" w:hint="eastAsia"/>
          <w:szCs w:val="24"/>
        </w:rPr>
        <w:t>：骨髓中之芽細胞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或血液中之芽細胞</w:t>
      </w:r>
      <w:r w:rsidRPr="00AB5B6D">
        <w:rPr>
          <w:rFonts w:ascii="Times New Roman" w:eastAsia="標楷體" w:hAnsi="Times New Roman"/>
          <w:szCs w:val="24"/>
        </w:rPr>
        <w:t>≥</w:t>
      </w:r>
      <w:r w:rsidRPr="00AB5B6D">
        <w:rPr>
          <w:rFonts w:ascii="標楷體" w:eastAsia="標楷體" w:hAnsi="標楷體"/>
          <w:szCs w:val="24"/>
        </w:rPr>
        <w:t>20%</w:t>
      </w:r>
      <w:r w:rsidRPr="00AB5B6D">
        <w:rPr>
          <w:rFonts w:ascii="標楷體" w:eastAsia="標楷體" w:hAnsi="標楷體" w:hint="eastAsia"/>
          <w:szCs w:val="24"/>
        </w:rPr>
        <w:t>合併芽細胞數值</w:t>
      </w:r>
      <w:r w:rsidRPr="00AB5B6D">
        <w:rPr>
          <w:rFonts w:ascii="Times New Roman" w:eastAsia="標楷體" w:hAnsi="Times New Roman"/>
          <w:szCs w:val="24"/>
        </w:rPr>
        <w:t>≥</w:t>
      </w:r>
      <w:r w:rsidRPr="00AB5B6D">
        <w:rPr>
          <w:rFonts w:ascii="標楷體" w:eastAsia="標楷體" w:hAnsi="標楷體"/>
          <w:szCs w:val="24"/>
        </w:rPr>
        <w:t>1</w:t>
      </w:r>
      <w:r w:rsidRPr="00AB5B6D">
        <w:rPr>
          <w:rFonts w:ascii="標楷體" w:eastAsia="標楷體" w:hAnsi="標楷體" w:hint="eastAsia"/>
          <w:szCs w:val="24"/>
        </w:rPr>
        <w:t>×</w:t>
      </w:r>
      <w:r w:rsidRPr="00AB5B6D">
        <w:rPr>
          <w:rFonts w:ascii="標楷體" w:eastAsia="標楷體" w:hAnsi="標楷體"/>
          <w:szCs w:val="24"/>
        </w:rPr>
        <w:t>109/L</w:t>
      </w:r>
      <w:r w:rsidRPr="00AB5B6D">
        <w:rPr>
          <w:rFonts w:ascii="標楷體" w:eastAsia="標楷體" w:hAnsi="標楷體" w:hint="eastAsia"/>
          <w:szCs w:val="24"/>
        </w:rPr>
        <w:t>。</w:t>
      </w:r>
    </w:p>
    <w:p w:rsidR="00D250AB" w:rsidRPr="00AB5B6D" w:rsidRDefault="00D250AB" w:rsidP="00D250AB">
      <w:pPr>
        <w:snapToGrid w:val="0"/>
        <w:spacing w:line="400" w:lineRule="exact"/>
        <w:ind w:left="1418" w:hanging="425"/>
        <w:jc w:val="both"/>
        <w:rPr>
          <w:rFonts w:ascii="標楷體" w:eastAsia="標楷體" w:hAnsi="標楷體"/>
          <w:szCs w:val="24"/>
        </w:rPr>
      </w:pPr>
      <w:r w:rsidRPr="00AB5B6D">
        <w:rPr>
          <w:rFonts w:ascii="標楷體" w:eastAsia="標楷體" w:hAnsi="標楷體" w:hint="eastAsia"/>
          <w:szCs w:val="24"/>
        </w:rPr>
        <w:t>IV.每日限給付1粒。</w:t>
      </w:r>
    </w:p>
    <w:p w:rsidR="00D250AB" w:rsidRDefault="00D250AB" w:rsidP="00D250AB">
      <w:pPr>
        <w:snapToGrid w:val="0"/>
        <w:spacing w:line="400" w:lineRule="exact"/>
        <w:ind w:left="851" w:hanging="283"/>
        <w:jc w:val="both"/>
        <w:rPr>
          <w:rFonts w:ascii="標楷體" w:eastAsia="標楷體" w:hAnsi="標楷體"/>
          <w:szCs w:val="24"/>
        </w:rPr>
      </w:pPr>
      <w:r w:rsidRPr="00AB5B6D">
        <w:rPr>
          <w:rFonts w:ascii="標楷體" w:eastAsia="標楷體" w:hAnsi="標楷體" w:hint="eastAsia"/>
          <w:szCs w:val="24"/>
        </w:rPr>
        <w:t>2.本藥品與ruxolitinib、fedratinib用於中度風險或高風險之骨髓纖維化治療時，僅得擇一給付。Ruxolitinib、fedratinib治療後如疾病惡化不得換用本藥品。</w:t>
      </w:r>
      <w:bookmarkEnd w:id="47"/>
    </w:p>
    <w:p w:rsidR="001A740D" w:rsidRPr="00D32053" w:rsidRDefault="001A740D" w:rsidP="001A740D">
      <w:pPr>
        <w:spacing w:line="400" w:lineRule="exact"/>
        <w:ind w:left="709" w:hanging="451"/>
        <w:rPr>
          <w:rFonts w:ascii="標楷體" w:eastAsia="標楷體" w:hAnsi="標楷體"/>
        </w:rPr>
      </w:pPr>
      <w:r w:rsidRPr="00D32053">
        <w:rPr>
          <w:rFonts w:ascii="標楷體" w:eastAsia="標楷體" w:hAnsi="標楷體"/>
        </w:rPr>
        <w:t>9</w:t>
      </w:r>
      <w:r w:rsidRPr="00D32053">
        <w:rPr>
          <w:rFonts w:ascii="標楷體" w:eastAsia="標楷體" w:hAnsi="標楷體" w:hint="eastAsia"/>
        </w:rPr>
        <w:t>.128.</w:t>
      </w:r>
      <w:r w:rsidRPr="00D32053">
        <w:rPr>
          <w:rFonts w:ascii="標楷體" w:eastAsia="標楷體" w:hAnsi="標楷體"/>
        </w:rPr>
        <w:t>Tucidinostat</w:t>
      </w:r>
      <w:r w:rsidRPr="00D32053">
        <w:rPr>
          <w:rFonts w:ascii="標楷體" w:eastAsia="標楷體" w:hAnsi="標楷體" w:hint="eastAsia"/>
        </w:rPr>
        <w:t xml:space="preserve"> (如K</w:t>
      </w:r>
      <w:r w:rsidRPr="00D32053">
        <w:rPr>
          <w:rFonts w:ascii="標楷體" w:eastAsia="標楷體" w:hAnsi="標楷體"/>
        </w:rPr>
        <w:t>epida</w:t>
      </w:r>
      <w:r w:rsidRPr="00D32053">
        <w:rPr>
          <w:rFonts w:ascii="標楷體" w:eastAsia="標楷體" w:hAnsi="標楷體" w:hint="eastAsia"/>
        </w:rPr>
        <w:t>)：(114/12/1)</w:t>
      </w:r>
    </w:p>
    <w:p w:rsidR="001A740D" w:rsidRDefault="001A740D" w:rsidP="001A740D">
      <w:pPr>
        <w:spacing w:line="400" w:lineRule="exact"/>
        <w:ind w:leftChars="236" w:left="849" w:hangingChars="118" w:hanging="283"/>
        <w:rPr>
          <w:rFonts w:ascii="標楷體" w:eastAsia="標楷體" w:hAnsi="標楷體"/>
        </w:rPr>
      </w:pPr>
      <w:r w:rsidRPr="00D32053">
        <w:rPr>
          <w:rFonts w:ascii="標楷體" w:eastAsia="標楷體" w:hAnsi="標楷體" w:hint="eastAsia"/>
        </w:rPr>
        <w:t>1</w:t>
      </w:r>
      <w:r w:rsidRPr="00D32053">
        <w:rPr>
          <w:rFonts w:ascii="標楷體" w:eastAsia="標楷體" w:hAnsi="標楷體"/>
        </w:rPr>
        <w:t>.與exemestan</w:t>
      </w:r>
      <w:r w:rsidRPr="00D32053">
        <w:rPr>
          <w:rFonts w:ascii="標楷體" w:eastAsia="標楷體" w:hAnsi="標楷體" w:hint="eastAsia"/>
        </w:rPr>
        <w:t>e</w:t>
      </w:r>
      <w:r w:rsidRPr="00D32053">
        <w:rPr>
          <w:rFonts w:ascii="標楷體" w:eastAsia="標楷體" w:hAnsi="標楷體"/>
        </w:rPr>
        <w:t>併用，</w:t>
      </w:r>
      <w:r w:rsidRPr="00D32053">
        <w:rPr>
          <w:rFonts w:ascii="標楷體" w:eastAsia="標楷體" w:hAnsi="標楷體" w:hint="eastAsia"/>
        </w:rPr>
        <w:t>適用於曾接受過至少一種治療轉移性的內分泌併用CDK4/6抑制劑治療後復發或惡化</w:t>
      </w:r>
      <w:r w:rsidRPr="00D32053">
        <w:rPr>
          <w:rFonts w:ascii="標楷體" w:eastAsia="標楷體" w:hAnsi="標楷體"/>
        </w:rPr>
        <w:t>，</w:t>
      </w:r>
      <w:r w:rsidRPr="00D32053">
        <w:rPr>
          <w:rFonts w:ascii="標楷體" w:eastAsia="標楷體" w:hAnsi="標楷體" w:hint="eastAsia"/>
        </w:rPr>
        <w:t>且未曾使用exemestane之荷爾蒙接受體陽性、HER2受體陰性</w:t>
      </w:r>
      <w:r w:rsidRPr="00D32053">
        <w:rPr>
          <w:rFonts w:ascii="標楷體" w:eastAsia="標楷體" w:hAnsi="標楷體"/>
        </w:rPr>
        <w:t>，</w:t>
      </w:r>
      <w:r w:rsidRPr="00D32053">
        <w:rPr>
          <w:rFonts w:ascii="標楷體" w:eastAsia="標楷體" w:hAnsi="標楷體" w:hint="eastAsia"/>
        </w:rPr>
        <w:t>且尚未出現器官轉移危急症狀 (visceral crisis)之</w:t>
      </w:r>
      <w:r w:rsidRPr="00D32053">
        <w:rPr>
          <w:rFonts w:ascii="標楷體" w:eastAsia="標楷體" w:hAnsi="標楷體"/>
        </w:rPr>
        <w:t>停經後轉移性乳癌</w:t>
      </w:r>
      <w:r w:rsidR="0001045E">
        <w:rPr>
          <w:rFonts w:ascii="標楷體" w:eastAsia="標楷體" w:hAnsi="標楷體" w:hint="eastAsia"/>
        </w:rPr>
        <w:t>病人</w:t>
      </w:r>
      <w:r w:rsidRPr="00D32053">
        <w:rPr>
          <w:rFonts w:ascii="標楷體" w:eastAsia="標楷體" w:hAnsi="標楷體"/>
        </w:rPr>
        <w:t>。</w:t>
      </w:r>
    </w:p>
    <w:p w:rsidR="001A740D" w:rsidRDefault="001A740D" w:rsidP="001A740D">
      <w:pPr>
        <w:spacing w:line="400" w:lineRule="exact"/>
        <w:ind w:leftChars="236" w:left="849" w:hangingChars="118" w:hanging="283"/>
        <w:rPr>
          <w:rFonts w:ascii="標楷體" w:eastAsia="標楷體" w:hAnsi="標楷體"/>
        </w:rPr>
      </w:pPr>
      <w:r>
        <w:rPr>
          <w:rFonts w:ascii="標楷體" w:eastAsia="標楷體" w:hAnsi="標楷體" w:hint="eastAsia"/>
        </w:rPr>
        <w:t>2</w:t>
      </w:r>
      <w:r>
        <w:rPr>
          <w:rFonts w:ascii="標楷體" w:eastAsia="標楷體" w:hAnsi="標楷體"/>
        </w:rPr>
        <w:t>.</w:t>
      </w:r>
      <w:r w:rsidRPr="00D32053">
        <w:rPr>
          <w:rFonts w:ascii="標楷體" w:eastAsia="標楷體" w:hAnsi="標楷體" w:hint="eastAsia"/>
        </w:rPr>
        <w:t>需經事前審查核准後使用，每次申請之療程以3個月為限。初次申請時需檢送病理報告及影像報告，之後每3個月申請一次，再次申請時需檢附影像資料及前次治療結果評估資料證實無惡化，才可繼續使用。</w:t>
      </w:r>
    </w:p>
    <w:p w:rsidR="001A740D" w:rsidRPr="00D32053" w:rsidRDefault="001A740D" w:rsidP="001A740D">
      <w:pPr>
        <w:spacing w:line="400" w:lineRule="exact"/>
        <w:ind w:leftChars="236" w:left="849" w:hangingChars="118" w:hanging="283"/>
        <w:rPr>
          <w:rFonts w:ascii="標楷體" w:eastAsia="標楷體" w:hAnsi="標楷體"/>
        </w:rPr>
      </w:pPr>
      <w:r>
        <w:rPr>
          <w:rFonts w:ascii="標楷體" w:eastAsia="標楷體" w:hAnsi="標楷體"/>
        </w:rPr>
        <w:t>3.</w:t>
      </w:r>
      <w:r w:rsidRPr="00D32053">
        <w:rPr>
          <w:rFonts w:ascii="標楷體" w:eastAsia="標楷體" w:hAnsi="標楷體" w:hint="eastAsia"/>
        </w:rPr>
        <w:t>本藥品與</w:t>
      </w:r>
      <w:r w:rsidRPr="00D32053">
        <w:rPr>
          <w:rFonts w:ascii="標楷體" w:eastAsia="標楷體" w:hAnsi="標楷體"/>
        </w:rPr>
        <w:t>everolimus</w:t>
      </w:r>
      <w:r w:rsidRPr="00D32053">
        <w:rPr>
          <w:rFonts w:ascii="標楷體" w:eastAsia="標楷體" w:hAnsi="標楷體" w:hint="eastAsia"/>
        </w:rPr>
        <w:t>僅得擇一使用，除因耐受性不良，不得互換。</w:t>
      </w:r>
    </w:p>
    <w:p w:rsidR="00EC69A8" w:rsidRPr="001B3700" w:rsidRDefault="00EC69A8" w:rsidP="00EC69A8">
      <w:pPr>
        <w:spacing w:line="400" w:lineRule="exact"/>
        <w:ind w:left="709" w:hanging="451"/>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9.</w:t>
      </w:r>
      <w:r w:rsidRPr="00EC69A8">
        <w:rPr>
          <w:rFonts w:ascii="標楷體" w:eastAsia="標楷體" w:hAnsi="標楷體" w:hint="eastAsia"/>
        </w:rPr>
        <w:t>129</w:t>
      </w:r>
      <w:r w:rsidRPr="001B3700">
        <w:rPr>
          <w:rFonts w:ascii="標楷體" w:eastAsia="標楷體" w:hAnsi="標楷體" w:cs="標楷體" w:hint="eastAsia"/>
          <w:color w:val="000000"/>
          <w:kern w:val="0"/>
          <w:szCs w:val="24"/>
        </w:rPr>
        <w:t>.A</w:t>
      </w:r>
      <w:r w:rsidRPr="001B3700">
        <w:rPr>
          <w:rFonts w:ascii="標楷體" w:eastAsia="標楷體" w:hAnsi="標楷體" w:cs="標楷體"/>
          <w:color w:val="000000"/>
          <w:kern w:val="0"/>
          <w:szCs w:val="24"/>
        </w:rPr>
        <w:t xml:space="preserve">lpelisib </w:t>
      </w:r>
      <w:r w:rsidRPr="001B3700">
        <w:rPr>
          <w:rFonts w:ascii="標楷體" w:eastAsia="標楷體" w:hAnsi="標楷體" w:cs="標楷體" w:hint="eastAsia"/>
          <w:color w:val="000000"/>
          <w:kern w:val="0"/>
          <w:szCs w:val="24"/>
        </w:rPr>
        <w:t>(如Pi</w:t>
      </w:r>
      <w:r w:rsidRPr="001B3700">
        <w:rPr>
          <w:rFonts w:ascii="標楷體" w:eastAsia="標楷體" w:hAnsi="標楷體" w:cs="標楷體"/>
          <w:color w:val="000000"/>
          <w:kern w:val="0"/>
          <w:szCs w:val="24"/>
        </w:rPr>
        <w:t>qray</w:t>
      </w:r>
      <w:r w:rsidRPr="001B3700">
        <w:rPr>
          <w:rFonts w:ascii="標楷體" w:eastAsia="標楷體" w:hAnsi="標楷體" w:cs="標楷體" w:hint="eastAsia"/>
          <w:color w:val="000000"/>
          <w:kern w:val="0"/>
          <w:szCs w:val="24"/>
        </w:rPr>
        <w:t>）：(115/1/1)</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cs="標楷體" w:hint="eastAsia"/>
          <w:color w:val="000000"/>
          <w:kern w:val="0"/>
          <w:szCs w:val="24"/>
        </w:rPr>
        <w:t>1.與</w:t>
      </w:r>
      <w:r w:rsidRPr="00EC69A8">
        <w:rPr>
          <w:rFonts w:ascii="標楷體" w:eastAsia="標楷體" w:hAnsi="標楷體" w:hint="eastAsia"/>
        </w:rPr>
        <w:t>fulvestrant</w:t>
      </w:r>
      <w:r w:rsidRPr="001B3700">
        <w:rPr>
          <w:rFonts w:ascii="標楷體" w:eastAsia="標楷體" w:hAnsi="標楷體" w:cs="標楷體" w:hint="eastAsia"/>
          <w:color w:val="000000"/>
          <w:kern w:val="0"/>
          <w:szCs w:val="24"/>
        </w:rPr>
        <w:t>併用於曾接受CDK4/6抑制劑治療但疾病惡化的停經後轉移性乳癌病人，且須完全符合下列條件：</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1B3700">
        <w:rPr>
          <w:rFonts w:ascii="標楷體" w:eastAsia="標楷體" w:hAnsi="標楷體" w:cs="標楷體" w:hint="eastAsia"/>
          <w:color w:val="000000"/>
          <w:kern w:val="0"/>
          <w:szCs w:val="24"/>
        </w:rPr>
        <w:t>(1)荷爾</w:t>
      </w:r>
      <w:r w:rsidRPr="00EC69A8">
        <w:rPr>
          <w:rFonts w:ascii="標楷體" w:eastAsia="標楷體" w:hAnsi="標楷體" w:hint="eastAsia"/>
          <w:szCs w:val="24"/>
        </w:rPr>
        <w:t>蒙受體為：ER或PR＞30%。</w:t>
      </w:r>
    </w:p>
    <w:p w:rsidR="00EC69A8" w:rsidRPr="00EC69A8" w:rsidRDefault="00EC69A8" w:rsidP="00EC69A8">
      <w:pPr>
        <w:snapToGrid w:val="0"/>
        <w:spacing w:line="400" w:lineRule="exact"/>
        <w:ind w:leftChars="320" w:left="1133" w:hangingChars="152" w:hanging="365"/>
        <w:jc w:val="both"/>
        <w:rPr>
          <w:rFonts w:ascii="標楷體" w:eastAsia="標楷體" w:hAnsi="標楷體"/>
          <w:szCs w:val="24"/>
        </w:rPr>
      </w:pPr>
      <w:r w:rsidRPr="00EC69A8">
        <w:rPr>
          <w:rFonts w:ascii="標楷體" w:eastAsia="標楷體" w:hAnsi="標楷體" w:hint="eastAsia"/>
          <w:szCs w:val="24"/>
        </w:rPr>
        <w:t>(2)HER-2 檢測為陰性。</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EC69A8">
        <w:rPr>
          <w:rFonts w:ascii="標楷體" w:eastAsia="標楷體" w:hAnsi="標楷體" w:hint="eastAsia"/>
          <w:szCs w:val="24"/>
        </w:rPr>
        <w:t>(</w:t>
      </w:r>
      <w:r w:rsidRPr="00EC69A8">
        <w:rPr>
          <w:rFonts w:ascii="標楷體" w:eastAsia="標楷體" w:hAnsi="標楷體"/>
          <w:szCs w:val="24"/>
        </w:rPr>
        <w:t>3)</w:t>
      </w:r>
      <w:r w:rsidRPr="00EC69A8">
        <w:rPr>
          <w:rFonts w:ascii="標楷體" w:eastAsia="標楷體" w:hAnsi="標楷體" w:hint="eastAsia"/>
          <w:szCs w:val="24"/>
        </w:rPr>
        <w:t>具有</w:t>
      </w:r>
      <w:r w:rsidRPr="001B3700">
        <w:rPr>
          <w:rFonts w:ascii="標楷體" w:eastAsia="標楷體" w:hAnsi="標楷體" w:cs="標楷體" w:hint="eastAsia"/>
          <w:color w:val="000000"/>
          <w:kern w:val="0"/>
          <w:szCs w:val="24"/>
        </w:rPr>
        <w:t>PIK3CA基因突變。</w:t>
      </w:r>
    </w:p>
    <w:p w:rsidR="00EC69A8" w:rsidRPr="001B3700" w:rsidRDefault="00EC69A8" w:rsidP="00EC69A8">
      <w:pPr>
        <w:spacing w:line="400" w:lineRule="exact"/>
        <w:ind w:leftChars="236" w:left="849" w:hangingChars="118" w:hanging="283"/>
        <w:rPr>
          <w:rFonts w:ascii="標楷體" w:eastAsia="標楷體" w:hAnsi="標楷體"/>
          <w:szCs w:val="24"/>
        </w:rPr>
      </w:pPr>
      <w:r w:rsidRPr="001B3700">
        <w:rPr>
          <w:rFonts w:ascii="標楷體" w:eastAsia="標楷體" w:hAnsi="標楷體" w:hint="eastAsia"/>
          <w:szCs w:val="24"/>
        </w:rPr>
        <w:t>2.需經事前審查核准後使用：</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t>(1)初次申請需檢附</w:t>
      </w:r>
      <w:r w:rsidRPr="001B3700">
        <w:rPr>
          <w:rFonts w:ascii="標楷體" w:eastAsia="標楷體" w:hAnsi="標楷體" w:cs="標楷體" w:hint="eastAsia"/>
          <w:color w:val="000000"/>
          <w:kern w:val="0"/>
          <w:szCs w:val="24"/>
        </w:rPr>
        <w:t>PIK3CA基因突變檢測報告，且需符合全民健康保險藥品給付規定之通則十二。</w:t>
      </w:r>
    </w:p>
    <w:p w:rsidR="00EC69A8" w:rsidRPr="001B3700" w:rsidRDefault="00EC69A8" w:rsidP="00EC69A8">
      <w:pPr>
        <w:snapToGrid w:val="0"/>
        <w:spacing w:line="400" w:lineRule="exact"/>
        <w:ind w:leftChars="320" w:left="1133" w:hangingChars="152" w:hanging="365"/>
        <w:jc w:val="both"/>
        <w:rPr>
          <w:rFonts w:ascii="標楷體" w:eastAsia="標楷體" w:hAnsi="標楷體" w:cs="標楷體"/>
          <w:color w:val="000000"/>
          <w:kern w:val="0"/>
          <w:szCs w:val="24"/>
        </w:rPr>
      </w:pPr>
      <w:r w:rsidRPr="001B3700">
        <w:rPr>
          <w:rFonts w:ascii="標楷體" w:eastAsia="標楷體" w:hAnsi="標楷體" w:hint="eastAsia"/>
          <w:szCs w:val="24"/>
        </w:rPr>
        <w:lastRenderedPageBreak/>
        <w:t>(2)</w:t>
      </w:r>
      <w:r w:rsidRPr="001B3700">
        <w:rPr>
          <w:rFonts w:ascii="標楷體" w:eastAsia="標楷體" w:hAnsi="標楷體" w:cs="標楷體" w:hint="eastAsia"/>
          <w:color w:val="000000"/>
          <w:kern w:val="0"/>
          <w:szCs w:val="24"/>
        </w:rPr>
        <w:t>核准後每12週需檢附療效</w:t>
      </w:r>
      <w:r w:rsidRPr="00EC69A8">
        <w:rPr>
          <w:rFonts w:ascii="標楷體" w:eastAsia="標楷體" w:hAnsi="標楷體" w:hint="eastAsia"/>
          <w:szCs w:val="24"/>
        </w:rPr>
        <w:t>評估</w:t>
      </w:r>
      <w:r w:rsidRPr="001B3700">
        <w:rPr>
          <w:rFonts w:ascii="標楷體" w:eastAsia="標楷體" w:hAnsi="標楷體" w:cs="標楷體" w:hint="eastAsia"/>
          <w:color w:val="000000"/>
          <w:kern w:val="0"/>
          <w:szCs w:val="24"/>
        </w:rPr>
        <w:t>資料再次申請，若疾病惡化及必須停止使用。</w:t>
      </w:r>
    </w:p>
    <w:p w:rsidR="00EC69A8" w:rsidRPr="001B3700" w:rsidRDefault="00EC69A8" w:rsidP="00EC69A8">
      <w:pPr>
        <w:spacing w:line="400" w:lineRule="exact"/>
        <w:ind w:leftChars="236" w:left="849" w:hangingChars="118" w:hanging="283"/>
        <w:rPr>
          <w:rFonts w:ascii="標楷體" w:eastAsia="標楷體" w:hAnsi="標楷體" w:cs="標楷體"/>
          <w:color w:val="000000"/>
          <w:kern w:val="0"/>
          <w:szCs w:val="24"/>
        </w:rPr>
      </w:pPr>
      <w:r w:rsidRPr="001B3700">
        <w:rPr>
          <w:rFonts w:ascii="標楷體" w:eastAsia="標楷體" w:hAnsi="標楷體" w:hint="eastAsia"/>
          <w:szCs w:val="24"/>
        </w:rPr>
        <w:t>3.每日最多處方2粒。</w:t>
      </w:r>
    </w:p>
    <w:p w:rsidR="003B14A6" w:rsidRPr="00567D1F" w:rsidRDefault="003B14A6" w:rsidP="003B14A6">
      <w:pPr>
        <w:spacing w:line="400" w:lineRule="exact"/>
        <w:ind w:left="709" w:hanging="451"/>
        <w:rPr>
          <w:rFonts w:ascii="標楷體" w:eastAsia="標楷體" w:hAnsi="標楷體"/>
          <w:color w:val="000000"/>
        </w:rPr>
      </w:pPr>
      <w:r w:rsidRPr="00567D1F">
        <w:rPr>
          <w:rFonts w:ascii="標楷體" w:eastAsia="標楷體" w:hAnsi="標楷體"/>
          <w:color w:val="000000"/>
        </w:rPr>
        <w:t>9.130.</w:t>
      </w:r>
      <w:r w:rsidRPr="003B14A6">
        <w:rPr>
          <w:rFonts w:ascii="標楷體" w:eastAsia="標楷體" w:hAnsi="標楷體"/>
        </w:rPr>
        <w:t>Fulvestrant</w:t>
      </w:r>
      <w:r w:rsidRPr="00567D1F">
        <w:rPr>
          <w:rFonts w:ascii="標楷體" w:eastAsia="標楷體" w:hAnsi="標楷體"/>
          <w:color w:val="000000"/>
        </w:rPr>
        <w:t>(如 Fustron)：(115/1/1)</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567D1F">
        <w:rPr>
          <w:rFonts w:ascii="標楷體" w:eastAsia="標楷體" w:hAnsi="標楷體"/>
          <w:color w:val="000000"/>
        </w:rPr>
        <w:t>1.單獨使用</w:t>
      </w:r>
      <w:r w:rsidRPr="003B14A6">
        <w:rPr>
          <w:rFonts w:ascii="標楷體" w:eastAsia="標楷體" w:hAnsi="標楷體" w:cs="標楷體"/>
          <w:color w:val="000000"/>
          <w:kern w:val="0"/>
          <w:szCs w:val="24"/>
        </w:rPr>
        <w:t xml:space="preserve">於患有雌激素受體陽性的局部晚期或轉移性乳癌之停經病人，其已接受輔助抗雌激素療法但疾病仍復發，或使用抗雌激素療法但疾病仍惡化。 </w:t>
      </w:r>
    </w:p>
    <w:p w:rsidR="003B14A6" w:rsidRPr="003B14A6" w:rsidRDefault="003B14A6" w:rsidP="003B14A6">
      <w:pPr>
        <w:spacing w:line="400" w:lineRule="exact"/>
        <w:ind w:leftChars="236" w:left="849" w:hangingChars="118" w:hanging="283"/>
        <w:rPr>
          <w:rFonts w:ascii="標楷體" w:eastAsia="標楷體" w:hAnsi="標楷體" w:cs="標楷體"/>
          <w:color w:val="000000"/>
          <w:kern w:val="0"/>
          <w:szCs w:val="24"/>
        </w:rPr>
      </w:pPr>
      <w:r w:rsidRPr="003B14A6">
        <w:rPr>
          <w:rFonts w:ascii="標楷體" w:eastAsia="標楷體" w:hAnsi="標楷體" w:cs="標楷體"/>
          <w:color w:val="000000"/>
          <w:kern w:val="0"/>
          <w:szCs w:val="24"/>
        </w:rPr>
        <w:t>2.與alpelisib併用於曾接受CDK4/6抑制劑治療但疾病惡化的停經後轉移性乳癌病人，且須符合alpelisib之藥品給付規定。</w:t>
      </w:r>
    </w:p>
    <w:p w:rsidR="003B14A6" w:rsidRPr="00567D1F" w:rsidRDefault="003B14A6" w:rsidP="003B14A6">
      <w:pPr>
        <w:spacing w:line="400" w:lineRule="exact"/>
        <w:ind w:leftChars="236" w:left="849" w:hangingChars="118" w:hanging="283"/>
        <w:rPr>
          <w:rFonts w:ascii="標楷體" w:eastAsia="標楷體" w:hAnsi="標楷體"/>
          <w:color w:val="000000"/>
        </w:rPr>
      </w:pPr>
      <w:r w:rsidRPr="003B14A6">
        <w:rPr>
          <w:rFonts w:ascii="標楷體" w:eastAsia="標楷體" w:hAnsi="標楷體" w:cs="標楷體"/>
          <w:color w:val="000000"/>
          <w:kern w:val="0"/>
          <w:szCs w:val="24"/>
        </w:rPr>
        <w:t>3.與CDK4/6抑制劑(限使用palbociclib)併用於曾接受過內分泌療法之局部晚期或轉移性乳癌病人</w:t>
      </w:r>
      <w:r w:rsidRPr="00567D1F">
        <w:rPr>
          <w:rFonts w:ascii="標楷體" w:eastAsia="標楷體" w:hAnsi="標楷體"/>
          <w:color w:val="000000"/>
        </w:rPr>
        <w:t>，且須符合CDK4/6抑制劑之藥品給付規定。</w:t>
      </w:r>
    </w:p>
    <w:p w:rsidR="001A740D" w:rsidRPr="003B14A6" w:rsidRDefault="001A740D" w:rsidP="00D250AB">
      <w:pPr>
        <w:snapToGrid w:val="0"/>
        <w:spacing w:line="400" w:lineRule="exact"/>
        <w:ind w:left="851" w:hanging="283"/>
        <w:jc w:val="both"/>
      </w:pPr>
    </w:p>
    <w:sectPr w:rsidR="001A740D" w:rsidRPr="003B14A6">
      <w:footerReference w:type="default" r:id="rId7"/>
      <w:pgSz w:w="11906" w:h="16838"/>
      <w:pgMar w:top="1134" w:right="1134" w:bottom="1134" w:left="1134" w:header="851" w:footer="992" w:gutter="0"/>
      <w:cols w:space="720"/>
      <w:docGrid w:type="lines" w:linePitch="4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21E4B" w:rsidRDefault="00321E4B">
      <w:r>
        <w:separator/>
      </w:r>
    </w:p>
  </w:endnote>
  <w:endnote w:type="continuationSeparator" w:id="0">
    <w:p w:rsidR="00321E4B" w:rsidRDefault="00321E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Arial Unicode MS">
    <w:altName w:val="Arial"/>
    <w:panose1 w:val="020B0604020202020204"/>
    <w:charset w:val="88"/>
    <w:family w:val="swiss"/>
    <w:pitch w:val="variable"/>
  </w:font>
  <w:font w:name="Cambria">
    <w:panose1 w:val="02040503050406030204"/>
    <w:charset w:val="00"/>
    <w:family w:val="roman"/>
    <w:pitch w:val="variable"/>
    <w:sig w:usb0="E00006FF" w:usb1="420024FF" w:usb2="02000000" w:usb3="00000000" w:csb0="0000019F" w:csb1="00000000"/>
  </w:font>
  <w:font w:name="標楷體.鬁...">
    <w:charset w:val="00"/>
    <w:family w:val="roman"/>
    <w:pitch w:val="default"/>
  </w:font>
  <w:font w:name="Liberation Serif">
    <w:panose1 w:val="02020603050405020304"/>
    <w:charset w:val="00"/>
    <w:family w:val="roman"/>
    <w:pitch w:val="variable"/>
    <w:sig w:usb0="E0000AFF" w:usb1="500078FF" w:usb2="00000021" w:usb3="00000000" w:csb0="000001BF" w:csb1="00000000"/>
  </w:font>
  <w:font w:name="微軟正黑體">
    <w:panose1 w:val="020B0604030504040204"/>
    <w:charset w:val="88"/>
    <w:family w:val="swiss"/>
    <w:pitch w:val="variable"/>
    <w:sig w:usb0="000002A7" w:usb1="28CF4400" w:usb2="00000016" w:usb3="00000000" w:csb0="00100009" w:csb1="00000000"/>
  </w:font>
  <w:font w:name="BiauKai">
    <w:charset w:val="00"/>
    <w:family w:val="script"/>
    <w:pitch w:val="fixed"/>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50401E" w:rsidRDefault="0050401E">
    <w:pPr>
      <w:pStyle w:val="a5"/>
      <w:jc w:val="center"/>
    </w:pPr>
    <w:r>
      <w:rPr>
        <w:rFonts w:ascii="Times New Roman" w:eastAsia="標楷體" w:hAnsi="Times New Roman"/>
      </w:rPr>
      <w:t>第</w:t>
    </w:r>
    <w:r>
      <w:rPr>
        <w:rFonts w:ascii="Times New Roman" w:eastAsia="標楷體" w:hAnsi="Times New Roman"/>
      </w:rPr>
      <w:t>9</w:t>
    </w:r>
    <w:r>
      <w:rPr>
        <w:rFonts w:ascii="Times New Roman" w:eastAsia="標楷體" w:hAnsi="Times New Roman"/>
      </w:rPr>
      <w:t>節</w:t>
    </w:r>
    <w:r>
      <w:rPr>
        <w:rFonts w:ascii="Times New Roman" w:eastAsia="標楷體" w:hAnsi="Times New Roman"/>
      </w:rPr>
      <w:t>-</w:t>
    </w:r>
    <w:r>
      <w:rPr>
        <w:rFonts w:ascii="Times New Roman" w:eastAsia="標楷體" w:hAnsi="Times New Roman"/>
        <w:lang w:val="zh-TW"/>
      </w:rPr>
      <w:fldChar w:fldCharType="begin"/>
    </w:r>
    <w:r>
      <w:rPr>
        <w:rFonts w:ascii="Times New Roman" w:eastAsia="標楷體" w:hAnsi="Times New Roman"/>
        <w:lang w:val="zh-TW"/>
      </w:rPr>
      <w:instrText xml:space="preserve"> PAGE </w:instrText>
    </w:r>
    <w:r>
      <w:rPr>
        <w:rFonts w:ascii="Times New Roman" w:eastAsia="標楷體" w:hAnsi="Times New Roman"/>
        <w:lang w:val="zh-TW"/>
      </w:rPr>
      <w:fldChar w:fldCharType="separate"/>
    </w:r>
    <w:r>
      <w:rPr>
        <w:rFonts w:ascii="Times New Roman" w:eastAsia="標楷體" w:hAnsi="Times New Roman"/>
        <w:lang w:val="zh-TW"/>
      </w:rPr>
      <w:t>7</w:t>
    </w:r>
    <w:r>
      <w:rPr>
        <w:rFonts w:ascii="Times New Roman" w:eastAsia="標楷體" w:hAnsi="Times New Roman"/>
        <w:lang w:val="zh-TW"/>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21E4B" w:rsidRDefault="00321E4B">
      <w:r>
        <w:rPr>
          <w:color w:val="000000"/>
        </w:rPr>
        <w:separator/>
      </w:r>
    </w:p>
  </w:footnote>
  <w:footnote w:type="continuationSeparator" w:id="0">
    <w:p w:rsidR="00321E4B" w:rsidRDefault="00321E4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815E74"/>
    <w:multiLevelType w:val="multilevel"/>
    <w:tmpl w:val="C3425778"/>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 w15:restartNumberingAfterBreak="0">
    <w:nsid w:val="08541EF4"/>
    <w:multiLevelType w:val="hybridMultilevel"/>
    <w:tmpl w:val="612AF044"/>
    <w:lvl w:ilvl="0" w:tplc="123E59A4">
      <w:start w:val="3"/>
      <w:numFmt w:val="decimal"/>
      <w:lvlText w:val="%1."/>
      <w:lvlJc w:val="left"/>
      <w:pPr>
        <w:ind w:left="360" w:hanging="360"/>
      </w:pPr>
      <w:rPr>
        <w:rFonts w:ascii="標楷體" w:eastAsia="標楷體" w:hAnsi="標楷體" w:hint="default"/>
        <w:color w:val="000000"/>
        <w:u w:val="none"/>
      </w:rPr>
    </w:lvl>
    <w:lvl w:ilvl="1" w:tplc="EEA48AC4">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 w15:restartNumberingAfterBreak="0">
    <w:nsid w:val="0AF80F9D"/>
    <w:multiLevelType w:val="multilevel"/>
    <w:tmpl w:val="7F1A661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3" w15:restartNumberingAfterBreak="0">
    <w:nsid w:val="0B2F2AD7"/>
    <w:multiLevelType w:val="hybridMultilevel"/>
    <w:tmpl w:val="D45456A4"/>
    <w:lvl w:ilvl="0" w:tplc="463E1086">
      <w:start w:val="1"/>
      <w:numFmt w:val="decimal"/>
      <w:lvlText w:val="%1."/>
      <w:lvlJc w:val="left"/>
      <w:pPr>
        <w:ind w:left="480" w:hanging="480"/>
      </w:pPr>
      <w:rPr>
        <w:sz w:val="28"/>
        <w:szCs w:val="28"/>
        <w:u w:val="single"/>
      </w:rPr>
    </w:lvl>
    <w:lvl w:ilvl="1" w:tplc="BF420056">
      <w:start w:val="1"/>
      <w:numFmt w:val="decimal"/>
      <w:lvlText w:val="(%2)."/>
      <w:lvlJc w:val="left"/>
      <w:pPr>
        <w:ind w:left="960" w:hanging="480"/>
      </w:pPr>
      <w:rPr>
        <w:rFonts w:hint="eastAsia"/>
        <w:u w:val="none"/>
      </w:rPr>
    </w:lvl>
    <w:lvl w:ilvl="2" w:tplc="3DBE20C6">
      <w:start w:val="1"/>
      <w:numFmt w:val="upperRoman"/>
      <w:lvlText w:val="%3."/>
      <w:lvlJc w:val="left"/>
      <w:pPr>
        <w:ind w:left="1048" w:hanging="480"/>
      </w:pPr>
      <w:rPr>
        <w:u w:val="none"/>
      </w:rPr>
    </w:lvl>
    <w:lvl w:ilvl="3" w:tplc="0409001B">
      <w:start w:val="1"/>
      <w:numFmt w:val="lowerRoman"/>
      <w:lvlText w:val="%4."/>
      <w:lvlJc w:val="right"/>
      <w:pPr>
        <w:ind w:left="1757"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0CE90025"/>
    <w:multiLevelType w:val="multilevel"/>
    <w:tmpl w:val="369E99FE"/>
    <w:lvl w:ilvl="0">
      <w:start w:val="1"/>
      <w:numFmt w:val="upperRoman"/>
      <w:lvlText w:val="%1."/>
      <w:lvlJc w:val="left"/>
      <w:pPr>
        <w:ind w:left="1615" w:hanging="480"/>
      </w:pPr>
      <w:rPr>
        <w:rFonts w:ascii="標楷體" w:eastAsia="標楷體" w:hAnsi="標楷體"/>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5" w15:restartNumberingAfterBreak="0">
    <w:nsid w:val="0E5B764C"/>
    <w:multiLevelType w:val="multilevel"/>
    <w:tmpl w:val="3474CD50"/>
    <w:lvl w:ilvl="0">
      <w:start w:val="5"/>
      <w:numFmt w:val="upperRoman"/>
      <w:lvlText w:val="%1."/>
      <w:lvlJc w:val="left"/>
      <w:pPr>
        <w:ind w:left="1440" w:hanging="480"/>
      </w:pPr>
      <w:rPr>
        <w:rFonts w:ascii="標楷體" w:eastAsia="標楷體" w:hAnsi="標楷體"/>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6" w15:restartNumberingAfterBreak="0">
    <w:nsid w:val="115B0429"/>
    <w:multiLevelType w:val="multilevel"/>
    <w:tmpl w:val="85D0E320"/>
    <w:lvl w:ilvl="0">
      <w:start w:val="7"/>
      <w:numFmt w:val="decimal"/>
      <w:lvlText w:val="(%1)"/>
      <w:lvlJc w:val="left"/>
      <w:pPr>
        <w:ind w:left="879"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7" w15:restartNumberingAfterBreak="0">
    <w:nsid w:val="11860722"/>
    <w:multiLevelType w:val="hybridMultilevel"/>
    <w:tmpl w:val="868AEF6A"/>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8" w15:restartNumberingAfterBreak="0">
    <w:nsid w:val="16462417"/>
    <w:multiLevelType w:val="hybridMultilevel"/>
    <w:tmpl w:val="904E834C"/>
    <w:lvl w:ilvl="0" w:tplc="3DBE20C6">
      <w:start w:val="1"/>
      <w:numFmt w:val="upperRoman"/>
      <w:lvlText w:val="%1."/>
      <w:lvlJc w:val="left"/>
      <w:pPr>
        <w:ind w:left="1756" w:hanging="480"/>
      </w:pPr>
      <w:rPr>
        <w:u w:val="none"/>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9" w15:restartNumberingAfterBreak="0">
    <w:nsid w:val="1E9E4463"/>
    <w:multiLevelType w:val="multilevel"/>
    <w:tmpl w:val="9320A478"/>
    <w:lvl w:ilvl="0">
      <w:start w:val="7"/>
      <w:numFmt w:val="decimal"/>
      <w:lvlText w:val="(%1)"/>
      <w:lvlJc w:val="left"/>
      <w:pPr>
        <w:ind w:left="879" w:hanging="480"/>
      </w:pPr>
      <w:rPr>
        <w:u w:val="singl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0" w15:restartNumberingAfterBreak="0">
    <w:nsid w:val="27BE5C55"/>
    <w:multiLevelType w:val="hybridMultilevel"/>
    <w:tmpl w:val="3FA29358"/>
    <w:lvl w:ilvl="0" w:tplc="156AD764">
      <w:start w:val="1"/>
      <w:numFmt w:val="decimal"/>
      <w:lvlText w:val="%1."/>
      <w:lvlJc w:val="left"/>
      <w:pPr>
        <w:ind w:left="360" w:hanging="360"/>
      </w:pPr>
      <w:rPr>
        <w:rFonts w:ascii="標楷體" w:eastAsia="標楷體" w:hAnsi="標楷體" w:hint="default"/>
        <w:color w:val="auto"/>
      </w:rPr>
    </w:lvl>
    <w:lvl w:ilvl="1" w:tplc="C414CD7C">
      <w:start w:val="1"/>
      <w:numFmt w:val="decimal"/>
      <w:lvlText w:val="(%2)"/>
      <w:lvlJc w:val="left"/>
      <w:pPr>
        <w:ind w:left="960" w:hanging="480"/>
      </w:pPr>
      <w:rPr>
        <w:rFonts w:hint="eastAsia"/>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27CB5B56"/>
    <w:multiLevelType w:val="multilevel"/>
    <w:tmpl w:val="8166ADEA"/>
    <w:lvl w:ilvl="0">
      <w:start w:val="1"/>
      <w:numFmt w:val="decimal"/>
      <w:suff w:val="nothing"/>
      <w:lvlText w:val="(%1)"/>
      <w:lvlJc w:val="left"/>
      <w:pPr>
        <w:ind w:left="2124" w:hanging="360"/>
      </w:pPr>
    </w:lvl>
    <w:lvl w:ilvl="1">
      <w:start w:val="1"/>
      <w:numFmt w:val="ideographTraditional"/>
      <w:lvlText w:val="%2、"/>
      <w:lvlJc w:val="left"/>
      <w:pPr>
        <w:ind w:left="2244" w:hanging="480"/>
      </w:pPr>
    </w:lvl>
    <w:lvl w:ilvl="2">
      <w:start w:val="1"/>
      <w:numFmt w:val="lowerRoman"/>
      <w:lvlText w:val="%3."/>
      <w:lvlJc w:val="right"/>
      <w:pPr>
        <w:ind w:left="2724" w:hanging="480"/>
      </w:pPr>
    </w:lvl>
    <w:lvl w:ilvl="3">
      <w:start w:val="1"/>
      <w:numFmt w:val="decimal"/>
      <w:lvlText w:val="%4."/>
      <w:lvlJc w:val="left"/>
      <w:pPr>
        <w:ind w:left="3204" w:hanging="480"/>
      </w:pPr>
    </w:lvl>
    <w:lvl w:ilvl="4">
      <w:start w:val="1"/>
      <w:numFmt w:val="ideographTraditional"/>
      <w:lvlText w:val="%5、"/>
      <w:lvlJc w:val="left"/>
      <w:pPr>
        <w:ind w:left="3684" w:hanging="480"/>
      </w:pPr>
    </w:lvl>
    <w:lvl w:ilvl="5">
      <w:start w:val="1"/>
      <w:numFmt w:val="lowerRoman"/>
      <w:lvlText w:val="%6."/>
      <w:lvlJc w:val="right"/>
      <w:pPr>
        <w:ind w:left="4164" w:hanging="480"/>
      </w:pPr>
    </w:lvl>
    <w:lvl w:ilvl="6">
      <w:start w:val="1"/>
      <w:numFmt w:val="decimal"/>
      <w:lvlText w:val="%7."/>
      <w:lvlJc w:val="left"/>
      <w:pPr>
        <w:ind w:left="4644" w:hanging="480"/>
      </w:pPr>
    </w:lvl>
    <w:lvl w:ilvl="7">
      <w:start w:val="1"/>
      <w:numFmt w:val="ideographTraditional"/>
      <w:lvlText w:val="%8、"/>
      <w:lvlJc w:val="left"/>
      <w:pPr>
        <w:ind w:left="5124" w:hanging="480"/>
      </w:pPr>
    </w:lvl>
    <w:lvl w:ilvl="8">
      <w:start w:val="1"/>
      <w:numFmt w:val="lowerRoman"/>
      <w:lvlText w:val="%9."/>
      <w:lvlJc w:val="right"/>
      <w:pPr>
        <w:ind w:left="5604" w:hanging="480"/>
      </w:pPr>
    </w:lvl>
  </w:abstractNum>
  <w:abstractNum w:abstractNumId="12" w15:restartNumberingAfterBreak="0">
    <w:nsid w:val="28364FC0"/>
    <w:multiLevelType w:val="multilevel"/>
    <w:tmpl w:val="687CE61C"/>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13" w15:restartNumberingAfterBreak="0">
    <w:nsid w:val="2BFD4084"/>
    <w:multiLevelType w:val="hybridMultilevel"/>
    <w:tmpl w:val="FF8E70C8"/>
    <w:lvl w:ilvl="0" w:tplc="C414CD7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4" w15:restartNumberingAfterBreak="0">
    <w:nsid w:val="34E02AE5"/>
    <w:multiLevelType w:val="hybridMultilevel"/>
    <w:tmpl w:val="7B02A198"/>
    <w:lvl w:ilvl="0" w:tplc="E0CEFB2C">
      <w:start w:val="1"/>
      <w:numFmt w:val="upperRoman"/>
      <w:lvlText w:val="%1."/>
      <w:lvlJc w:val="left"/>
      <w:pPr>
        <w:ind w:left="144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57D3D98"/>
    <w:multiLevelType w:val="hybridMultilevel"/>
    <w:tmpl w:val="7DEE8DB6"/>
    <w:lvl w:ilvl="0" w:tplc="EEA48AC4">
      <w:start w:val="1"/>
      <w:numFmt w:val="decimal"/>
      <w:lvlText w:val="(%1)"/>
      <w:lvlJc w:val="left"/>
      <w:pPr>
        <w:ind w:left="960" w:hanging="480"/>
      </w:pPr>
      <w:rPr>
        <w:rFonts w:hint="eastAsia"/>
        <w:color w:val="auto"/>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15:restartNumberingAfterBreak="0">
    <w:nsid w:val="373E0A35"/>
    <w:multiLevelType w:val="hybridMultilevel"/>
    <w:tmpl w:val="A610310E"/>
    <w:lvl w:ilvl="0" w:tplc="E0CEFB2C">
      <w:start w:val="1"/>
      <w:numFmt w:val="upperRoman"/>
      <w:lvlText w:val="%1."/>
      <w:lvlJc w:val="left"/>
      <w:pPr>
        <w:ind w:left="1805" w:hanging="480"/>
      </w:pPr>
      <w:rPr>
        <w:rFonts w:hint="eastAsia"/>
      </w:rPr>
    </w:lvl>
    <w:lvl w:ilvl="1" w:tplc="04090019" w:tentative="1">
      <w:start w:val="1"/>
      <w:numFmt w:val="ideographTraditional"/>
      <w:lvlText w:val="%2、"/>
      <w:lvlJc w:val="left"/>
      <w:pPr>
        <w:ind w:left="2285" w:hanging="480"/>
      </w:pPr>
    </w:lvl>
    <w:lvl w:ilvl="2" w:tplc="0409001B" w:tentative="1">
      <w:start w:val="1"/>
      <w:numFmt w:val="lowerRoman"/>
      <w:lvlText w:val="%3."/>
      <w:lvlJc w:val="right"/>
      <w:pPr>
        <w:ind w:left="2765" w:hanging="480"/>
      </w:pPr>
    </w:lvl>
    <w:lvl w:ilvl="3" w:tplc="0409000F" w:tentative="1">
      <w:start w:val="1"/>
      <w:numFmt w:val="decimal"/>
      <w:lvlText w:val="%4."/>
      <w:lvlJc w:val="left"/>
      <w:pPr>
        <w:ind w:left="3245" w:hanging="480"/>
      </w:pPr>
    </w:lvl>
    <w:lvl w:ilvl="4" w:tplc="04090019" w:tentative="1">
      <w:start w:val="1"/>
      <w:numFmt w:val="ideographTraditional"/>
      <w:lvlText w:val="%5、"/>
      <w:lvlJc w:val="left"/>
      <w:pPr>
        <w:ind w:left="3725" w:hanging="480"/>
      </w:pPr>
    </w:lvl>
    <w:lvl w:ilvl="5" w:tplc="0409001B" w:tentative="1">
      <w:start w:val="1"/>
      <w:numFmt w:val="lowerRoman"/>
      <w:lvlText w:val="%6."/>
      <w:lvlJc w:val="right"/>
      <w:pPr>
        <w:ind w:left="4205" w:hanging="480"/>
      </w:pPr>
    </w:lvl>
    <w:lvl w:ilvl="6" w:tplc="0409000F" w:tentative="1">
      <w:start w:val="1"/>
      <w:numFmt w:val="decimal"/>
      <w:lvlText w:val="%7."/>
      <w:lvlJc w:val="left"/>
      <w:pPr>
        <w:ind w:left="4685" w:hanging="480"/>
      </w:pPr>
    </w:lvl>
    <w:lvl w:ilvl="7" w:tplc="04090019" w:tentative="1">
      <w:start w:val="1"/>
      <w:numFmt w:val="ideographTraditional"/>
      <w:lvlText w:val="%8、"/>
      <w:lvlJc w:val="left"/>
      <w:pPr>
        <w:ind w:left="5165" w:hanging="480"/>
      </w:pPr>
    </w:lvl>
    <w:lvl w:ilvl="8" w:tplc="0409001B" w:tentative="1">
      <w:start w:val="1"/>
      <w:numFmt w:val="lowerRoman"/>
      <w:lvlText w:val="%9."/>
      <w:lvlJc w:val="right"/>
      <w:pPr>
        <w:ind w:left="5645" w:hanging="480"/>
      </w:pPr>
    </w:lvl>
  </w:abstractNum>
  <w:abstractNum w:abstractNumId="17" w15:restartNumberingAfterBreak="0">
    <w:nsid w:val="37602EA0"/>
    <w:multiLevelType w:val="multilevel"/>
    <w:tmpl w:val="C26E6962"/>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18" w15:restartNumberingAfterBreak="0">
    <w:nsid w:val="3A7E2FA9"/>
    <w:multiLevelType w:val="hybridMultilevel"/>
    <w:tmpl w:val="D29C2634"/>
    <w:lvl w:ilvl="0" w:tplc="0586692E">
      <w:start w:val="1"/>
      <w:numFmt w:val="decimal"/>
      <w:lvlText w:val="(%1)"/>
      <w:lvlJc w:val="left"/>
      <w:pPr>
        <w:ind w:left="960" w:hanging="480"/>
      </w:pPr>
      <w:rPr>
        <w:rFonts w:hint="eastAsia"/>
      </w:rPr>
    </w:lvl>
    <w:lvl w:ilvl="1" w:tplc="F1A4C312">
      <w:start w:val="1"/>
      <w:numFmt w:val="decimal"/>
      <w:lvlText w:val="(%2)"/>
      <w:lvlJc w:val="left"/>
      <w:pPr>
        <w:ind w:left="960" w:hanging="480"/>
      </w:pPr>
      <w:rPr>
        <w:rFonts w:hint="eastAsia"/>
        <w:color w:val="auto"/>
        <w:u w:val="none"/>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B6967C4"/>
    <w:multiLevelType w:val="multilevel"/>
    <w:tmpl w:val="3D1CAAA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20" w15:restartNumberingAfterBreak="0">
    <w:nsid w:val="3CC0501D"/>
    <w:multiLevelType w:val="multilevel"/>
    <w:tmpl w:val="5EDA2F04"/>
    <w:lvl w:ilvl="0">
      <w:start w:val="5"/>
      <w:numFmt w:val="upperRoman"/>
      <w:lvlText w:val="%1."/>
      <w:lvlJc w:val="left"/>
      <w:pPr>
        <w:ind w:left="1440" w:hanging="480"/>
      </w:p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1" w15:restartNumberingAfterBreak="0">
    <w:nsid w:val="3CEB4BDD"/>
    <w:multiLevelType w:val="multilevel"/>
    <w:tmpl w:val="4CAAAECE"/>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2" w15:restartNumberingAfterBreak="0">
    <w:nsid w:val="3DB20DDE"/>
    <w:multiLevelType w:val="multilevel"/>
    <w:tmpl w:val="7C5C4AB2"/>
    <w:lvl w:ilvl="0">
      <w:start w:val="1"/>
      <w:numFmt w:val="decimal"/>
      <w:lvlText w:val="%1."/>
      <w:lvlJc w:val="left"/>
      <w:pPr>
        <w:ind w:left="480" w:hanging="480"/>
      </w:pPr>
      <w:rPr>
        <w:rFonts w:ascii="Times New Roman" w:hAnsi="Times New Roman" w:cs="Times New Roman"/>
      </w:rPr>
    </w:lvl>
    <w:lvl w:ilvl="1">
      <w:start w:val="1"/>
      <w:numFmt w:val="decimal"/>
      <w:lvlText w:val="(%2)"/>
      <w:lvlJc w:val="left"/>
      <w:pPr>
        <w:ind w:left="960" w:hanging="480"/>
      </w:pPr>
      <w:rPr>
        <w:rFonts w:ascii="標楷體" w:eastAsia="標楷體" w:hAnsi="標楷體" w:cs="Times New Roman"/>
      </w:rPr>
    </w:lvl>
    <w:lvl w:ilvl="2">
      <w:start w:val="1"/>
      <w:numFmt w:val="upperRoman"/>
      <w:lvlText w:val="%3."/>
      <w:lvlJc w:val="left"/>
      <w:pPr>
        <w:ind w:left="1440" w:hanging="480"/>
      </w:pPr>
    </w:lvl>
    <w:lvl w:ilvl="3">
      <w:start w:val="1"/>
      <w:numFmt w:val="lowerRoman"/>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3" w15:restartNumberingAfterBreak="0">
    <w:nsid w:val="41C03328"/>
    <w:multiLevelType w:val="multilevel"/>
    <w:tmpl w:val="B4AEE706"/>
    <w:lvl w:ilvl="0">
      <w:start w:val="2"/>
      <w:numFmt w:val="decimal"/>
      <w:lvlText w:val="%1."/>
      <w:lvlJc w:val="left"/>
      <w:pPr>
        <w:ind w:left="516" w:hanging="360"/>
      </w:pPr>
      <w:rPr>
        <w:rFonts w:hint="eastAsia"/>
      </w:rPr>
    </w:lvl>
    <w:lvl w:ilvl="1">
      <w:start w:val="1"/>
      <w:numFmt w:val="decimal"/>
      <w:lvlText w:val="(%2)"/>
      <w:lvlJc w:val="left"/>
      <w:pPr>
        <w:ind w:left="1116" w:hanging="480"/>
      </w:pPr>
      <w:rPr>
        <w:rFonts w:hint="eastAsia"/>
      </w:rPr>
    </w:lvl>
    <w:lvl w:ilvl="2">
      <w:start w:val="1"/>
      <w:numFmt w:val="upperRoman"/>
      <w:lvlText w:val="%3."/>
      <w:lvlJc w:val="left"/>
      <w:pPr>
        <w:ind w:left="1596" w:hanging="480"/>
      </w:pPr>
      <w:rPr>
        <w:rFonts w:hint="eastAsia"/>
      </w:rPr>
    </w:lvl>
    <w:lvl w:ilvl="3">
      <w:start w:val="1"/>
      <w:numFmt w:val="lowerRoman"/>
      <w:lvlText w:val="%4."/>
      <w:lvlJc w:val="left"/>
      <w:pPr>
        <w:ind w:left="2316" w:hanging="720"/>
      </w:pPr>
      <w:rPr>
        <w:rFonts w:hint="eastAsia"/>
      </w:rPr>
    </w:lvl>
    <w:lvl w:ilvl="4">
      <w:start w:val="1"/>
      <w:numFmt w:val="ideographTraditional"/>
      <w:lvlText w:val="%5、"/>
      <w:lvlJc w:val="left"/>
      <w:pPr>
        <w:ind w:left="2556" w:hanging="480"/>
      </w:pPr>
      <w:rPr>
        <w:rFonts w:hint="eastAsia"/>
      </w:rPr>
    </w:lvl>
    <w:lvl w:ilvl="5">
      <w:start w:val="1"/>
      <w:numFmt w:val="lowerRoman"/>
      <w:lvlText w:val="%6."/>
      <w:lvlJc w:val="right"/>
      <w:pPr>
        <w:ind w:left="3036" w:hanging="480"/>
      </w:pPr>
      <w:rPr>
        <w:rFonts w:hint="eastAsia"/>
      </w:rPr>
    </w:lvl>
    <w:lvl w:ilvl="6">
      <w:start w:val="1"/>
      <w:numFmt w:val="decimal"/>
      <w:lvlText w:val="%7."/>
      <w:lvlJc w:val="left"/>
      <w:pPr>
        <w:ind w:left="3516" w:hanging="480"/>
      </w:pPr>
      <w:rPr>
        <w:rFonts w:hint="eastAsia"/>
      </w:rPr>
    </w:lvl>
    <w:lvl w:ilvl="7">
      <w:start w:val="1"/>
      <w:numFmt w:val="ideographTraditional"/>
      <w:lvlText w:val="%8、"/>
      <w:lvlJc w:val="left"/>
      <w:pPr>
        <w:ind w:left="3996" w:hanging="480"/>
      </w:pPr>
      <w:rPr>
        <w:rFonts w:hint="eastAsia"/>
      </w:rPr>
    </w:lvl>
    <w:lvl w:ilvl="8">
      <w:start w:val="1"/>
      <w:numFmt w:val="lowerRoman"/>
      <w:lvlText w:val="%9."/>
      <w:lvlJc w:val="right"/>
      <w:pPr>
        <w:ind w:left="4476" w:hanging="480"/>
      </w:pPr>
      <w:rPr>
        <w:rFonts w:hint="eastAsia"/>
      </w:rPr>
    </w:lvl>
  </w:abstractNum>
  <w:abstractNum w:abstractNumId="24" w15:restartNumberingAfterBreak="0">
    <w:nsid w:val="42352223"/>
    <w:multiLevelType w:val="multilevel"/>
    <w:tmpl w:val="A316ED5E"/>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5" w15:restartNumberingAfterBreak="0">
    <w:nsid w:val="4370516D"/>
    <w:multiLevelType w:val="hybridMultilevel"/>
    <w:tmpl w:val="5A421248"/>
    <w:lvl w:ilvl="0" w:tplc="A7D2CEAC">
      <w:start w:val="1"/>
      <w:numFmt w:val="upp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6" w15:restartNumberingAfterBreak="0">
    <w:nsid w:val="47B23EF4"/>
    <w:multiLevelType w:val="hybridMultilevel"/>
    <w:tmpl w:val="4B1CC796"/>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27" w15:restartNumberingAfterBreak="0">
    <w:nsid w:val="49CF3CA3"/>
    <w:multiLevelType w:val="multilevel"/>
    <w:tmpl w:val="D7C897B2"/>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28" w15:restartNumberingAfterBreak="0">
    <w:nsid w:val="51033091"/>
    <w:multiLevelType w:val="multilevel"/>
    <w:tmpl w:val="EA28C04A"/>
    <w:lvl w:ilvl="0">
      <w:start w:val="1"/>
      <w:numFmt w:val="decimal"/>
      <w:lvlText w:val="%1."/>
      <w:lvlJc w:val="left"/>
      <w:pPr>
        <w:ind w:left="516" w:hanging="360"/>
      </w:pPr>
    </w:lvl>
    <w:lvl w:ilvl="1">
      <w:start w:val="1"/>
      <w:numFmt w:val="decimal"/>
      <w:lvlText w:val="(%2)"/>
      <w:lvlJc w:val="left"/>
      <w:pPr>
        <w:ind w:left="1116" w:hanging="480"/>
      </w:pPr>
    </w:lvl>
    <w:lvl w:ilvl="2">
      <w:start w:val="1"/>
      <w:numFmt w:val="upperRoman"/>
      <w:lvlText w:val="%3."/>
      <w:lvlJc w:val="left"/>
      <w:pPr>
        <w:ind w:left="1596" w:hanging="480"/>
      </w:pPr>
    </w:lvl>
    <w:lvl w:ilvl="3">
      <w:start w:val="1"/>
      <w:numFmt w:val="lowerRoman"/>
      <w:lvlText w:val="%4."/>
      <w:lvlJc w:val="left"/>
      <w:pPr>
        <w:ind w:left="2316" w:hanging="720"/>
      </w:pPr>
    </w:lvl>
    <w:lvl w:ilvl="4">
      <w:start w:val="1"/>
      <w:numFmt w:val="ideographTraditional"/>
      <w:lvlText w:val="%5、"/>
      <w:lvlJc w:val="left"/>
      <w:pPr>
        <w:ind w:left="2556" w:hanging="480"/>
      </w:pPr>
    </w:lvl>
    <w:lvl w:ilvl="5">
      <w:start w:val="1"/>
      <w:numFmt w:val="lowerRoman"/>
      <w:lvlText w:val="%6."/>
      <w:lvlJc w:val="right"/>
      <w:pPr>
        <w:ind w:left="3036" w:hanging="480"/>
      </w:pPr>
    </w:lvl>
    <w:lvl w:ilvl="6">
      <w:start w:val="1"/>
      <w:numFmt w:val="decimal"/>
      <w:lvlText w:val="%7."/>
      <w:lvlJc w:val="left"/>
      <w:pPr>
        <w:ind w:left="3516" w:hanging="480"/>
      </w:pPr>
    </w:lvl>
    <w:lvl w:ilvl="7">
      <w:start w:val="1"/>
      <w:numFmt w:val="ideographTraditional"/>
      <w:lvlText w:val="%8、"/>
      <w:lvlJc w:val="left"/>
      <w:pPr>
        <w:ind w:left="3996" w:hanging="480"/>
      </w:pPr>
    </w:lvl>
    <w:lvl w:ilvl="8">
      <w:start w:val="1"/>
      <w:numFmt w:val="lowerRoman"/>
      <w:lvlText w:val="%9."/>
      <w:lvlJc w:val="right"/>
      <w:pPr>
        <w:ind w:left="4476" w:hanging="480"/>
      </w:pPr>
    </w:lvl>
  </w:abstractNum>
  <w:abstractNum w:abstractNumId="29" w15:restartNumberingAfterBreak="0">
    <w:nsid w:val="51155710"/>
    <w:multiLevelType w:val="multilevel"/>
    <w:tmpl w:val="8DB27A78"/>
    <w:lvl w:ilvl="0">
      <w:start w:val="1"/>
      <w:numFmt w:val="decimal"/>
      <w:suff w:val="nothing"/>
      <w:lvlText w:val="%1."/>
      <w:lvlJc w:val="left"/>
      <w:pPr>
        <w:ind w:left="480" w:hanging="480"/>
      </w:pPr>
      <w:rPr>
        <w:u w:val="none"/>
      </w:rPr>
    </w:lvl>
    <w:lvl w:ilvl="1">
      <w:start w:val="1"/>
      <w:numFmt w:val="decimal"/>
      <w:suff w:val="nothing"/>
      <w:lvlText w:val="(%2)"/>
      <w:lvlJc w:val="left"/>
      <w:pPr>
        <w:ind w:left="960" w:hanging="480"/>
      </w:pPr>
      <w:rPr>
        <w:rFonts w:ascii="標楷體" w:eastAsia="標楷體" w:hAnsi="標楷體"/>
        <w:strike w:val="0"/>
        <w:dstrike w:val="0"/>
        <w:sz w:val="24"/>
        <w:szCs w:val="28"/>
        <w:u w:val="none"/>
      </w:r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decim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decimal"/>
      <w:lvlText w:val="%8、"/>
      <w:lvlJc w:val="left"/>
      <w:pPr>
        <w:ind w:left="3840" w:hanging="480"/>
      </w:pPr>
    </w:lvl>
    <w:lvl w:ilvl="8">
      <w:start w:val="1"/>
      <w:numFmt w:val="lowerRoman"/>
      <w:lvlText w:val="%9."/>
      <w:lvlJc w:val="right"/>
      <w:pPr>
        <w:ind w:left="4320" w:hanging="480"/>
      </w:pPr>
    </w:lvl>
  </w:abstractNum>
  <w:abstractNum w:abstractNumId="30" w15:restartNumberingAfterBreak="0">
    <w:nsid w:val="55DA608F"/>
    <w:multiLevelType w:val="multilevel"/>
    <w:tmpl w:val="345298A4"/>
    <w:lvl w:ilvl="0">
      <w:start w:val="1"/>
      <w:numFmt w:val="decimal"/>
      <w:lvlText w:val="%1."/>
      <w:lvlJc w:val="left"/>
      <w:pPr>
        <w:ind w:left="360" w:hanging="360"/>
      </w:pPr>
    </w:lvl>
    <w:lvl w:ilvl="1">
      <w:start w:val="1"/>
      <w:numFmt w:val="decimal"/>
      <w:suff w:val="nothing"/>
      <w:lvlText w:val="(%2)"/>
      <w:lvlJc w:val="left"/>
      <w:pPr>
        <w:ind w:left="840" w:hanging="36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1" w15:restartNumberingAfterBreak="0">
    <w:nsid w:val="56345AFA"/>
    <w:multiLevelType w:val="hybridMultilevel"/>
    <w:tmpl w:val="338028CE"/>
    <w:lvl w:ilvl="0" w:tplc="C1686CD6">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2" w15:restartNumberingAfterBreak="0">
    <w:nsid w:val="5B5503EE"/>
    <w:multiLevelType w:val="hybridMultilevel"/>
    <w:tmpl w:val="FE72DF24"/>
    <w:lvl w:ilvl="0" w:tplc="E0CEFB2C">
      <w:start w:val="1"/>
      <w:numFmt w:val="upperRoman"/>
      <w:lvlText w:val="%1."/>
      <w:lvlJc w:val="left"/>
      <w:pPr>
        <w:ind w:left="1756" w:hanging="480"/>
      </w:pPr>
      <w:rPr>
        <w:rFonts w:hint="eastAsia"/>
      </w:rPr>
    </w:lvl>
    <w:lvl w:ilvl="1" w:tplc="04090019" w:tentative="1">
      <w:start w:val="1"/>
      <w:numFmt w:val="ideographTraditional"/>
      <w:lvlText w:val="%2、"/>
      <w:lvlJc w:val="left"/>
      <w:pPr>
        <w:ind w:left="2236" w:hanging="480"/>
      </w:pPr>
    </w:lvl>
    <w:lvl w:ilvl="2" w:tplc="0409001B" w:tentative="1">
      <w:start w:val="1"/>
      <w:numFmt w:val="lowerRoman"/>
      <w:lvlText w:val="%3."/>
      <w:lvlJc w:val="right"/>
      <w:pPr>
        <w:ind w:left="2716" w:hanging="480"/>
      </w:pPr>
    </w:lvl>
    <w:lvl w:ilvl="3" w:tplc="0409000F" w:tentative="1">
      <w:start w:val="1"/>
      <w:numFmt w:val="decimal"/>
      <w:lvlText w:val="%4."/>
      <w:lvlJc w:val="left"/>
      <w:pPr>
        <w:ind w:left="3196" w:hanging="480"/>
      </w:pPr>
    </w:lvl>
    <w:lvl w:ilvl="4" w:tplc="04090019" w:tentative="1">
      <w:start w:val="1"/>
      <w:numFmt w:val="ideographTraditional"/>
      <w:lvlText w:val="%5、"/>
      <w:lvlJc w:val="left"/>
      <w:pPr>
        <w:ind w:left="3676" w:hanging="480"/>
      </w:pPr>
    </w:lvl>
    <w:lvl w:ilvl="5" w:tplc="0409001B" w:tentative="1">
      <w:start w:val="1"/>
      <w:numFmt w:val="lowerRoman"/>
      <w:lvlText w:val="%6."/>
      <w:lvlJc w:val="right"/>
      <w:pPr>
        <w:ind w:left="4156" w:hanging="480"/>
      </w:pPr>
    </w:lvl>
    <w:lvl w:ilvl="6" w:tplc="0409000F" w:tentative="1">
      <w:start w:val="1"/>
      <w:numFmt w:val="decimal"/>
      <w:lvlText w:val="%7."/>
      <w:lvlJc w:val="left"/>
      <w:pPr>
        <w:ind w:left="4636" w:hanging="480"/>
      </w:pPr>
    </w:lvl>
    <w:lvl w:ilvl="7" w:tplc="04090019" w:tentative="1">
      <w:start w:val="1"/>
      <w:numFmt w:val="ideographTraditional"/>
      <w:lvlText w:val="%8、"/>
      <w:lvlJc w:val="left"/>
      <w:pPr>
        <w:ind w:left="5116" w:hanging="480"/>
      </w:pPr>
    </w:lvl>
    <w:lvl w:ilvl="8" w:tplc="0409001B" w:tentative="1">
      <w:start w:val="1"/>
      <w:numFmt w:val="lowerRoman"/>
      <w:lvlText w:val="%9."/>
      <w:lvlJc w:val="right"/>
      <w:pPr>
        <w:ind w:left="5596" w:hanging="480"/>
      </w:pPr>
    </w:lvl>
  </w:abstractNum>
  <w:abstractNum w:abstractNumId="33" w15:restartNumberingAfterBreak="0">
    <w:nsid w:val="61AF46E6"/>
    <w:multiLevelType w:val="hybridMultilevel"/>
    <w:tmpl w:val="36F25856"/>
    <w:lvl w:ilvl="0" w:tplc="738A042E">
      <w:start w:val="1"/>
      <w:numFmt w:val="lowerRoman"/>
      <w:lvlText w:val="%1."/>
      <w:lvlJc w:val="left"/>
      <w:pPr>
        <w:ind w:left="720" w:hanging="720"/>
      </w:pPr>
      <w:rPr>
        <w:rFonts w:hint="default"/>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4" w15:restartNumberingAfterBreak="0">
    <w:nsid w:val="61F0049D"/>
    <w:multiLevelType w:val="hybridMultilevel"/>
    <w:tmpl w:val="4F0A9EB2"/>
    <w:lvl w:ilvl="0" w:tplc="8BBADA3C">
      <w:start w:val="3"/>
      <w:numFmt w:val="decimal"/>
      <w:lvlText w:val="%1."/>
      <w:lvlJc w:val="left"/>
      <w:pPr>
        <w:ind w:left="360" w:hanging="360"/>
      </w:pPr>
      <w:rPr>
        <w:rFonts w:ascii="標楷體" w:eastAsia="標楷體" w:hAnsi="標楷體" w:hint="default"/>
        <w:color w:val="auto"/>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5" w15:restartNumberingAfterBreak="0">
    <w:nsid w:val="655F2D2F"/>
    <w:multiLevelType w:val="multilevel"/>
    <w:tmpl w:val="216C918E"/>
    <w:lvl w:ilvl="0">
      <w:start w:val="1"/>
      <w:numFmt w:val="upperRoman"/>
      <w:lvlText w:val="%1."/>
      <w:lvlJc w:val="left"/>
      <w:pPr>
        <w:ind w:left="879" w:hanging="480"/>
      </w:pPr>
      <w:rPr>
        <w:rFonts w:ascii="標楷體" w:eastAsia="標楷體" w:hAnsi="標楷體" w:cs="Times New Roman"/>
        <w:b w:val="0"/>
        <w:u w:val="none"/>
      </w:rPr>
    </w:lvl>
    <w:lvl w:ilvl="1">
      <w:start w:val="1"/>
      <w:numFmt w:val="ideographTraditional"/>
      <w:lvlText w:val="%2、"/>
      <w:lvlJc w:val="left"/>
      <w:pPr>
        <w:ind w:left="1359" w:hanging="480"/>
      </w:pPr>
    </w:lvl>
    <w:lvl w:ilvl="2">
      <w:start w:val="1"/>
      <w:numFmt w:val="lowerRoman"/>
      <w:lvlText w:val="%3."/>
      <w:lvlJc w:val="right"/>
      <w:pPr>
        <w:ind w:left="1839" w:hanging="480"/>
      </w:pPr>
    </w:lvl>
    <w:lvl w:ilvl="3">
      <w:start w:val="1"/>
      <w:numFmt w:val="decimal"/>
      <w:lvlText w:val="%4."/>
      <w:lvlJc w:val="left"/>
      <w:pPr>
        <w:ind w:left="2319" w:hanging="480"/>
      </w:pPr>
    </w:lvl>
    <w:lvl w:ilvl="4">
      <w:start w:val="1"/>
      <w:numFmt w:val="ideographTraditional"/>
      <w:lvlText w:val="%5、"/>
      <w:lvlJc w:val="left"/>
      <w:pPr>
        <w:ind w:left="2799" w:hanging="480"/>
      </w:pPr>
    </w:lvl>
    <w:lvl w:ilvl="5">
      <w:start w:val="1"/>
      <w:numFmt w:val="lowerRoman"/>
      <w:lvlText w:val="%6."/>
      <w:lvlJc w:val="right"/>
      <w:pPr>
        <w:ind w:left="3279" w:hanging="480"/>
      </w:pPr>
    </w:lvl>
    <w:lvl w:ilvl="6">
      <w:start w:val="1"/>
      <w:numFmt w:val="decimal"/>
      <w:lvlText w:val="%7."/>
      <w:lvlJc w:val="left"/>
      <w:pPr>
        <w:ind w:left="3759" w:hanging="480"/>
      </w:pPr>
    </w:lvl>
    <w:lvl w:ilvl="7">
      <w:start w:val="1"/>
      <w:numFmt w:val="ideographTraditional"/>
      <w:lvlText w:val="%8、"/>
      <w:lvlJc w:val="left"/>
      <w:pPr>
        <w:ind w:left="4239" w:hanging="480"/>
      </w:pPr>
    </w:lvl>
    <w:lvl w:ilvl="8">
      <w:start w:val="1"/>
      <w:numFmt w:val="lowerRoman"/>
      <w:lvlText w:val="%9."/>
      <w:lvlJc w:val="right"/>
      <w:pPr>
        <w:ind w:left="4719" w:hanging="480"/>
      </w:pPr>
    </w:lvl>
  </w:abstractNum>
  <w:abstractNum w:abstractNumId="36" w15:restartNumberingAfterBreak="0">
    <w:nsid w:val="67FA2DB0"/>
    <w:multiLevelType w:val="multilevel"/>
    <w:tmpl w:val="C3701780"/>
    <w:lvl w:ilvl="0">
      <w:start w:val="1"/>
      <w:numFmt w:val="upperRoman"/>
      <w:suff w:val="nothing"/>
      <w:lvlText w:val="%1."/>
      <w:lvlJc w:val="left"/>
      <w:pPr>
        <w:ind w:left="622"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37" w15:restartNumberingAfterBreak="0">
    <w:nsid w:val="689D1EA6"/>
    <w:multiLevelType w:val="hybridMultilevel"/>
    <w:tmpl w:val="0EF04F30"/>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38" w15:restartNumberingAfterBreak="0">
    <w:nsid w:val="68BC36A6"/>
    <w:multiLevelType w:val="hybridMultilevel"/>
    <w:tmpl w:val="9B020D7E"/>
    <w:lvl w:ilvl="0" w:tplc="C414CD7C">
      <w:start w:val="1"/>
      <w:numFmt w:val="decimal"/>
      <w:lvlText w:val="(%1)"/>
      <w:lvlJc w:val="left"/>
      <w:pPr>
        <w:ind w:left="960" w:hanging="480"/>
      </w:pPr>
      <w:rPr>
        <w:rFonts w:hint="eastAsia"/>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9" w15:restartNumberingAfterBreak="0">
    <w:nsid w:val="68FE3151"/>
    <w:multiLevelType w:val="hybridMultilevel"/>
    <w:tmpl w:val="C3AAF8D0"/>
    <w:lvl w:ilvl="0" w:tplc="EAAEB12C">
      <w:start w:val="1"/>
      <w:numFmt w:val="decimal"/>
      <w:lvlText w:val="(%1)"/>
      <w:lvlJc w:val="left"/>
      <w:pPr>
        <w:ind w:left="1200" w:hanging="720"/>
      </w:pPr>
      <w:rPr>
        <w:rFonts w:hint="default"/>
        <w:u w:val="none"/>
      </w:r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0" w15:restartNumberingAfterBreak="0">
    <w:nsid w:val="69CB4D93"/>
    <w:multiLevelType w:val="hybridMultilevel"/>
    <w:tmpl w:val="B0B207D2"/>
    <w:lvl w:ilvl="0" w:tplc="EAAEB12C">
      <w:start w:val="1"/>
      <w:numFmt w:val="decimal"/>
      <w:lvlText w:val="(%1)"/>
      <w:lvlJc w:val="left"/>
      <w:pPr>
        <w:ind w:left="1325" w:hanging="480"/>
      </w:pPr>
      <w:rPr>
        <w:rFonts w:hint="default"/>
        <w:u w:val="none"/>
      </w:rPr>
    </w:lvl>
    <w:lvl w:ilvl="1" w:tplc="04090019" w:tentative="1">
      <w:start w:val="1"/>
      <w:numFmt w:val="ideographTraditional"/>
      <w:lvlText w:val="%2、"/>
      <w:lvlJc w:val="left"/>
      <w:pPr>
        <w:ind w:left="1805" w:hanging="480"/>
      </w:pPr>
    </w:lvl>
    <w:lvl w:ilvl="2" w:tplc="0409001B" w:tentative="1">
      <w:start w:val="1"/>
      <w:numFmt w:val="lowerRoman"/>
      <w:lvlText w:val="%3."/>
      <w:lvlJc w:val="right"/>
      <w:pPr>
        <w:ind w:left="2285" w:hanging="480"/>
      </w:pPr>
    </w:lvl>
    <w:lvl w:ilvl="3" w:tplc="0409000F" w:tentative="1">
      <w:start w:val="1"/>
      <w:numFmt w:val="decimal"/>
      <w:lvlText w:val="%4."/>
      <w:lvlJc w:val="left"/>
      <w:pPr>
        <w:ind w:left="2765" w:hanging="480"/>
      </w:pPr>
    </w:lvl>
    <w:lvl w:ilvl="4" w:tplc="04090019" w:tentative="1">
      <w:start w:val="1"/>
      <w:numFmt w:val="ideographTraditional"/>
      <w:lvlText w:val="%5、"/>
      <w:lvlJc w:val="left"/>
      <w:pPr>
        <w:ind w:left="3245" w:hanging="480"/>
      </w:pPr>
    </w:lvl>
    <w:lvl w:ilvl="5" w:tplc="0409001B" w:tentative="1">
      <w:start w:val="1"/>
      <w:numFmt w:val="lowerRoman"/>
      <w:lvlText w:val="%6."/>
      <w:lvlJc w:val="right"/>
      <w:pPr>
        <w:ind w:left="3725" w:hanging="480"/>
      </w:pPr>
    </w:lvl>
    <w:lvl w:ilvl="6" w:tplc="0409000F" w:tentative="1">
      <w:start w:val="1"/>
      <w:numFmt w:val="decimal"/>
      <w:lvlText w:val="%7."/>
      <w:lvlJc w:val="left"/>
      <w:pPr>
        <w:ind w:left="4205" w:hanging="480"/>
      </w:pPr>
    </w:lvl>
    <w:lvl w:ilvl="7" w:tplc="04090019" w:tentative="1">
      <w:start w:val="1"/>
      <w:numFmt w:val="ideographTraditional"/>
      <w:lvlText w:val="%8、"/>
      <w:lvlJc w:val="left"/>
      <w:pPr>
        <w:ind w:left="4685" w:hanging="480"/>
      </w:pPr>
    </w:lvl>
    <w:lvl w:ilvl="8" w:tplc="0409001B" w:tentative="1">
      <w:start w:val="1"/>
      <w:numFmt w:val="lowerRoman"/>
      <w:lvlText w:val="%9."/>
      <w:lvlJc w:val="right"/>
      <w:pPr>
        <w:ind w:left="5165" w:hanging="480"/>
      </w:pPr>
    </w:lvl>
  </w:abstractNum>
  <w:abstractNum w:abstractNumId="41" w15:restartNumberingAfterBreak="0">
    <w:nsid w:val="6A254C63"/>
    <w:multiLevelType w:val="hybridMultilevel"/>
    <w:tmpl w:val="1910D428"/>
    <w:lvl w:ilvl="0" w:tplc="50227ACC">
      <w:start w:val="1"/>
      <w:numFmt w:val="decimal"/>
      <w:lvlText w:val="(%1)"/>
      <w:lvlJc w:val="left"/>
      <w:pPr>
        <w:ind w:left="480" w:hanging="360"/>
      </w:pPr>
      <w:rPr>
        <w:rFonts w:ascii="標楷體" w:eastAsia="標楷體" w:hAnsi="標楷體" w:hint="default"/>
      </w:rPr>
    </w:lvl>
    <w:lvl w:ilvl="1" w:tplc="A95E233A">
      <w:start w:val="1"/>
      <w:numFmt w:val="upperRoman"/>
      <w:lvlText w:val="%2."/>
      <w:lvlJc w:val="right"/>
      <w:pPr>
        <w:ind w:left="1080" w:hanging="480"/>
      </w:pPr>
      <w:rPr>
        <w:rFonts w:hint="eastAsia"/>
      </w:rPr>
    </w:lvl>
    <w:lvl w:ilvl="2" w:tplc="0409001B" w:tentative="1">
      <w:start w:val="1"/>
      <w:numFmt w:val="lowerRoman"/>
      <w:lvlText w:val="%3."/>
      <w:lvlJc w:val="right"/>
      <w:pPr>
        <w:ind w:left="1560" w:hanging="480"/>
      </w:pPr>
    </w:lvl>
    <w:lvl w:ilvl="3" w:tplc="0409000F" w:tentative="1">
      <w:start w:val="1"/>
      <w:numFmt w:val="decimal"/>
      <w:lvlText w:val="%4."/>
      <w:lvlJc w:val="left"/>
      <w:pPr>
        <w:ind w:left="2040" w:hanging="480"/>
      </w:pPr>
    </w:lvl>
    <w:lvl w:ilvl="4" w:tplc="04090019" w:tentative="1">
      <w:start w:val="1"/>
      <w:numFmt w:val="ideographTraditional"/>
      <w:lvlText w:val="%5、"/>
      <w:lvlJc w:val="left"/>
      <w:pPr>
        <w:ind w:left="2520" w:hanging="480"/>
      </w:pPr>
    </w:lvl>
    <w:lvl w:ilvl="5" w:tplc="0409001B" w:tentative="1">
      <w:start w:val="1"/>
      <w:numFmt w:val="lowerRoman"/>
      <w:lvlText w:val="%6."/>
      <w:lvlJc w:val="right"/>
      <w:pPr>
        <w:ind w:left="3000" w:hanging="480"/>
      </w:pPr>
    </w:lvl>
    <w:lvl w:ilvl="6" w:tplc="0409000F" w:tentative="1">
      <w:start w:val="1"/>
      <w:numFmt w:val="decimal"/>
      <w:lvlText w:val="%7."/>
      <w:lvlJc w:val="left"/>
      <w:pPr>
        <w:ind w:left="3480" w:hanging="480"/>
      </w:pPr>
    </w:lvl>
    <w:lvl w:ilvl="7" w:tplc="04090019" w:tentative="1">
      <w:start w:val="1"/>
      <w:numFmt w:val="ideographTraditional"/>
      <w:lvlText w:val="%8、"/>
      <w:lvlJc w:val="left"/>
      <w:pPr>
        <w:ind w:left="3960" w:hanging="480"/>
      </w:pPr>
    </w:lvl>
    <w:lvl w:ilvl="8" w:tplc="0409001B" w:tentative="1">
      <w:start w:val="1"/>
      <w:numFmt w:val="lowerRoman"/>
      <w:lvlText w:val="%9."/>
      <w:lvlJc w:val="right"/>
      <w:pPr>
        <w:ind w:left="4440" w:hanging="480"/>
      </w:pPr>
    </w:lvl>
  </w:abstractNum>
  <w:abstractNum w:abstractNumId="42" w15:restartNumberingAfterBreak="0">
    <w:nsid w:val="6C69368D"/>
    <w:multiLevelType w:val="multilevel"/>
    <w:tmpl w:val="E7BCC864"/>
    <w:lvl w:ilvl="0">
      <w:start w:val="9"/>
      <w:numFmt w:val="upperRoman"/>
      <w:lvlText w:val="%1."/>
      <w:lvlJc w:val="left"/>
      <w:pPr>
        <w:ind w:left="1440" w:hanging="480"/>
      </w:pPr>
      <w:rPr>
        <w:u w:val="none"/>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3" w15:restartNumberingAfterBreak="0">
    <w:nsid w:val="6F3D4EC8"/>
    <w:multiLevelType w:val="multilevel"/>
    <w:tmpl w:val="44A4B4EA"/>
    <w:lvl w:ilvl="0">
      <w:start w:val="1"/>
      <w:numFmt w:val="decimal"/>
      <w:lvlText w:val="%1."/>
      <w:lvlJc w:val="left"/>
      <w:pPr>
        <w:ind w:left="480" w:hanging="480"/>
      </w:pPr>
    </w:lvl>
    <w:lvl w:ilvl="1">
      <w:start w:val="1"/>
      <w:numFmt w:val="decimal"/>
      <w:suff w:val="nothing"/>
      <w:lvlText w:val="(%2)"/>
      <w:lvlJc w:val="left"/>
      <w:pPr>
        <w:ind w:left="840" w:hanging="360"/>
      </w:pPr>
    </w:lvl>
    <w:lvl w:ilvl="2">
      <w:start w:val="1"/>
      <w:numFmt w:val="upperRoman"/>
      <w:lvlText w:val="%3."/>
      <w:lvlJc w:val="left"/>
      <w:pPr>
        <w:ind w:left="1584" w:hanging="792"/>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4" w15:restartNumberingAfterBreak="0">
    <w:nsid w:val="748D0AA7"/>
    <w:multiLevelType w:val="hybridMultilevel"/>
    <w:tmpl w:val="2E42F2D0"/>
    <w:lvl w:ilvl="0" w:tplc="D284A760">
      <w:start w:val="1"/>
      <w:numFmt w:val="decimal"/>
      <w:lvlText w:val="%1."/>
      <w:lvlJc w:val="left"/>
      <w:pPr>
        <w:ind w:left="360" w:hanging="360"/>
      </w:pPr>
      <w:rPr>
        <w:rFonts w:ascii="標楷體" w:eastAsia="標楷體" w:hAnsi="標楷體" w:hint="default"/>
        <w:color w:val="000000"/>
        <w:u w:val="none"/>
      </w:rPr>
    </w:lvl>
    <w:lvl w:ilvl="1" w:tplc="B8CE6094">
      <w:start w:val="1"/>
      <w:numFmt w:val="decimal"/>
      <w:lvlText w:val="(%2)"/>
      <w:lvlJc w:val="left"/>
      <w:pPr>
        <w:ind w:left="960" w:hanging="480"/>
      </w:pPr>
      <w:rPr>
        <w:rFonts w:hint="eastAsia"/>
        <w:u w:val="single"/>
      </w:rPr>
    </w:lvl>
    <w:lvl w:ilvl="2" w:tplc="0409001B">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5" w15:restartNumberingAfterBreak="0">
    <w:nsid w:val="76EB729A"/>
    <w:multiLevelType w:val="hybridMultilevel"/>
    <w:tmpl w:val="12220108"/>
    <w:lvl w:ilvl="0" w:tplc="DB5E232E">
      <w:start w:val="1"/>
      <w:numFmt w:val="upperRoman"/>
      <w:lvlText w:val="%1."/>
      <w:lvlJc w:val="left"/>
      <w:pPr>
        <w:ind w:left="1440" w:hanging="480"/>
      </w:pPr>
      <w:rPr>
        <w:rFonts w:hint="eastAsia"/>
        <w:u w:val="none"/>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27"/>
  </w:num>
  <w:num w:numId="2">
    <w:abstractNumId w:val="30"/>
  </w:num>
  <w:num w:numId="3">
    <w:abstractNumId w:val="21"/>
  </w:num>
  <w:num w:numId="4">
    <w:abstractNumId w:val="22"/>
  </w:num>
  <w:num w:numId="5">
    <w:abstractNumId w:val="35"/>
  </w:num>
  <w:num w:numId="6">
    <w:abstractNumId w:val="9"/>
  </w:num>
  <w:num w:numId="7">
    <w:abstractNumId w:val="12"/>
  </w:num>
  <w:num w:numId="8">
    <w:abstractNumId w:val="24"/>
  </w:num>
  <w:num w:numId="9">
    <w:abstractNumId w:val="20"/>
  </w:num>
  <w:num w:numId="10">
    <w:abstractNumId w:val="43"/>
  </w:num>
  <w:num w:numId="11">
    <w:abstractNumId w:val="11"/>
  </w:num>
  <w:num w:numId="12">
    <w:abstractNumId w:val="29"/>
  </w:num>
  <w:num w:numId="13">
    <w:abstractNumId w:val="28"/>
  </w:num>
  <w:num w:numId="14">
    <w:abstractNumId w:val="10"/>
  </w:num>
  <w:num w:numId="15">
    <w:abstractNumId w:val="38"/>
  </w:num>
  <w:num w:numId="16">
    <w:abstractNumId w:val="13"/>
  </w:num>
  <w:num w:numId="17">
    <w:abstractNumId w:val="31"/>
  </w:num>
  <w:num w:numId="18">
    <w:abstractNumId w:val="18"/>
  </w:num>
  <w:num w:numId="19">
    <w:abstractNumId w:val="34"/>
  </w:num>
  <w:num w:numId="20">
    <w:abstractNumId w:val="4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
  </w:num>
  <w:num w:numId="26">
    <w:abstractNumId w:val="0"/>
  </w:num>
  <w:num w:numId="27">
    <w:abstractNumId w:val="2"/>
  </w:num>
  <w:num w:numId="28">
    <w:abstractNumId w:val="6"/>
  </w:num>
  <w:num w:numId="29">
    <w:abstractNumId w:val="36"/>
  </w:num>
  <w:num w:numId="30">
    <w:abstractNumId w:val="42"/>
  </w:num>
  <w:num w:numId="31">
    <w:abstractNumId w:val="5"/>
  </w:num>
  <w:num w:numId="32">
    <w:abstractNumId w:val="4"/>
  </w:num>
  <w:num w:numId="33">
    <w:abstractNumId w:val="19"/>
  </w:num>
  <w:num w:numId="34">
    <w:abstractNumId w:val="23"/>
  </w:num>
  <w:num w:numId="35">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36">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37">
    <w:abstractNumId w:val="4"/>
    <w:lvlOverride w:ilvl="0">
      <w:lvl w:ilvl="0">
        <w:start w:val="1"/>
        <w:numFmt w:val="upperRoman"/>
        <w:lvlText w:val="%1."/>
        <w:lvlJc w:val="left"/>
        <w:pPr>
          <w:ind w:left="1615" w:hanging="480"/>
        </w:pPr>
        <w:rPr>
          <w:rFonts w:ascii="標楷體" w:eastAsia="標楷體" w:hAnsi="標楷體" w:hint="eastAsia"/>
          <w:u w:val="none"/>
        </w:rPr>
      </w:lvl>
    </w:lvlOverride>
    <w:lvlOverride w:ilvl="1">
      <w:lvl w:ilvl="1">
        <w:start w:val="1"/>
        <w:numFmt w:val="ideographTraditional"/>
        <w:lvlText w:val="%2、"/>
        <w:lvlJc w:val="left"/>
        <w:pPr>
          <w:ind w:left="960" w:hanging="480"/>
        </w:pPr>
        <w:rPr>
          <w:rFonts w:hint="eastAsia"/>
        </w:rPr>
      </w:lvl>
    </w:lvlOverride>
    <w:lvlOverride w:ilvl="2">
      <w:lvl w:ilvl="2">
        <w:start w:val="1"/>
        <w:numFmt w:val="lowerRoman"/>
        <w:lvlText w:val="%3."/>
        <w:lvlJc w:val="right"/>
        <w:pPr>
          <w:ind w:left="1440" w:hanging="480"/>
        </w:pPr>
        <w:rPr>
          <w:rFonts w:hint="eastAsia"/>
        </w:rPr>
      </w:lvl>
    </w:lvlOverride>
    <w:lvlOverride w:ilvl="3">
      <w:lvl w:ilvl="3">
        <w:start w:val="1"/>
        <w:numFmt w:val="decimal"/>
        <w:lvlText w:val="%4."/>
        <w:lvlJc w:val="left"/>
        <w:pPr>
          <w:ind w:left="1920" w:hanging="480"/>
        </w:pPr>
        <w:rPr>
          <w:rFonts w:hint="eastAsia"/>
        </w:rPr>
      </w:lvl>
    </w:lvlOverride>
    <w:lvlOverride w:ilvl="4">
      <w:lvl w:ilvl="4">
        <w:start w:val="1"/>
        <w:numFmt w:val="ideographTraditional"/>
        <w:lvlText w:val="%5、"/>
        <w:lvlJc w:val="left"/>
        <w:pPr>
          <w:ind w:left="2400" w:hanging="480"/>
        </w:pPr>
        <w:rPr>
          <w:rFonts w:hint="eastAsia"/>
        </w:rPr>
      </w:lvl>
    </w:lvlOverride>
    <w:lvlOverride w:ilvl="5">
      <w:lvl w:ilvl="5">
        <w:start w:val="1"/>
        <w:numFmt w:val="lowerRoman"/>
        <w:lvlText w:val="%6."/>
        <w:lvlJc w:val="right"/>
        <w:pPr>
          <w:ind w:left="2880" w:hanging="480"/>
        </w:pPr>
        <w:rPr>
          <w:rFonts w:hint="eastAsia"/>
        </w:rPr>
      </w:lvl>
    </w:lvlOverride>
    <w:lvlOverride w:ilvl="6">
      <w:lvl w:ilvl="6">
        <w:start w:val="1"/>
        <w:numFmt w:val="decimal"/>
        <w:lvlText w:val="%7."/>
        <w:lvlJc w:val="left"/>
        <w:pPr>
          <w:ind w:left="3360" w:hanging="480"/>
        </w:pPr>
        <w:rPr>
          <w:rFonts w:hint="eastAsia"/>
        </w:rPr>
      </w:lvl>
    </w:lvlOverride>
    <w:lvlOverride w:ilvl="7">
      <w:lvl w:ilvl="7">
        <w:start w:val="1"/>
        <w:numFmt w:val="ideographTraditional"/>
        <w:lvlText w:val="%8、"/>
        <w:lvlJc w:val="left"/>
        <w:pPr>
          <w:ind w:left="3840" w:hanging="480"/>
        </w:pPr>
        <w:rPr>
          <w:rFonts w:hint="eastAsia"/>
        </w:rPr>
      </w:lvl>
    </w:lvlOverride>
    <w:lvlOverride w:ilvl="8">
      <w:lvl w:ilvl="8">
        <w:start w:val="1"/>
        <w:numFmt w:val="lowerRoman"/>
        <w:lvlText w:val="%9."/>
        <w:lvlJc w:val="right"/>
        <w:pPr>
          <w:ind w:left="4320" w:hanging="480"/>
        </w:pPr>
        <w:rPr>
          <w:rFonts w:hint="eastAsia"/>
        </w:rPr>
      </w:lvl>
    </w:lvlOverride>
  </w:num>
  <w:num w:numId="38">
    <w:abstractNumId w:val="17"/>
  </w:num>
  <w:num w:numId="39">
    <w:abstractNumId w:val="3"/>
  </w:num>
  <w:num w:numId="40">
    <w:abstractNumId w:val="39"/>
  </w:num>
  <w:num w:numId="41">
    <w:abstractNumId w:val="25"/>
  </w:num>
  <w:num w:numId="42">
    <w:abstractNumId w:val="33"/>
  </w:num>
  <w:num w:numId="43">
    <w:abstractNumId w:val="40"/>
  </w:num>
  <w:num w:numId="44">
    <w:abstractNumId w:val="37"/>
  </w:num>
  <w:num w:numId="45">
    <w:abstractNumId w:val="7"/>
  </w:num>
  <w:num w:numId="46">
    <w:abstractNumId w:val="16"/>
  </w:num>
  <w:num w:numId="47">
    <w:abstractNumId w:val="44"/>
  </w:num>
  <w:num w:numId="48">
    <w:abstractNumId w:val="15"/>
  </w:num>
  <w:num w:numId="49">
    <w:abstractNumId w:val="8"/>
  </w:num>
  <w:num w:numId="50">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defaultTabStop w:val="48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6EA0"/>
    <w:rsid w:val="0001045E"/>
    <w:rsid w:val="00020935"/>
    <w:rsid w:val="00042C96"/>
    <w:rsid w:val="0007073E"/>
    <w:rsid w:val="000838F4"/>
    <w:rsid w:val="00086754"/>
    <w:rsid w:val="000A3CBC"/>
    <w:rsid w:val="000B6373"/>
    <w:rsid w:val="000C7C60"/>
    <w:rsid w:val="00105765"/>
    <w:rsid w:val="0011658A"/>
    <w:rsid w:val="001314F6"/>
    <w:rsid w:val="0014655B"/>
    <w:rsid w:val="001A740D"/>
    <w:rsid w:val="0020695F"/>
    <w:rsid w:val="002203D3"/>
    <w:rsid w:val="00222ABC"/>
    <w:rsid w:val="002402D8"/>
    <w:rsid w:val="002465F4"/>
    <w:rsid w:val="00270EF3"/>
    <w:rsid w:val="00275C39"/>
    <w:rsid w:val="00282D48"/>
    <w:rsid w:val="00290448"/>
    <w:rsid w:val="002A2E0D"/>
    <w:rsid w:val="002D6760"/>
    <w:rsid w:val="002D7958"/>
    <w:rsid w:val="002F2B55"/>
    <w:rsid w:val="002F7398"/>
    <w:rsid w:val="00301C39"/>
    <w:rsid w:val="00321E4B"/>
    <w:rsid w:val="003225F7"/>
    <w:rsid w:val="00336F3D"/>
    <w:rsid w:val="00347CE0"/>
    <w:rsid w:val="003B14A6"/>
    <w:rsid w:val="003F1643"/>
    <w:rsid w:val="003F2C2F"/>
    <w:rsid w:val="00417740"/>
    <w:rsid w:val="00420032"/>
    <w:rsid w:val="00427424"/>
    <w:rsid w:val="00471506"/>
    <w:rsid w:val="004C2511"/>
    <w:rsid w:val="004C3CC5"/>
    <w:rsid w:val="004F2A2C"/>
    <w:rsid w:val="0050401E"/>
    <w:rsid w:val="0051373F"/>
    <w:rsid w:val="005142EB"/>
    <w:rsid w:val="00517C45"/>
    <w:rsid w:val="005363DB"/>
    <w:rsid w:val="00557419"/>
    <w:rsid w:val="00617D60"/>
    <w:rsid w:val="0065421D"/>
    <w:rsid w:val="00660DD4"/>
    <w:rsid w:val="006B3E51"/>
    <w:rsid w:val="006D79D1"/>
    <w:rsid w:val="006D7F5B"/>
    <w:rsid w:val="006E56D0"/>
    <w:rsid w:val="006F7671"/>
    <w:rsid w:val="00702020"/>
    <w:rsid w:val="007155BC"/>
    <w:rsid w:val="0074474A"/>
    <w:rsid w:val="007455F6"/>
    <w:rsid w:val="007D66B8"/>
    <w:rsid w:val="007F71E0"/>
    <w:rsid w:val="00800DDB"/>
    <w:rsid w:val="008859E6"/>
    <w:rsid w:val="00892228"/>
    <w:rsid w:val="008A162B"/>
    <w:rsid w:val="008B0582"/>
    <w:rsid w:val="008B4C4B"/>
    <w:rsid w:val="008B5474"/>
    <w:rsid w:val="008B6712"/>
    <w:rsid w:val="008E774D"/>
    <w:rsid w:val="008F6DA3"/>
    <w:rsid w:val="00926D01"/>
    <w:rsid w:val="00941523"/>
    <w:rsid w:val="00957AD9"/>
    <w:rsid w:val="00997F73"/>
    <w:rsid w:val="009C41ED"/>
    <w:rsid w:val="009D436C"/>
    <w:rsid w:val="00A15393"/>
    <w:rsid w:val="00A33F1B"/>
    <w:rsid w:val="00A61FF2"/>
    <w:rsid w:val="00B07C9A"/>
    <w:rsid w:val="00B252D1"/>
    <w:rsid w:val="00B355DB"/>
    <w:rsid w:val="00B57732"/>
    <w:rsid w:val="00B60500"/>
    <w:rsid w:val="00B74E3A"/>
    <w:rsid w:val="00B96EA0"/>
    <w:rsid w:val="00C26383"/>
    <w:rsid w:val="00C46EAE"/>
    <w:rsid w:val="00C51017"/>
    <w:rsid w:val="00CD4BD4"/>
    <w:rsid w:val="00CD573D"/>
    <w:rsid w:val="00CF183E"/>
    <w:rsid w:val="00D103A2"/>
    <w:rsid w:val="00D250AB"/>
    <w:rsid w:val="00D3675A"/>
    <w:rsid w:val="00D4365C"/>
    <w:rsid w:val="00DA176D"/>
    <w:rsid w:val="00DC6D1C"/>
    <w:rsid w:val="00DD360F"/>
    <w:rsid w:val="00DF1029"/>
    <w:rsid w:val="00E821CC"/>
    <w:rsid w:val="00E9187D"/>
    <w:rsid w:val="00EA15AB"/>
    <w:rsid w:val="00EA4516"/>
    <w:rsid w:val="00EA6AFB"/>
    <w:rsid w:val="00EB5347"/>
    <w:rsid w:val="00EC69A8"/>
    <w:rsid w:val="00F95F32"/>
    <w:rsid w:val="00FB35E5"/>
    <w:rsid w:val="00FE6497"/>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E84D42"/>
  <w15:docId w15:val="{4260E391-8B73-4CF2-AC38-13B6CAF015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alibri" w:eastAsia="新細明體" w:hAnsi="Calibri" w:cs="Times New Roman"/>
        <w:lang w:val="en-US" w:eastAsia="zh-TW" w:bidi="ar-SA"/>
      </w:rPr>
    </w:rPrDefault>
    <w:pPrDefault>
      <w:pPr>
        <w:autoSpaceDN w:val="0"/>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suppressAutoHyphens/>
    </w:pPr>
    <w:rPr>
      <w:kern w:val="3"/>
      <w:sz w:val="24"/>
      <w:szCs w:val="22"/>
    </w:rPr>
  </w:style>
  <w:style w:type="paragraph" w:styleId="1">
    <w:name w:val="heading 1"/>
    <w:basedOn w:val="a"/>
    <w:next w:val="a"/>
    <w:uiPriority w:val="9"/>
    <w:qFormat/>
    <w:pPr>
      <w:keepNext/>
      <w:spacing w:line="360" w:lineRule="exact"/>
      <w:jc w:val="center"/>
      <w:outlineLvl w:val="0"/>
    </w:pPr>
    <w:rPr>
      <w:rFonts w:ascii="Times New Roman" w:eastAsia="標楷體" w:hAnsi="Times New Roman"/>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pPr>
      <w:tabs>
        <w:tab w:val="center" w:pos="4153"/>
        <w:tab w:val="right" w:pos="8306"/>
      </w:tabs>
      <w:snapToGrid w:val="0"/>
    </w:pPr>
    <w:rPr>
      <w:sz w:val="20"/>
      <w:szCs w:val="20"/>
    </w:rPr>
  </w:style>
  <w:style w:type="character" w:customStyle="1" w:styleId="a4">
    <w:name w:val="頁首 字元"/>
    <w:rPr>
      <w:kern w:val="3"/>
    </w:rPr>
  </w:style>
  <w:style w:type="paragraph" w:styleId="a5">
    <w:name w:val="footer"/>
    <w:basedOn w:val="a"/>
    <w:pPr>
      <w:tabs>
        <w:tab w:val="center" w:pos="4153"/>
        <w:tab w:val="right" w:pos="8306"/>
      </w:tabs>
      <w:snapToGrid w:val="0"/>
    </w:pPr>
    <w:rPr>
      <w:sz w:val="20"/>
      <w:szCs w:val="20"/>
    </w:rPr>
  </w:style>
  <w:style w:type="character" w:customStyle="1" w:styleId="a6">
    <w:name w:val="頁尾 字元"/>
    <w:rPr>
      <w:kern w:val="3"/>
    </w:rPr>
  </w:style>
  <w:style w:type="character" w:customStyle="1" w:styleId="10">
    <w:name w:val="標題 1 字元"/>
    <w:rPr>
      <w:rFonts w:ascii="Times New Roman" w:eastAsia="標楷體" w:hAnsi="Times New Roman"/>
      <w:b/>
      <w:bCs/>
      <w:kern w:val="3"/>
      <w:sz w:val="32"/>
      <w:szCs w:val="32"/>
    </w:rPr>
  </w:style>
  <w:style w:type="paragraph" w:styleId="Web">
    <w:name w:val="Normal (Web)"/>
    <w:basedOn w:val="a"/>
    <w:pPr>
      <w:widowControl/>
      <w:spacing w:before="100" w:after="100"/>
    </w:pPr>
    <w:rPr>
      <w:rFonts w:ascii="Arial Unicode MS" w:eastAsia="Arial Unicode MS" w:hAnsi="Arial Unicode MS" w:cs="Arial Unicode MS"/>
      <w:kern w:val="0"/>
      <w:szCs w:val="24"/>
    </w:rPr>
  </w:style>
  <w:style w:type="paragraph" w:customStyle="1" w:styleId="11">
    <w:name w:val="1."/>
    <w:basedOn w:val="a"/>
    <w:pPr>
      <w:spacing w:line="240" w:lineRule="exact"/>
      <w:ind w:left="242" w:hanging="142"/>
    </w:pPr>
    <w:rPr>
      <w:rFonts w:ascii="Times New Roman" w:eastAsia="標楷體" w:hAnsi="Times New Roman"/>
      <w:color w:val="000000"/>
      <w:kern w:val="0"/>
      <w:sz w:val="20"/>
      <w:szCs w:val="20"/>
    </w:rPr>
  </w:style>
  <w:style w:type="paragraph" w:styleId="a7">
    <w:name w:val="Balloon Text"/>
    <w:basedOn w:val="a"/>
    <w:rPr>
      <w:rFonts w:ascii="Cambria" w:hAnsi="Cambria"/>
      <w:sz w:val="18"/>
      <w:szCs w:val="18"/>
    </w:rPr>
  </w:style>
  <w:style w:type="character" w:customStyle="1" w:styleId="a8">
    <w:name w:val="註解方塊文字 字元"/>
    <w:rPr>
      <w:rFonts w:ascii="Cambria" w:eastAsia="新細明體" w:hAnsi="Cambria" w:cs="Times New Roman"/>
      <w:kern w:val="3"/>
      <w:sz w:val="18"/>
      <w:szCs w:val="18"/>
    </w:rPr>
  </w:style>
  <w:style w:type="paragraph" w:customStyle="1" w:styleId="Textbody">
    <w:name w:val="Text body"/>
    <w:pPr>
      <w:widowControl w:val="0"/>
      <w:suppressAutoHyphens/>
    </w:pPr>
    <w:rPr>
      <w:rFonts w:ascii="Times New Roman" w:hAnsi="Times New Roman"/>
      <w:kern w:val="3"/>
      <w:sz w:val="24"/>
      <w:szCs w:val="24"/>
    </w:rPr>
  </w:style>
  <w:style w:type="paragraph" w:customStyle="1" w:styleId="Default">
    <w:name w:val="Default"/>
    <w:pPr>
      <w:widowControl w:val="0"/>
      <w:suppressAutoHyphens/>
      <w:autoSpaceDE w:val="0"/>
    </w:pPr>
    <w:rPr>
      <w:rFonts w:ascii="標楷體.鬁..." w:eastAsia="標楷體.鬁..." w:hAnsi="標楷體.鬁..." w:cs="標楷體.鬁..."/>
      <w:color w:val="000000"/>
      <w:sz w:val="24"/>
      <w:szCs w:val="24"/>
    </w:rPr>
  </w:style>
  <w:style w:type="paragraph" w:styleId="a9">
    <w:name w:val="List Paragraph"/>
    <w:aliases w:val="Table bullet,樣式 清單段落+標題2"/>
    <w:basedOn w:val="a"/>
    <w:uiPriority w:val="34"/>
    <w:qFormat/>
    <w:pPr>
      <w:ind w:left="480"/>
    </w:pPr>
    <w:rPr>
      <w:rFonts w:ascii="Times New Roman" w:hAnsi="Times New Roman"/>
      <w:szCs w:val="24"/>
    </w:rPr>
  </w:style>
  <w:style w:type="character" w:customStyle="1" w:styleId="aa">
    <w:name w:val="清單段落 字元"/>
    <w:rPr>
      <w:rFonts w:ascii="Times New Roman" w:hAnsi="Times New Roman"/>
      <w:kern w:val="3"/>
      <w:sz w:val="24"/>
      <w:szCs w:val="24"/>
    </w:rPr>
  </w:style>
  <w:style w:type="paragraph" w:styleId="ab">
    <w:name w:val="No Spacing"/>
    <w:pPr>
      <w:widowControl w:val="0"/>
    </w:pPr>
    <w:rPr>
      <w:kern w:val="3"/>
      <w:sz w:val="24"/>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2780605">
      <w:bodyDiv w:val="1"/>
      <w:marLeft w:val="0"/>
      <w:marRight w:val="0"/>
      <w:marTop w:val="0"/>
      <w:marBottom w:val="0"/>
      <w:divBdr>
        <w:top w:val="none" w:sz="0" w:space="0" w:color="auto"/>
        <w:left w:val="none" w:sz="0" w:space="0" w:color="auto"/>
        <w:bottom w:val="none" w:sz="0" w:space="0" w:color="auto"/>
        <w:right w:val="none" w:sz="0" w:space="0" w:color="auto"/>
      </w:divBdr>
    </w:div>
    <w:div w:id="19042961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37</TotalTime>
  <Pages>94</Pages>
  <Words>16892</Words>
  <Characters>96286</Characters>
  <Application>Microsoft Office Word</Application>
  <DocSecurity>0</DocSecurity>
  <Lines>802</Lines>
  <Paragraphs>225</Paragraphs>
  <ScaleCrop>false</ScaleCrop>
  <Company/>
  <LinksUpToDate>false</LinksUpToDate>
  <CharactersWithSpaces>112953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NHI</dc:creator>
  <cp:lastModifiedBy>李欣蓉</cp:lastModifiedBy>
  <cp:revision>20</cp:revision>
  <cp:lastPrinted>2025-02-24T03:34:00Z</cp:lastPrinted>
  <dcterms:created xsi:type="dcterms:W3CDTF">2025-11-20T07:27:00Z</dcterms:created>
  <dcterms:modified xsi:type="dcterms:W3CDTF">2025-12-24T01:42:00Z</dcterms:modified>
</cp:coreProperties>
</file>