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rsidR="00B96EA0" w:rsidRDefault="00B96EA0" w:rsidP="005142EB">
      <w:pPr>
        <w:spacing w:line="400" w:lineRule="exact"/>
        <w:jc w:val="center"/>
        <w:rPr>
          <w:rFonts w:ascii="標楷體" w:eastAsia="標楷體" w:hAnsi="標楷體"/>
          <w:b/>
          <w:bCs/>
          <w:color w:val="000000"/>
          <w:sz w:val="32"/>
          <w:szCs w:val="32"/>
        </w:rPr>
      </w:pP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9.1.1.Exemestane(如Aromasin Sugar Coated Tablets)：（88/11/1、90/10/1、99/6/1、105/8/1)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rsidR="009C41ED" w:rsidRPr="00367DBE" w:rsidRDefault="009C41ED" w:rsidP="009C41ED">
      <w:pPr>
        <w:spacing w:line="400" w:lineRule="exact"/>
        <w:ind w:left="142"/>
        <w:jc w:val="both"/>
        <w:rPr>
          <w:rFonts w:ascii="標楷體" w:eastAsia="標楷體" w:hAnsi="標楷體"/>
          <w:szCs w:val="24"/>
        </w:rPr>
      </w:pPr>
      <w:r w:rsidRPr="00367DBE">
        <w:rPr>
          <w:rFonts w:ascii="標楷體" w:eastAsia="標楷體" w:hAnsi="標楷體"/>
          <w:szCs w:val="24"/>
        </w:rPr>
        <w:t>9.2.Carboplatin(如Paraplatin；Carboplatin inj)：(112/12/1</w:t>
      </w:r>
      <w:r w:rsidRPr="00367DBE">
        <w:rPr>
          <w:rFonts w:ascii="標楷體" w:eastAsia="標楷體" w:hAnsi="標楷體" w:hint="eastAsia"/>
          <w:szCs w:val="24"/>
        </w:rPr>
        <w:t>、114/2/1、1</w:t>
      </w:r>
      <w:r w:rsidRPr="00367DBE">
        <w:rPr>
          <w:rFonts w:ascii="標楷體" w:eastAsia="標楷體" w:hAnsi="標楷體"/>
          <w:szCs w:val="24"/>
        </w:rPr>
        <w:t>14/6/1</w:t>
      </w:r>
      <w:r w:rsidRPr="00367DBE">
        <w:rPr>
          <w:rFonts w:ascii="標楷體" w:eastAsia="標楷體" w:hAnsi="標楷體" w:hint="eastAsia"/>
          <w:szCs w:val="24"/>
        </w:rPr>
        <w:t>、1</w:t>
      </w:r>
      <w:r w:rsidRPr="00367DBE">
        <w:rPr>
          <w:rFonts w:ascii="標楷體" w:eastAsia="標楷體" w:hAnsi="標楷體"/>
          <w:szCs w:val="24"/>
        </w:rPr>
        <w:t>14/8/1</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9C41ED" w:rsidRPr="00367DBE" w:rsidRDefault="009C41ED" w:rsidP="009C41ED">
      <w:pPr>
        <w:spacing w:line="400" w:lineRule="exact"/>
        <w:ind w:left="33" w:hanging="1"/>
        <w:jc w:val="both"/>
        <w:rPr>
          <w:rFonts w:ascii="標楷體" w:eastAsia="標楷體" w:hAnsi="標楷體"/>
          <w:szCs w:val="24"/>
        </w:rPr>
      </w:pPr>
      <w:r>
        <w:rPr>
          <w:rFonts w:ascii="標楷體" w:eastAsia="標楷體" w:hAnsi="標楷體" w:hint="eastAsia"/>
        </w:rPr>
        <w:t xml:space="preserve">   </w:t>
      </w:r>
      <w:r w:rsidRPr="00367DBE">
        <w:rPr>
          <w:rFonts w:ascii="標楷體" w:eastAsia="標楷體" w:hAnsi="標楷體"/>
          <w:szCs w:val="24"/>
        </w:rPr>
        <w:t>限</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.卵巢癌患者。</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2</w:t>
      </w:r>
      <w:r w:rsidRPr="00367DBE">
        <w:rPr>
          <w:rFonts w:ascii="標楷體" w:eastAsia="標楷體" w:hAnsi="標楷體"/>
        </w:rPr>
        <w:t>.腎功能不佳(CCr&lt;60)或曾作單側或以上腎切除之惡性腫瘤患者使用。</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3</w:t>
      </w:r>
      <w:r w:rsidRPr="00367DBE">
        <w:rPr>
          <w:rFonts w:ascii="標楷體" w:eastAsia="標楷體" w:hAnsi="標楷體"/>
        </w:rPr>
        <w:t>.與pembrolizumab及paclitaxel併用於轉移性鱗狀非小細胞肺癌的第一線治療，患者需符合免疫檢查點抑制劑之藥品給付規定。(112/12/1)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4</w:t>
      </w:r>
      <w:r w:rsidRPr="00367DBE">
        <w:rPr>
          <w:rFonts w:ascii="標楷體" w:eastAsia="標楷體" w:hAnsi="標楷體"/>
        </w:rPr>
        <w:t>.與atezolizumab及etoposide併用</w:t>
      </w:r>
      <w:r w:rsidRPr="00367DBE">
        <w:rPr>
          <w:rFonts w:ascii="標楷體" w:eastAsia="標楷體" w:hAnsi="標楷體" w:hint="eastAsia"/>
        </w:rPr>
        <w:t>，或與d</w:t>
      </w:r>
      <w:r w:rsidRPr="00367DBE">
        <w:rPr>
          <w:rFonts w:ascii="標楷體" w:eastAsia="標楷體" w:hAnsi="標楷體"/>
        </w:rPr>
        <w:t>urvalumab</w:t>
      </w:r>
      <w:r w:rsidRPr="00367DBE">
        <w:rPr>
          <w:rFonts w:ascii="標楷體" w:eastAsia="標楷體" w:hAnsi="標楷體" w:hint="eastAsia"/>
        </w:rPr>
        <w:t>及</w:t>
      </w:r>
      <w:r w:rsidRPr="00367DBE">
        <w:rPr>
          <w:rFonts w:ascii="標楷體" w:eastAsia="標楷體" w:hAnsi="標楷體"/>
        </w:rPr>
        <w:t>etoposide</w:t>
      </w:r>
      <w:r w:rsidRPr="00367DBE">
        <w:rPr>
          <w:rFonts w:ascii="標楷體" w:eastAsia="標楷體" w:hAnsi="標楷體" w:hint="eastAsia"/>
        </w:rPr>
        <w:t>併用</w:t>
      </w:r>
      <w:r w:rsidRPr="00367DBE">
        <w:rPr>
          <w:rFonts w:ascii="標楷體" w:eastAsia="標楷體" w:hAnsi="標楷體"/>
        </w:rPr>
        <w:t>於擴散期(extensive stage)小細胞肺癌成人患者時，患者需符合免疫檢查點抑制劑之藥品給付規定。(112/12/1</w:t>
      </w:r>
      <w:r w:rsidRPr="00367DBE">
        <w:rPr>
          <w:rFonts w:ascii="標楷體" w:eastAsia="標楷體" w:hAnsi="標楷體" w:hint="eastAsia"/>
        </w:rPr>
        <w:t>、114/2/1</w:t>
      </w:r>
      <w:r w:rsidRPr="00367DBE">
        <w:rPr>
          <w:rFonts w:ascii="標楷體" w:eastAsia="標楷體" w:hAnsi="標楷體"/>
        </w:rPr>
        <w:t>)</w:t>
      </w:r>
    </w:p>
    <w:p w:rsidR="009C41ED" w:rsidRPr="00367DBE" w:rsidRDefault="009C41ED" w:rsidP="009C41ED">
      <w:pPr>
        <w:pStyle w:val="a9"/>
        <w:spacing w:line="400" w:lineRule="exact"/>
        <w:ind w:leftChars="178" w:left="566" w:hangingChars="58" w:hanging="139"/>
        <w:jc w:val="both"/>
        <w:rPr>
          <w:rFonts w:ascii="標楷體" w:eastAsia="標楷體" w:hAnsi="標楷體"/>
        </w:rPr>
      </w:pPr>
      <w:r w:rsidRPr="00367DBE">
        <w:rPr>
          <w:rFonts w:ascii="標楷體" w:eastAsia="標楷體" w:hAnsi="標楷體" w:hint="eastAsia"/>
        </w:rPr>
        <w:t>5.與pembrolizumab及pemetrexed(限使用Pexeda、Apeta或Pemetrexed Sandoz)併用，或與atezolizumab及bevacizumab(限使用Alymsys、Avastin、Abevmy、Vegzelma或Mvasi)、paclitaxel併用，做為轉移性且不具有EGFR/ALK/ROS-1腫瘤基因異常的非鱗狀非小細胞肺癌的第一線治療，患者需符合免疫檢查點抑制劑之藥品給付規定。(114/6/1、114/8/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rPr>
        <w:t>6.</w:t>
      </w:r>
      <w:r w:rsidRPr="00367DBE">
        <w:rPr>
          <w:rFonts w:ascii="標楷體" w:eastAsia="標楷體" w:hAnsi="標楷體" w:hint="eastAsia"/>
        </w:rPr>
        <w:t>與pembrolizumab及paclitaxel併用於早期三陰性乳癌(第II期至第IIIb期，cT1c N1-2或T2-4 N0-2)病人的術前前導性治療用藥，病人需符合免疫檢查點抑制劑之藥品給付規定。(114/6/1)</w:t>
      </w:r>
    </w:p>
    <w:p w:rsidR="00B96EA0" w:rsidRDefault="009C41ED" w:rsidP="009C41ED">
      <w:pPr>
        <w:tabs>
          <w:tab w:val="left" w:pos="567"/>
        </w:tabs>
        <w:spacing w:line="400" w:lineRule="exact"/>
        <w:ind w:leftChars="178" w:left="708" w:hangingChars="117" w:hanging="281"/>
      </w:pPr>
      <w:r w:rsidRPr="00367DBE">
        <w:rPr>
          <w:rFonts w:ascii="標楷體" w:eastAsia="標楷體" w:hAnsi="標楷體"/>
          <w:szCs w:val="24"/>
        </w:rPr>
        <w:t>7.</w:t>
      </w:r>
      <w:r w:rsidRPr="00367DBE">
        <w:rPr>
          <w:rFonts w:ascii="標楷體" w:eastAsia="標楷體" w:hAnsi="標楷體" w:hint="eastAsia"/>
          <w:szCs w:val="24"/>
        </w:rPr>
        <w:t>與amivantamab 及pemetrexed 併用於罹患帶有表皮生長因子受體(EGFR) exon 20 插入突變之局部晚期或轉移性非小細胞肺癌</w:t>
      </w:r>
      <w:r w:rsidRPr="00367DBE">
        <w:rPr>
          <w:rFonts w:ascii="標楷體" w:eastAsia="標楷體" w:hAnsi="標楷體"/>
          <w:szCs w:val="24"/>
        </w:rPr>
        <w:t>(NSCLC)</w:t>
      </w:r>
      <w:r w:rsidRPr="00367DBE">
        <w:rPr>
          <w:rFonts w:ascii="標楷體" w:eastAsia="標楷體" w:hAnsi="標楷體" w:hint="eastAsia"/>
          <w:szCs w:val="24"/>
        </w:rPr>
        <w:t>的成人病人，作為第一線治療。</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9.3.Docetaxel：（87/7/1、92/11/1、93/8/1、95/8/1、96/1/1、99/6/1、100/1/1、101/9/1、108/1/1、113/5/1）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(1)局部晚期或轉移性乳癌。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(2)與anthracycline合併使用於腋下淋巴結轉移之早期乳癌之術後輔助性化學治療。(99/6/1)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(3)早期乳癌手術後，經診斷為三陰性反應且無淋巴轉移的病人，得作為與cyclophosphamide併用doxorubicin的化學輔助療法。(101/9/1）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2.非小細胞肺癌：局部晚期或轉移性非小細胞肺癌。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(1)於荷爾蒙治療失敗之轉移性前列腺癌。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(2)與darolutamide併用於治療高風險轉移性的去勢敏感性前列腺癌(mCSPC)，患者需符合darolutamide之藥品給付規定。(113/5/1)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4.頭頸癌：限局部晚期且無遠端轉移之頭頸部鱗狀細胞癌且無法手術切除者，與cisplatin及5-fluorouracil併用，作為放射治療前的引導治療，限使用4個療程。(100/1/1)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5.胃腺癌：晚期胃腺癌患者，包括胃食道接合處之腺癌。(108/1/1)</w:t>
      </w:r>
    </w:p>
    <w:p w:rsidR="00B96EA0" w:rsidRDefault="00D927FE" w:rsidP="005142EB">
      <w:pPr>
        <w:spacing w:line="400" w:lineRule="exact"/>
        <w:ind w:left="672" w:hanging="386"/>
        <w:rPr>
          <w:rFonts w:ascii="標楷體" w:eastAsia="標楷體" w:hAnsi="標楷體"/>
          <w:color w:val="000000"/>
        </w:rPr>
      </w:pPr>
      <w:r>
        <w:rPr>
          <w:rFonts w:ascii="標楷體" w:eastAsia="標楷體" w:hAnsi="標楷體"/>
          <w:color w:val="000000"/>
        </w:rPr>
        <w:t>9.4.Gemcitabine（如Gemzar）：（92/12/1、93/8/1、94/10/1、96/5/1、99/10/1、105/2/1、114/2/1</w:t>
      </w:r>
      <w:r w:rsidRPr="00D927FE">
        <w:rPr>
          <w:rFonts w:ascii="標楷體" w:eastAsia="標楷體" w:hAnsi="標楷體" w:hint="eastAsia"/>
          <w:szCs w:val="24"/>
        </w:rPr>
        <w:t>、115/2/1</w:t>
      </w:r>
      <w:r>
        <w:rPr>
          <w:rFonts w:ascii="標楷體" w:eastAsia="標楷體" w:hAnsi="標楷體"/>
          <w:color w:val="000000"/>
        </w:rPr>
        <w:t>）</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1.晚期或無法手術切除之非小細胞肺癌及胰臟癌病患。</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2.晚期膀胱癌病患。（92/12/1）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3.Gemcitabine與paclitaxel併用，可使用於曾經使用過anthracycline之局部復發且無法手術切除或轉移性之乳癌病患。（94/10/1）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4.用於曾經使用含鉑類藥物(platinum-based)治療後復發且間隔至少6個月之卵巢癌，作為第二線治療。（96/5/1、99/10/1）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5.無法手術切除或晚期或復發之膽道癌(含肝內膽管)病患。（105/2/1）</w:t>
      </w:r>
    </w:p>
    <w:p w:rsidR="00D927FE" w:rsidRDefault="00D927FE" w:rsidP="00D927FE">
      <w:pPr>
        <w:spacing w:line="400" w:lineRule="exact"/>
        <w:ind w:left="811" w:hanging="245"/>
        <w:rPr>
          <w:rFonts w:ascii="標楷體" w:eastAsia="標楷體" w:hAnsi="標楷體"/>
          <w:color w:val="000000"/>
        </w:rPr>
      </w:pPr>
      <w:r>
        <w:rPr>
          <w:rFonts w:ascii="標楷體" w:eastAsia="標楷體" w:hAnsi="標楷體"/>
          <w:color w:val="000000"/>
        </w:rPr>
        <w:t>6.與durvalumab及cisplatin併用於治療局部晚期或轉移性未接受治療或不可手術之膽道癌(biliary tract cancer)成人病人(壺腹癌除外)，患者需符合免疫檢查點抑制劑之藥品給付規定。（114/2/1)</w:t>
      </w:r>
    </w:p>
    <w:p w:rsidR="00B96EA0" w:rsidRPr="00D927FE" w:rsidRDefault="00D927FE" w:rsidP="00D927FE">
      <w:pPr>
        <w:spacing w:line="400" w:lineRule="exact"/>
        <w:ind w:left="811" w:hanging="245"/>
        <w:rPr>
          <w:rFonts w:ascii="標楷體" w:eastAsia="標楷體" w:hAnsi="標楷體"/>
        </w:rPr>
      </w:pPr>
      <w:r w:rsidRPr="00D927FE">
        <w:rPr>
          <w:rFonts w:ascii="標楷體" w:eastAsia="標楷體" w:hAnsi="標楷體" w:hint="eastAsia"/>
          <w:szCs w:val="24"/>
        </w:rPr>
        <w:t>7.與nivolumab及</w:t>
      </w:r>
      <w:r w:rsidRPr="00D927FE">
        <w:rPr>
          <w:rFonts w:ascii="標楷體" w:eastAsia="標楷體" w:hAnsi="標楷體"/>
          <w:szCs w:val="24"/>
        </w:rPr>
        <w:t>cisplatin</w:t>
      </w:r>
      <w:r w:rsidRPr="00D927FE">
        <w:rPr>
          <w:rFonts w:ascii="標楷體" w:eastAsia="標楷體" w:hAnsi="標楷體" w:hint="eastAsia"/>
          <w:szCs w:val="24"/>
        </w:rPr>
        <w:t>併用於無法切除或轉移性泌尿道上皮癌成人病人的第一線治療，病人</w:t>
      </w:r>
      <w:r w:rsidRPr="00D927FE">
        <w:rPr>
          <w:rFonts w:ascii="標楷體" w:eastAsia="標楷體" w:hAnsi="標楷體"/>
          <w:szCs w:val="24"/>
        </w:rPr>
        <w:t>需符合免疫檢查點抑制劑之藥品給付規定，</w:t>
      </w:r>
      <w:r w:rsidRPr="00D927FE">
        <w:rPr>
          <w:rFonts w:ascii="標楷體" w:eastAsia="標楷體" w:hAnsi="標楷體" w:hint="eastAsia"/>
          <w:szCs w:val="24"/>
        </w:rPr>
        <w:t>且至多6個療程</w:t>
      </w:r>
      <w:r w:rsidRPr="00D927FE">
        <w:rPr>
          <w:rFonts w:ascii="標楷體" w:eastAsia="標楷體" w:hAnsi="標楷體"/>
          <w:szCs w:val="24"/>
        </w:rPr>
        <w:t>。（</w:t>
      </w:r>
      <w:r w:rsidRPr="00D927FE">
        <w:rPr>
          <w:rFonts w:ascii="標楷體" w:eastAsia="標楷體" w:hAnsi="標楷體" w:hint="eastAsia"/>
          <w:szCs w:val="24"/>
        </w:rPr>
        <w:t>115/2/1</w:t>
      </w:r>
      <w:r w:rsidRPr="00D927FE">
        <w:rPr>
          <w:rFonts w:ascii="標楷體" w:eastAsia="標楷體" w:hAnsi="標楷體"/>
          <w:szCs w:val="24"/>
        </w:rPr>
        <w:t>)</w:t>
      </w:r>
    </w:p>
    <w:p w:rsidR="00B96EA0" w:rsidRDefault="00CF183E" w:rsidP="005142EB">
      <w:pPr>
        <w:spacing w:line="400" w:lineRule="exact"/>
        <w:ind w:left="672" w:hanging="386"/>
        <w:rPr>
          <w:rFonts w:ascii="標楷體" w:eastAsia="標楷體" w:hAnsi="標楷體"/>
          <w:color w:val="000000"/>
        </w:rPr>
      </w:pPr>
      <w:bookmarkStart w:id="0" w:name="_Hlk204090564"/>
      <w:bookmarkStart w:id="1" w:name="_Hlk198656705"/>
      <w:r w:rsidRPr="005A2133">
        <w:rPr>
          <w:rFonts w:ascii="標楷體" w:eastAsia="標楷體" w:hAnsi="標楷體"/>
          <w:color w:val="000000"/>
        </w:rPr>
        <w:t>9.5.Paclitaxel成分劑：（88/8/1、88/11/1、89/6/1、89/10/1、91/4/1、91/8/1、93/8/1、94/1/1、98/8/1、108/11/1、112/12/1、114/6/1</w:t>
      </w:r>
      <w:r w:rsidRPr="005A2133">
        <w:rPr>
          <w:rFonts w:ascii="標楷體" w:eastAsia="標楷體" w:hAnsi="標楷體" w:hint="eastAsia"/>
          <w:szCs w:val="24"/>
        </w:rPr>
        <w:t>、114/8/1</w:t>
      </w:r>
      <w:r w:rsidRPr="005A2133">
        <w:rPr>
          <w:rFonts w:ascii="標楷體" w:eastAsia="標楷體" w:hAnsi="標楷體"/>
          <w:color w:val="000000"/>
        </w:rPr>
        <w:t>）</w:t>
      </w:r>
      <w:bookmarkEnd w:id="0"/>
    </w:p>
    <w:p w:rsidR="00CF183E" w:rsidRPr="00CF183E" w:rsidRDefault="00CF183E" w:rsidP="00CF183E">
      <w:pPr>
        <w:spacing w:line="300" w:lineRule="exact"/>
        <w:ind w:left="805" w:hanging="521"/>
        <w:rPr>
          <w:rFonts w:ascii="標楷體" w:eastAsia="標楷體" w:hAnsi="標楷體"/>
          <w:color w:val="000000"/>
        </w:rPr>
      </w:pPr>
      <w:bookmarkStart w:id="2" w:name="_Hlk204090575"/>
      <w:bookmarkEnd w:id="1"/>
      <w:r w:rsidRPr="00CF183E">
        <w:rPr>
          <w:rFonts w:ascii="標楷體" w:eastAsia="標楷體" w:hAnsi="標楷體"/>
          <w:color w:val="000000"/>
        </w:rPr>
        <w:t>9.5.1.Paclitaxel成分注射劑：(108/11/1、112/12/1</w:t>
      </w:r>
      <w:r w:rsidRPr="00CF183E">
        <w:rPr>
          <w:rFonts w:ascii="標楷體" w:eastAsia="標楷體" w:hAnsi="標楷體" w:hint="eastAsia"/>
          <w:color w:val="000000"/>
        </w:rPr>
        <w:t>、</w:t>
      </w:r>
      <w:r w:rsidRPr="00CF183E">
        <w:rPr>
          <w:rFonts w:ascii="標楷體" w:eastAsia="標楷體" w:hAnsi="標楷體"/>
          <w:szCs w:val="24"/>
        </w:rPr>
        <w:t>114/6/1</w:t>
      </w:r>
      <w:r w:rsidRPr="00CF183E">
        <w:rPr>
          <w:rFonts w:ascii="標楷體" w:eastAsia="標楷體" w:hAnsi="標楷體" w:hint="eastAsia"/>
          <w:szCs w:val="24"/>
        </w:rPr>
        <w:t>、114/8/1</w:t>
      </w:r>
      <w:r w:rsidRPr="00CF183E">
        <w:rPr>
          <w:rFonts w:ascii="標楷體" w:eastAsia="標楷體" w:hAnsi="標楷體"/>
          <w:color w:val="000000"/>
        </w:rPr>
        <w:t>)</w:t>
      </w:r>
    </w:p>
    <w:p w:rsidR="00CF183E" w:rsidRPr="00CF183E" w:rsidRDefault="00CF183E" w:rsidP="00CF183E">
      <w:pPr>
        <w:spacing w:line="300" w:lineRule="exact"/>
        <w:ind w:left="1233" w:hanging="196"/>
        <w:rPr>
          <w:rFonts w:ascii="標楷體" w:eastAsia="標楷體" w:hAnsi="標楷體"/>
          <w:color w:val="000000"/>
        </w:rPr>
      </w:pPr>
      <w:r w:rsidRPr="00CF183E">
        <w:rPr>
          <w:rFonts w:ascii="標楷體" w:eastAsia="標楷體" w:hAnsi="標楷體"/>
          <w:color w:val="000000"/>
        </w:rPr>
        <w:t>限用於</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1.晚期卵巢癌，作為第一線治療時需與cisplatin併用。(94/1/1)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2.非小細胞肺癌，作為第一線用藥時需與cisplatin併用。(94/1/1)</w:t>
      </w:r>
    </w:p>
    <w:p w:rsidR="00CF183E" w:rsidRPr="00CF183E" w:rsidRDefault="00CF183E" w:rsidP="00CF183E">
      <w:pPr>
        <w:spacing w:line="300" w:lineRule="exact"/>
        <w:ind w:left="993" w:hanging="227"/>
        <w:rPr>
          <w:rFonts w:ascii="標楷體" w:eastAsia="標楷體" w:hAnsi="標楷體"/>
        </w:rPr>
      </w:pPr>
      <w:r w:rsidRPr="00CF183E">
        <w:rPr>
          <w:rFonts w:ascii="標楷體" w:eastAsia="標楷體" w:hAnsi="標楷體"/>
          <w:color w:val="000000"/>
          <w:szCs w:val="24"/>
        </w:rPr>
        <w:t>3.</w:t>
      </w:r>
      <w:r w:rsidRPr="00CF183E">
        <w:rPr>
          <w:rFonts w:ascii="標楷體" w:eastAsia="標楷體" w:hAnsi="標楷體"/>
          <w:szCs w:val="24"/>
        </w:rPr>
        <w:t>與pembrolizumab及carboplatin併用於轉移性鱗狀非小細胞肺癌的第一線治療，患者需符合免疫檢查點抑制劑之藥品給付規定。(112/12/1)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4.已使用合併療法(除非有禁忌症、至少應包括使用anthracycline)失敗的轉移性乳癌患者。（91/4/1、94/1/1)</w:t>
      </w:r>
    </w:p>
    <w:p w:rsid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5.腋下淋巴轉移之乳癌且動情素受體為陰性之患者，paclitaxel可作為接續含doxorubicin在內之輔助化學治療。（91/4/1、94/1/1、98/8/1)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color w:val="000000"/>
        </w:rPr>
        <w:t>6.</w:t>
      </w:r>
      <w:r w:rsidRPr="00CF183E">
        <w:rPr>
          <w:rFonts w:ascii="標楷體" w:eastAsia="標楷體" w:hAnsi="標楷體"/>
          <w:color w:val="000000"/>
        </w:rPr>
        <w:t>卡波西氏肉瘤第二線用藥。（88/11/1）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7.</w:t>
      </w:r>
      <w:r w:rsidRPr="00CF183E">
        <w:rPr>
          <w:rFonts w:ascii="標楷體" w:eastAsia="標楷體" w:hAnsi="標楷體"/>
          <w:szCs w:val="24"/>
        </w:rPr>
        <w:t>與pembrolizumab及carboplatin併用於早期三陰性乳癌(第II期至第IIIb期，</w:t>
      </w:r>
      <w:r w:rsidRPr="00CF183E">
        <w:rPr>
          <w:rFonts w:ascii="標楷體" w:eastAsia="標楷體" w:hAnsi="標楷體"/>
          <w:szCs w:val="24"/>
        </w:rPr>
        <w:lastRenderedPageBreak/>
        <w:t>cT1c N1-2 或 T2-4 N0-2)病人的術前前導性治療用藥，病人需符合免疫檢查點抑制劑之藥品給付規定。(114/6/1)</w:t>
      </w:r>
    </w:p>
    <w:p w:rsidR="00B96EA0"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8.</w:t>
      </w:r>
      <w:r w:rsidRPr="00CF183E">
        <w:rPr>
          <w:rFonts w:ascii="標楷體" w:eastAsia="標楷體" w:hAnsi="標楷體"/>
          <w:szCs w:val="24"/>
        </w:rPr>
        <w:t>與atezolizumab及bevacizumab(限使用Alymsys、Avastin、Abevmy、Vegzelma或Mvasi)、carboplatin併用於轉移性非鱗狀非小細胞肺癌第一線治療，患者需符合免疫檢查點抑制劑之藥品給付規定。(114/6/1</w:t>
      </w:r>
      <w:r w:rsidRPr="00CF183E">
        <w:rPr>
          <w:rFonts w:ascii="標楷體" w:eastAsia="標楷體" w:hAnsi="標楷體" w:hint="eastAsia"/>
          <w:szCs w:val="24"/>
        </w:rPr>
        <w:t>、114/8/1</w:t>
      </w:r>
      <w:r w:rsidRPr="00CF183E">
        <w:rPr>
          <w:rFonts w:ascii="標楷體" w:eastAsia="標楷體" w:hAnsi="標楷體"/>
          <w:szCs w:val="24"/>
        </w:rPr>
        <w:t>)</w:t>
      </w:r>
      <w:bookmarkEnd w:id="2"/>
    </w:p>
    <w:p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9.6.Streptococcus pyrogene(如Picibanil)：</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rsidR="00B96EA0" w:rsidRDefault="007D66B8" w:rsidP="005142EB">
      <w:pPr>
        <w:spacing w:line="400" w:lineRule="exact"/>
        <w:ind w:left="672" w:hanging="386"/>
      </w:pPr>
      <w:r>
        <w:rPr>
          <w:rFonts w:ascii="標楷體" w:eastAsia="標楷體" w:hAnsi="標楷體"/>
          <w:color w:val="000000"/>
        </w:rPr>
        <w:t>9.8.Toremifene（如Fareston）：（88/6/1）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rsidR="00B96EA0" w:rsidRDefault="007D66B8" w:rsidP="005142EB">
      <w:pPr>
        <w:spacing w:line="400" w:lineRule="exact"/>
        <w:ind w:left="1049" w:hanging="341"/>
      </w:pPr>
      <w:r>
        <w:rPr>
          <w:rFonts w:ascii="標楷體" w:eastAsia="標楷體" w:hAnsi="標楷體"/>
          <w:color w:val="000000"/>
        </w:rPr>
        <w:t>(2)病理分期第二期及第三期前半(stageII &amp; stageIIIA)非小細胞肺癌於接受根治性手術後與鉑金類藥品併用之輔助治療，</w:t>
      </w:r>
      <w:r>
        <w:rPr>
          <w:rFonts w:ascii="標楷體" w:eastAsia="標楷體" w:hAnsi="標楷體"/>
          <w:kern w:val="0"/>
          <w:szCs w:val="24"/>
        </w:rPr>
        <w:t>最多可使用4療程(106/11/1)。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rsidR="00B96EA0" w:rsidRDefault="00D927FE" w:rsidP="005142EB">
      <w:pPr>
        <w:spacing w:line="400" w:lineRule="exact"/>
        <w:ind w:left="425" w:hanging="245"/>
        <w:rPr>
          <w:rFonts w:ascii="標楷體" w:eastAsia="標楷體" w:hAnsi="標楷體"/>
          <w:color w:val="000000"/>
        </w:rPr>
      </w:pPr>
      <w:bookmarkStart w:id="3" w:name="_Hlk75364262"/>
      <w:r w:rsidRPr="003C5F9F">
        <w:rPr>
          <w:rFonts w:ascii="標楷體" w:eastAsia="標楷體" w:hAnsi="標楷體"/>
          <w:color w:val="000000"/>
          <w:szCs w:val="24"/>
        </w:rPr>
        <w:t>9.10.Oxaliplatin：（需符合藥品許可證登載之適應症）（89/7/1、91/10/1、93/8/1、98/2/1、98/3/1、98/7/1、102/9/1、102/12/1、109/12/1、110/5/1、110/6/1、110/7/1、111/11/1、113/4/1、113/6/1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autoSpaceDE w:val="0"/>
        <w:spacing w:line="400" w:lineRule="exact"/>
        <w:ind w:left="850" w:hanging="284"/>
        <w:rPr>
          <w:rFonts w:ascii="標楷體" w:eastAsia="標楷體" w:hAnsi="標楷體"/>
          <w:color w:val="000000"/>
        </w:rPr>
      </w:pPr>
      <w:bookmarkStart w:id="4" w:name="_Hlk219901421"/>
      <w:r w:rsidRPr="00167FEB">
        <w:rPr>
          <w:rFonts w:ascii="標楷體" w:eastAsia="標楷體" w:hAnsi="標楷體"/>
          <w:color w:val="000000"/>
        </w:rPr>
        <w:t>1.和5-FU和folinic acid併用</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(如Campto)則不予給付。(91/10/1)</w:t>
      </w:r>
    </w:p>
    <w:p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3.與5-fluorouracil、leucovorin及irinotecan併用(FOLFIRINOX)，作為轉移性胰臟癌之第一線治療。(110/5/1、110/6/1、110/7/1、111/11/1)</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與nivolumab及fluoropyrimidine併用於</w:t>
      </w:r>
      <w:r w:rsidRPr="00167FEB">
        <w:rPr>
          <w:rFonts w:ascii="標楷體" w:eastAsia="標楷體" w:hAnsi="標楷體" w:hint="eastAsia"/>
          <w:color w:val="000000"/>
        </w:rPr>
        <w:t>無法接受化學放射性治療或手術切除等治癒性治療之晚期或轉移性食道鱗狀細胞癌成人病人的第一線治療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4"/>
    </w:p>
    <w:bookmarkEnd w:id="3"/>
    <w:p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lastRenderedPageBreak/>
        <w:t>9.11.Uracil-Tegafur：(如Ufur)(100/1/1)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4.直腸癌、結腸癌第Ⅱ、Ⅲ期患者之術後輔助性治療，且使用期限不得超過2年(94/10/1、97/12/1)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rsidR="00B96EA0" w:rsidRDefault="007D66B8" w:rsidP="005142EB">
      <w:pPr>
        <w:spacing w:line="400" w:lineRule="exact"/>
        <w:ind w:left="567" w:hanging="245"/>
        <w:rPr>
          <w:rFonts w:ascii="標楷體" w:eastAsia="標楷體" w:hAnsi="標楷體"/>
          <w:color w:val="000000"/>
        </w:rPr>
      </w:pPr>
      <w:bookmarkStart w:id="5" w:name="_Hlk77950822"/>
      <w:bookmarkStart w:id="6"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rsidR="00B96EA0" w:rsidRDefault="007D66B8" w:rsidP="005142EB">
      <w:pPr>
        <w:spacing w:line="400" w:lineRule="exact"/>
        <w:ind w:left="567" w:hanging="245"/>
      </w:pPr>
      <w:r>
        <w:rPr>
          <w:rFonts w:ascii="標楷體" w:eastAsia="標楷體" w:hAnsi="標楷體"/>
          <w:color w:val="000000"/>
        </w:rPr>
        <w:t>9.12.1.Irinotecan(如Campto injection)：（需符合藥品許可證登載之適應症）(90/10/1、93/8/1、110/5/1、110/7/1、110/8/1、112/2/1)</w:t>
      </w:r>
    </w:p>
    <w:p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2.與5-fluorouracil、leucovorin及oxaliplatin併用(FOLFIRINOX)，做為轉移性胰臟癌之第一線治療(限用Irino、Irinotel、Campto、Irinotecan Injection Concentrate、Irican、Innocan、Irinotecan Injection)。(110/5/1、110/7/1、110/8/1、112/2/1)</w:t>
      </w:r>
    </w:p>
    <w:p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5"/>
      <w:r w:rsidR="00270EF3">
        <w:rPr>
          <w:rFonts w:ascii="標楷體" w:eastAsia="標楷體" w:hAnsi="標楷體"/>
          <w:color w:val="000000"/>
        </w:rPr>
        <w:t>Irinotecan微脂體注射劑(如Onivyde)：(107/8/1</w:t>
      </w:r>
      <w:r w:rsidR="00270EF3">
        <w:rPr>
          <w:rFonts w:ascii="標楷體" w:eastAsia="標楷體" w:hAnsi="標楷體" w:hint="eastAsia"/>
          <w:color w:val="000000"/>
        </w:rPr>
        <w:t>、114/12/1</w:t>
      </w:r>
      <w:r w:rsidR="00270EF3">
        <w:rPr>
          <w:rFonts w:ascii="標楷體" w:eastAsia="標楷體" w:hAnsi="標楷體"/>
          <w:color w:val="000000"/>
        </w:rPr>
        <w:t>)</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6"/>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9.13.Aldesleukin(如Proleukin for Injection)：(90/10/1、93/8/1)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injection(如Lipo-Dox、Caelyx)：(91/3/1、93/8/1、93/11/1、99/10/1)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lastRenderedPageBreak/>
        <w:t>9.15.Tretinoin（如Vesanoid Soft Gelatin）：（88/10/1）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9.16.Topotecan（如Hycamtin）：（88/10/1、93/8/1、98/11/1、100/6/1）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2.與cisplatin併用適用於治療經組織學檢查確定患有第IV-B期復發性或持續性子宮頸癌，且不適合以外科手術及（或）放射療法進行治療的患者。（98/11/1）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rsidR="00167FEB" w:rsidRPr="00167FEB" w:rsidRDefault="00167FEB" w:rsidP="00167FEB">
      <w:pPr>
        <w:spacing w:line="400" w:lineRule="exact"/>
        <w:ind w:left="811" w:hanging="245"/>
        <w:rPr>
          <w:rFonts w:ascii="標楷體" w:eastAsia="標楷體" w:hAnsi="標楷體"/>
          <w:color w:val="000000"/>
        </w:rPr>
      </w:pPr>
      <w:bookmarkStart w:id="7" w:name="_Hlk219901609"/>
      <w:r w:rsidRPr="00167FEB">
        <w:rPr>
          <w:rFonts w:ascii="標楷體" w:eastAsia="標楷體" w:hAnsi="標楷體"/>
          <w:color w:val="000000"/>
        </w:rPr>
        <w:t>1.Capecitabine與docetaxel併用於治療對anthracycline化學治療無效之局部晚期或轉移性乳癌病患。</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2.用於局部晚期或轉移性乳癌，需符合下列條件之一：(110/2/1)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(2)Capecitabine合併ixabepilone用於對taxane有抗藥性且無法接受anthracycline治療者。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(3)Capecitabine單獨或合併ixabepilone用於對taxane及anthracycline治療無效者。</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rsidR="00B96EA0" w:rsidRDefault="00167FEB" w:rsidP="00167FEB">
      <w:pPr>
        <w:spacing w:line="400" w:lineRule="exact"/>
        <w:ind w:left="811" w:hanging="245"/>
      </w:pPr>
      <w:r w:rsidRPr="00167FEB">
        <w:rPr>
          <w:rFonts w:ascii="標楷體" w:eastAsia="標楷體" w:hAnsi="標楷體"/>
          <w:color w:val="000000"/>
        </w:rPr>
        <w:t>6.與nivolumab及oxaliplatin併用於第一線治療晚期或轉移性且不具有HER2過度表現的胃癌病人，病人需符合免疫檢查點抑制劑之藥品給付規定。(113/4/1、113/6/1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7"/>
    </w:p>
    <w:p w:rsidR="00926D01" w:rsidRDefault="007D66B8" w:rsidP="00926D01">
      <w:pPr>
        <w:spacing w:line="400" w:lineRule="exact"/>
        <w:ind w:left="672" w:hanging="386"/>
        <w:rPr>
          <w:rFonts w:ascii="標楷體" w:eastAsia="標楷體" w:hAnsi="標楷體"/>
          <w:color w:val="000000"/>
        </w:rPr>
      </w:pPr>
      <w:r>
        <w:rPr>
          <w:rFonts w:ascii="標楷體" w:eastAsia="標楷體" w:hAnsi="標楷體"/>
          <w:color w:val="000000"/>
        </w:rPr>
        <w:t>9.18.</w:t>
      </w:r>
      <w:r w:rsidR="00926D01" w:rsidRPr="00926D01">
        <w:rPr>
          <w:rFonts w:ascii="標楷體" w:eastAsia="標楷體" w:hAnsi="標楷體"/>
          <w:color w:val="000000"/>
        </w:rPr>
        <w:t xml:space="preserve"> </w:t>
      </w:r>
      <w:r w:rsidR="00926D01">
        <w:rPr>
          <w:rFonts w:ascii="標楷體" w:eastAsia="標楷體" w:hAnsi="標楷體"/>
          <w:color w:val="000000"/>
        </w:rPr>
        <w:t>Trastuzumab (如Herceptin)：(91/4/1、93/8/1、95/2/1、99/1/1、99/8/1、99/10/1、101/1/1、105/11/1、108/5/1、109/2/1、111/12/1、112/10/1、113/8/1、113/12/1、114/1/1、114/5/1</w:t>
      </w:r>
      <w:r w:rsidR="00926D01" w:rsidRPr="00EF2A43">
        <w:rPr>
          <w:rFonts w:ascii="標楷體" w:eastAsia="標楷體" w:hAnsi="標楷體"/>
          <w:color w:val="000000"/>
        </w:rPr>
        <w:t>、114/12/1</w:t>
      </w:r>
      <w:r w:rsidR="00926D01">
        <w:rPr>
          <w:rFonts w:ascii="標楷體" w:eastAsia="標楷體" w:hAnsi="標楷體"/>
          <w:color w:val="000000"/>
        </w:rPr>
        <w:t>)</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1.早期乳癌(99/1/1、99/8/1、99/10/1、101/1/1、111/12/1、112/10/1、113/8/1、113/12/1、114/1/1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外科手術前後、化學療法(術前輔助治療或輔助治療)治療後，具HER2過度表現(IHC3+或FISH+)，且具腋下淋巴結轉移但無遠處臟器轉移之早期乳癌患者，作為輔助性治療用藥：(99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I.外科手術後達病理上緩解(pCR)，下列i.~iii.使用於外科手術前後之總療程合併計算，依藥品仿單記載以18個療程為上限：(113/8/1、113/12/1、114/1/1</w:t>
      </w:r>
      <w:r w:rsidRPr="00EF2A43">
        <w:rPr>
          <w:rFonts w:ascii="標楷體" w:eastAsia="標楷體" w:hAnsi="標楷體"/>
          <w:color w:val="000000"/>
        </w:rPr>
        <w:t>、</w:t>
      </w:r>
      <w:r w:rsidRPr="00EF2A43">
        <w:rPr>
          <w:rFonts w:ascii="標楷體" w:eastAsia="標楷體" w:hAnsi="標楷體"/>
          <w:color w:val="000000"/>
        </w:rPr>
        <w:lastRenderedPageBreak/>
        <w:t>114/12/1</w:t>
      </w:r>
      <w:r>
        <w:rPr>
          <w:rFonts w:ascii="標楷體" w:eastAsia="標楷體" w:hAnsi="標楷體"/>
          <w:color w:val="000000"/>
        </w:rPr>
        <w:t>)</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i.本藥品</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ii.pertuzumab與trastuzumab併用</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iii.pertuzumab與trastuzumab皮下注射複方製劑(如Phesgo)</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Ⅱ.若外科手術後無法達病理上緩解(non-pCR)，本藥品與trastuzumab emtansine使用於外科手術前後的總療程合併計算，依藥品仿單記載以全部18個療程為上限，其中trastuzumab emtansine以14個療程為上限。(113/8/1、113/12/1)</w:t>
      </w:r>
    </w:p>
    <w:p w:rsidR="00926D01" w:rsidRPr="00EF2A43"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(2)外科手術前後、化學療法(術前輔助治療或輔助治療)治療後，符合下列所有條件之早期乳癌患者：(111/12/1、112/10/1、113/8/1、113/12/1、114/1/1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Ⅰ.HER2過度表現(IHC 3+或FISH+)。</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Ⅱ.雌激素受體（ER)為陰性。</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Ⅲ.腫瘤大於2公分。須經乳房超音波或乳房X光攝影或核磁共振診斷。</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Ⅳ.且未發生腋下淋巴結轉移之早期乳癌患者，作為輔助性治療用藥。</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Ⅴ.依下列條件之一使用(113/8/1)：</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i.外科手術後達病理上緩解(pCR)，本藥品使用於外科手術前後以9個療程為上限。</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ii.若外科手術後無法達病理上緩解(non-pCR)，本藥品與trastuzumab emtansine使用於外科手術前後的總療程合併計算，以全部18個療程為上限，其中trastuzumab emtansine以14個療程為上限。</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2.轉移性乳癌</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(1)單獨使用於治療腫瘤細胞上有HER2過度表現(IHC3+或FISH+)，曾接受過一次以上化學治療之轉移性乳癌病人。(91/4/1、99/1/1)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(2)與paclitaxel或docetaxel併用，使用於未曾接受過化學治療之轉移性乳癌病患，且為HER2過度表現(IHC3+或FISH+)者。(93/8/1、95/2/1、99/1/1)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(3)轉移性乳癌且HER2過度表現之病人，僅限先前未使用過本藥品者方可使用。(99/1/1、108/5/1、113/12/1)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(4)若先前使用過docetaxel及pertuzumab與trastuzumab併用或docetaxel及pertuzumab與trastuzumab皮下注射複方製劑(如Phesgo)併用達18個月上限仍未惡化者，得再次申請本藥品。(108/5/1、113/12/1)</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3.轉移性胃癌(限IV 劑型)</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  Trastuzumab合併capecitabine (或5-fluorouracil)及cisplatin適用於未曾接受過化學治療之HER2過度表現(IHC3+或FISH+)轉移性胃腺癌(或胃食道接合處腺癌)的治療。(109/2/1)</w:t>
      </w:r>
    </w:p>
    <w:p w:rsidR="00B96EA0" w:rsidRDefault="00926D01" w:rsidP="00926D01">
      <w:pPr>
        <w:spacing w:line="400" w:lineRule="exact"/>
        <w:ind w:left="993" w:hanging="386"/>
        <w:rPr>
          <w:rFonts w:ascii="標楷體" w:eastAsia="標楷體" w:hAnsi="標楷體"/>
          <w:color w:val="000000"/>
        </w:rPr>
      </w:pPr>
      <w:r>
        <w:rPr>
          <w:rFonts w:ascii="標楷體" w:eastAsia="標楷體" w:hAnsi="標楷體"/>
          <w:color w:val="000000"/>
        </w:rPr>
        <w:t>4.經事前審查核准後使用，核准後早期乳癌</w:t>
      </w:r>
      <w:r w:rsidR="002A2E0D" w:rsidRPr="002A2E0D">
        <w:rPr>
          <w:rFonts w:ascii="標楷體" w:eastAsia="標楷體" w:hAnsi="標楷體" w:hint="eastAsia"/>
          <w:color w:val="000000"/>
        </w:rPr>
        <w:t>及轉移性胃癌</w:t>
      </w:r>
      <w:r>
        <w:rPr>
          <w:rFonts w:ascii="標楷體" w:eastAsia="標楷體" w:hAnsi="標楷體"/>
          <w:color w:val="000000"/>
        </w:rPr>
        <w:t>每24週、晚期乳癌每18週須檢附療效評估資料再次申請，若疾病有惡化情形即不應再行申請。（105/11/1、</w:t>
      </w:r>
      <w:r>
        <w:rPr>
          <w:rFonts w:ascii="標楷體" w:eastAsia="標楷體" w:hAnsi="標楷體"/>
          <w:color w:val="000000"/>
        </w:rPr>
        <w:lastRenderedPageBreak/>
        <w:t>114/5/1）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monohydrate(如Estracyt)：(91/4/1)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9.20.Rituximab注射劑(如Mabthera，不同劑型之適用範圍需符合藥品許可證登載之適應症)：用於抗癌瘤部分(91/4/1、93/1/1、95/3/1、97/2/1、102/1/1、103/2/1、103/9/1、104/6/1、106/9/1、111/6/1、113/2/1、113/12/1)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rsidR="00B96EA0" w:rsidRDefault="007D66B8" w:rsidP="005142EB">
      <w:pPr>
        <w:spacing w:line="400" w:lineRule="exact"/>
        <w:ind w:left="991" w:hanging="386"/>
      </w:pPr>
      <w:r>
        <w:rPr>
          <w:rFonts w:ascii="標楷體" w:eastAsia="標楷體" w:hAnsi="標楷體"/>
          <w:color w:val="000000"/>
        </w:rPr>
        <w:t>2.併用</w:t>
      </w:r>
      <w:r>
        <w:rPr>
          <w:rFonts w:ascii="標楷體" w:eastAsia="標楷體" w:hAnsi="標楷體"/>
          <w:szCs w:val="24"/>
        </w:rPr>
        <w:t>polatuzumab vedotin或</w:t>
      </w:r>
      <w:r>
        <w:rPr>
          <w:rFonts w:ascii="標楷體" w:eastAsia="標楷體" w:hAnsi="標楷體"/>
          <w:color w:val="000000"/>
        </w:rPr>
        <w:t>CHOP或其他化學療法，用於CD20抗原陽性之B瀰漫性大細胞非何杰金氏淋巴瘤之病患。(93/1/1、95/3/1、113/2/1)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(4)對vitalorgans造成擠壓者；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(1)Rai Stage Ⅲ/Ⅳ(或Binet C級)之CLL病人。若用於Rai StageⅠ/Ⅱ(或Binet A/B級)併有疾病相關免疫性症候(如自體免疫性溶血、免疫性血小板低下紫瘢症等)的病人時，需經過至少一種標準的烷化基劑治療無效或病情惡化者，且CD20陽性細胞須大於50%。（Rixathon不受「需經過一種標準的烷化基劑治療無效或病情惡化，且CD20陽性細胞須大於50%」限制，僅須符合具CD20陽性細胞即可使用，做為第一線用藥需與fludarabine及cyclophosphamide併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(2)與化學療法併用，做為復發或頑固性的CD20陽性慢性淋巴球性白血病病患的治療用藥，且CD20陽性細胞須大於50%。（Rixathon不受「CD20陽性細胞須大於50%」限制，僅須符合具CD20陽性細胞即可使用）(111/6/1)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w:t>
      </w:r>
      <w:r>
        <w:rPr>
          <w:rFonts w:ascii="標楷體" w:eastAsia="標楷體" w:hAnsi="標楷體"/>
          <w:color w:val="000000"/>
        </w:rPr>
        <w:lastRenderedPageBreak/>
        <w:t>多發性血管炎病人：(103/9/1)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(3)復發之肉芽腫性血管炎(GPA，或稱為韋格納肉芽腫症Wegener’s granulomatosis)及顯微多發性血管炎(MPA)，先前曾接受過cyclophosphamide治療者。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rsidR="00B96EA0" w:rsidRDefault="007D66B8" w:rsidP="005142EB">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A肺部</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B腎臟</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C神經系統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D腸胃道系統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7.合併bendamustine適用於先前未曾接受治療的CD20陽性、第III/IV期和緩性非何杰金氏淋巴瘤。(113/12/1)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8.合併bendamustine用於先前未曾接受治療且不適合自體幹細胞移植的第III/IV期被套細胞淋巴瘤。(113/12/1)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9.使用於1、4、5、6、7及8病人時，需經事前審查核准後使用。(102/1/1、103/2/1、103/9/1、113/12/1)</w:t>
      </w:r>
    </w:p>
    <w:p w:rsidR="00B96EA0" w:rsidRDefault="007D66B8" w:rsidP="005142EB">
      <w:pPr>
        <w:spacing w:line="400" w:lineRule="exact"/>
        <w:ind w:left="672" w:hanging="386"/>
      </w:pPr>
      <w:r>
        <w:rPr>
          <w:rFonts w:ascii="標楷體" w:eastAsia="標楷體" w:hAnsi="標楷體"/>
          <w:color w:val="000000"/>
        </w:rPr>
        <w:t>9.21.Fludarabine(如Fludara Oral, Film-Coated Tablet及Fludara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r>
        <w:rPr>
          <w:rFonts w:ascii="標楷體" w:eastAsia="標楷體" w:hAnsi="標楷體"/>
          <w:color w:val="000000"/>
        </w:rPr>
        <w:lastRenderedPageBreak/>
        <w:t>(106/11/1)</w:t>
      </w:r>
    </w:p>
    <w:p w:rsidR="00B96EA0" w:rsidRDefault="007D66B8" w:rsidP="005142EB">
      <w:pPr>
        <w:spacing w:line="400" w:lineRule="exact"/>
        <w:ind w:left="672" w:hanging="386"/>
      </w:pPr>
      <w:r>
        <w:rPr>
          <w:rFonts w:ascii="標楷體" w:eastAsia="標楷體" w:hAnsi="標楷體"/>
          <w:color w:val="000000"/>
        </w:rPr>
        <w:t>9.22.Imatinib(如Glivec)：</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4.治療初診斷為費城染色體陽性急性淋巴性白血病（Ph+ALL)且併用化療之成年人。(99/6/1)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5.未曾使用imatinib治療之成人復發性或難治性費城染色體陽性急性淋巴性白血病(Ph+ALL)之單一療法。(99/6/1)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trioxide(如Asadin Inj.)：(91/8/1、92/9/1)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9.24.Gefitinib(如Iressa):(93/11/1、96/8/1、96/11/1、100/6/1、101/5/1、101/10/1、103/5/1、106/11/1、 108/6/1、108/11/1、109/4/1、109/6/1、109/10/1、111/2/1、111/4/1、113/3/1、113/6/1、113/10/1)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(1)具有EGFR-TK基因突變之局部侵犯性或轉移性(即第ⅢB、ⅢC或第Ⅳ期)之肺腺</w:t>
      </w:r>
      <w:r>
        <w:rPr>
          <w:rFonts w:ascii="標楷體" w:eastAsia="標楷體" w:hAnsi="標楷體"/>
          <w:color w:val="000000"/>
        </w:rPr>
        <w:lastRenderedPageBreak/>
        <w:t>癌病患之第一線治療，需檢附EGFR基因檢測結果報告，且需符合全民健康保險藥品給付規定之通則十二。(100/6/1、108/6/1、108/11/1、113/6/1)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(2)先前已使用過第一線含鉑化學治療，或70歲以上接受過第一線化學治療，但仍局部惡化或轉移之肺腺癌。(96/11/1、100/6/1、111/2/1)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(1)用於第一線用藥：病歷應留存確實患有肺腺癌之病理或細胞檢查報告，及EGFR-TK基因突變檢測報告。(100/6/1、106/11/1)</w:t>
      </w:r>
    </w:p>
    <w:p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654" w:hanging="336"/>
      </w:pPr>
      <w:r>
        <w:rPr>
          <w:rFonts w:ascii="標楷體" w:eastAsia="標楷體" w:hAnsi="標楷體"/>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672" w:hanging="386"/>
        <w:rPr>
          <w:rFonts w:ascii="標楷體" w:eastAsia="標楷體" w:hAnsi="標楷體"/>
          <w:color w:val="000000"/>
        </w:rPr>
      </w:pPr>
      <w:bookmarkStart w:id="8" w:name="_Hlk113894926"/>
      <w:r>
        <w:rPr>
          <w:rFonts w:ascii="標楷體" w:eastAsia="標楷體" w:hAnsi="標楷體"/>
          <w:color w:val="000000"/>
        </w:rPr>
        <w:t>9.25.Temozolomide(如Temodal)：(94/3/1、97/1/1、98/9/1、111/9/1)附表八之二</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2.新診斷的多形神經膠母細胞瘤，與放射線治療同步進行，然後作為輔助性治療。（97/1/1）</w:t>
      </w:r>
    </w:p>
    <w:p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8"/>
    </w:p>
    <w:p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t>(4)</w:t>
      </w:r>
      <w:r w:rsidRPr="00367DBE">
        <w:rPr>
          <w:rFonts w:ascii="標楷體" w:eastAsia="標楷體" w:hAnsi="標楷體" w:hint="eastAsia"/>
        </w:rPr>
        <w:t>pemetrexed(限使用Pexeda、Apeta或Pemetrexed Sandoz)與pembrolizumab與含鉑類之化學療法併用於轉移性，不具有EGFR/ALK/ROS-1腫瘤基因異常的非鱗狀非小細胞肺癌的第一線治療，患者需符合免疫檢查點抑制劑之藥品給付規定。(114/6/1、114/8/1)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與amivantamab及carboplatin併用於罹患帶有表皮生長因子受體(EGFR)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rsidR="00B96EA0" w:rsidRDefault="00126115" w:rsidP="005142EB">
      <w:pPr>
        <w:spacing w:line="400" w:lineRule="exact"/>
        <w:ind w:left="283"/>
        <w:rPr>
          <w:rFonts w:ascii="標楷體" w:eastAsia="標楷體" w:hAnsi="標楷體"/>
        </w:rPr>
      </w:pPr>
      <w:r w:rsidRPr="00126115">
        <w:rPr>
          <w:rFonts w:ascii="標楷體" w:eastAsia="標楷體" w:hAnsi="標楷體" w:hint="eastAsia"/>
        </w:rPr>
        <w:t>9.27.Cetuximab(如Erbitux)：(96/3/1、98/7/1、98/8/1、99/10/1、101/12/1、104/11/1、106/1/1、106/4/1、107/6/1、110/6/1、111/2/1、112/12/1、113/6/1、115/2/1)</w:t>
      </w:r>
    </w:p>
    <w:p w:rsidR="00126115" w:rsidRPr="00126115" w:rsidRDefault="007D66B8" w:rsidP="00126115">
      <w:pPr>
        <w:spacing w:line="400" w:lineRule="exact"/>
        <w:ind w:left="851" w:hanging="284"/>
        <w:rPr>
          <w:rFonts w:ascii="標楷體" w:eastAsia="標楷體" w:hAnsi="標楷體"/>
        </w:rPr>
      </w:pPr>
      <w:r>
        <w:rPr>
          <w:rFonts w:ascii="標楷體" w:eastAsia="標楷體" w:hAnsi="標楷體"/>
        </w:rPr>
        <w:t>1.</w:t>
      </w:r>
      <w:r w:rsidR="00126115" w:rsidRPr="00126115">
        <w:rPr>
          <w:rFonts w:ascii="標楷體" w:eastAsia="標楷體" w:hAnsi="標楷體"/>
        </w:rPr>
        <w:t>直腸結腸癌治療部分：</w:t>
      </w:r>
    </w:p>
    <w:p w:rsidR="00126115" w:rsidRPr="00126115" w:rsidRDefault="00126115" w:rsidP="00126115">
      <w:pPr>
        <w:spacing w:line="400" w:lineRule="exact"/>
        <w:ind w:left="993" w:hanging="341"/>
        <w:rPr>
          <w:rFonts w:ascii="標楷體" w:eastAsia="標楷體" w:hAnsi="標楷體"/>
        </w:rPr>
      </w:pPr>
      <w:r w:rsidRPr="00126115">
        <w:rPr>
          <w:rFonts w:ascii="標楷體" w:eastAsia="標楷體" w:hAnsi="標楷體"/>
        </w:rPr>
        <w:t>(1)與FOLFIRI（Folinic acid/ 5-fluorouracil/irinotecan）或FOLFOX（Folinic acid/ 5-fluorouracil/oxaliplatin）合併使用於治療RAS原生型(wild-type)之轉移性直腸結腸癌病人之第一線治療。需檢附All-RAS基因突變分析檢測報告，且需符合全民健康保險藥品給付規定之通則十二。(101/12/1、104/11/1、106/1/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Ⅰ.本藥品須經事前審查核准後使用，每次申請之療程以18週為限，再次申請必須提出客觀證據(如：影像學)證實無惡化，才可繼續使用。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Ⅱ.Cetuximab與panitumumab二者僅能擇一使用。 (101/12/1、106/1/1、107/6/1、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lastRenderedPageBreak/>
        <w:t>Ⅲ.本藥品不得與bevacizumab併用。</w:t>
      </w:r>
    </w:p>
    <w:p w:rsidR="00126115" w:rsidRPr="00126115" w:rsidRDefault="00126115" w:rsidP="00126115">
      <w:pPr>
        <w:spacing w:line="400" w:lineRule="exact"/>
        <w:ind w:left="1134" w:hanging="425"/>
        <w:rPr>
          <w:rFonts w:ascii="標楷體" w:eastAsia="標楷體" w:hAnsi="標楷體"/>
        </w:rPr>
      </w:pPr>
      <w:r w:rsidRPr="00126115">
        <w:rPr>
          <w:rFonts w:ascii="標楷體" w:eastAsia="標楷體" w:hAnsi="標楷體"/>
        </w:rPr>
        <w:t>Ⅳ.經手術完全切除(R0切除)且查無轉移病灶者不得申請給付。(115/2/1)</w:t>
      </w:r>
    </w:p>
    <w:p w:rsidR="00126115" w:rsidRPr="00126115" w:rsidRDefault="00126115" w:rsidP="00126115">
      <w:pPr>
        <w:spacing w:line="400" w:lineRule="exact"/>
        <w:ind w:left="850" w:hanging="341"/>
        <w:rPr>
          <w:rFonts w:ascii="標楷體" w:eastAsia="標楷體" w:hAnsi="標楷體"/>
        </w:rPr>
      </w:pPr>
      <w:r w:rsidRPr="00126115">
        <w:rPr>
          <w:rFonts w:ascii="標楷體" w:eastAsia="標楷體" w:hAnsi="標楷體"/>
        </w:rPr>
        <w:t xml:space="preserve"> (2)與irinotecan合併使用，治療已接受過含5-fluorouracil、irinotecan及oxaliplatin二線以上之細胞毒性治療失敗、具有表皮生長因子受體(EGFR)表現型且K-RAS基因沒有突變的轉移性直腸結腸癌的病人，且於</w:t>
      </w:r>
      <w:r w:rsidRPr="00126115">
        <w:rPr>
          <w:rFonts w:ascii="標楷體" w:eastAsia="標楷體" w:hAnsi="標楷體" w:hint="eastAsia"/>
        </w:rPr>
        <w:t>1</w:t>
      </w:r>
      <w:r w:rsidRPr="00126115">
        <w:rPr>
          <w:rFonts w:ascii="標楷體" w:eastAsia="標楷體" w:hAnsi="標楷體"/>
        </w:rPr>
        <w:t>15年</w:t>
      </w:r>
      <w:r w:rsidRPr="00126115">
        <w:rPr>
          <w:rFonts w:ascii="標楷體" w:eastAsia="標楷體" w:hAnsi="標楷體" w:hint="eastAsia"/>
        </w:rPr>
        <w:t>1</w:t>
      </w:r>
      <w:r w:rsidRPr="00126115">
        <w:rPr>
          <w:rFonts w:ascii="標楷體" w:eastAsia="標楷體" w:hAnsi="標楷體"/>
        </w:rPr>
        <w:t>月</w:t>
      </w:r>
      <w:r w:rsidRPr="00126115">
        <w:rPr>
          <w:rFonts w:ascii="標楷體" w:eastAsia="標楷體" w:hAnsi="標楷體" w:hint="eastAsia"/>
        </w:rPr>
        <w:t>3</w:t>
      </w:r>
      <w:r w:rsidRPr="00126115">
        <w:rPr>
          <w:rFonts w:ascii="標楷體" w:eastAsia="標楷體" w:hAnsi="標楷體"/>
        </w:rPr>
        <w:t>1日前經審核同意用藥，後續評估符合續用申請條件者。需檢附All-RAS基因突變分析檢測報告，且需符合全民健康保險藥品給付規定之通則十二。(98/8/1、110/6/1、113/6/1、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Ⅰ.本藥品須經事前審查核准後使用，每次申請之療程以9週為限，再次申請必須提出客觀證據（如：影像學）證實無惡化，才可繼續使用。</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Ⅱ.使用總療程18週為上限。</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2.口咽癌、下咽癌及喉癌治療部分：(98/7/1、99/10/1、111/2/1、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(1)限與放射線療法合併使用於局部晚期之口咽癌、下咽癌及喉癌病人，且符合下列條件之一：</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Ⅰ.70歲以上(111/2/1)；</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Ⅱ.Ccr＜50mL/min；</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Ⅲ.聽力障礙者(聽力障礙定義為500Hz、1000Hz、2000Hz平均聽力損失大於25分貝)；</w:t>
      </w:r>
    </w:p>
    <w:p w:rsidR="00126115" w:rsidRPr="00126115" w:rsidRDefault="00126115" w:rsidP="00126115">
      <w:pPr>
        <w:spacing w:line="400" w:lineRule="exact"/>
        <w:ind w:left="1418" w:hanging="341"/>
        <w:rPr>
          <w:rFonts w:ascii="標楷體" w:eastAsia="標楷體" w:hAnsi="標楷體"/>
        </w:rPr>
      </w:pPr>
      <w:r w:rsidRPr="00126115">
        <w:rPr>
          <w:rFonts w:ascii="標楷體" w:eastAsia="標楷體" w:hAnsi="標楷體"/>
        </w:rPr>
        <w:t>Ⅳ.無法耐受platinum-based化學治療。</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(2)須經事前審查核准後使用，每位病人每12週申請一次，需無疾病惡化情形方得繼續使用。(98/7/1、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851" w:hanging="284"/>
        <w:rPr>
          <w:rFonts w:ascii="標楷體" w:eastAsia="標楷體" w:hAnsi="標楷體"/>
        </w:rPr>
      </w:pPr>
      <w:r w:rsidRPr="00126115">
        <w:rPr>
          <w:rFonts w:ascii="標楷體" w:eastAsia="標楷體" w:hAnsi="標楷體"/>
        </w:rPr>
        <w:t>3.頭頸癌部分(106/1/1、106/4/1、112/12/1、</w:t>
      </w:r>
      <w:r w:rsidRPr="00126115">
        <w:rPr>
          <w:rFonts w:ascii="標楷體" w:eastAsia="標楷體" w:hAnsi="標楷體" w:hint="eastAsia"/>
        </w:rPr>
        <w:t>1</w:t>
      </w:r>
      <w:r w:rsidRPr="00126115">
        <w:rPr>
          <w:rFonts w:ascii="標楷體" w:eastAsia="標楷體" w:hAnsi="標楷體"/>
        </w:rPr>
        <w:t>15/2/1)：</w:t>
      </w:r>
    </w:p>
    <w:p w:rsidR="00126115" w:rsidRPr="00126115" w:rsidRDefault="00126115" w:rsidP="00126115">
      <w:pPr>
        <w:spacing w:line="400" w:lineRule="exact"/>
        <w:ind w:left="1134" w:hanging="341"/>
        <w:rPr>
          <w:rFonts w:ascii="標楷體" w:eastAsia="標楷體" w:hAnsi="標楷體"/>
        </w:rPr>
      </w:pPr>
      <w:r w:rsidRPr="00126115">
        <w:rPr>
          <w:rFonts w:ascii="標楷體" w:eastAsia="標楷體" w:hAnsi="標楷體"/>
        </w:rPr>
        <w:t>(1)限無法接受局部治療之復發及/或轉移性頭頸部鱗狀細胞癌，且未曾申報cetuximab之病人使用。</w:t>
      </w:r>
    </w:p>
    <w:p w:rsidR="00B96EA0" w:rsidRDefault="00126115" w:rsidP="00126115">
      <w:pPr>
        <w:spacing w:line="400" w:lineRule="exact"/>
        <w:ind w:left="1134" w:hanging="342"/>
      </w:pPr>
      <w:r w:rsidRPr="00126115">
        <w:rPr>
          <w:rFonts w:ascii="標楷體" w:eastAsia="標楷體" w:hAnsi="標楷體"/>
        </w:rPr>
        <w:t>(2)須經事前審查核准後使用，每位病人每12週申請一次，需無疾病惡化情形方得繼續使用。(106/4/1、</w:t>
      </w:r>
      <w:r w:rsidRPr="00126115">
        <w:rPr>
          <w:rFonts w:ascii="標楷體" w:eastAsia="標楷體" w:hAnsi="標楷體" w:hint="eastAsia"/>
        </w:rPr>
        <w:t>1</w:t>
      </w:r>
      <w:r w:rsidRPr="00126115">
        <w:rPr>
          <w:rFonts w:ascii="標楷體" w:eastAsia="標楷體" w:hAnsi="標楷體"/>
        </w:rPr>
        <w:t>15/2/1)</w:t>
      </w:r>
    </w:p>
    <w:p w:rsidR="00B96EA0" w:rsidRDefault="007D66B8" w:rsidP="005142EB">
      <w:pPr>
        <w:spacing w:line="400" w:lineRule="exact"/>
        <w:ind w:left="910" w:hanging="579"/>
        <w:rPr>
          <w:rFonts w:ascii="標楷體" w:eastAsia="標楷體" w:hAnsi="標楷體"/>
          <w:color w:val="000000"/>
        </w:rPr>
      </w:pPr>
      <w:bookmarkStart w:id="9" w:name="_Hlk91258567"/>
      <w:r>
        <w:rPr>
          <w:rFonts w:ascii="標楷體" w:eastAsia="標楷體" w:hAnsi="標楷體"/>
          <w:color w:val="000000"/>
        </w:rPr>
        <w:t>9.28.Bortezomib（如Velcade）：（96/6/1、98/2/1、99/3/1、99/9/1、100/10/1、101/6/1、105/5/1、109/4/1、109/6/1、111/1/1、112/4/1）附表九之三</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w:t>
      </w:r>
      <w:r>
        <w:rPr>
          <w:rFonts w:ascii="標楷體" w:eastAsia="標楷體" w:hAnsi="標楷體"/>
          <w:color w:val="000000"/>
        </w:rPr>
        <w:lastRenderedPageBreak/>
        <w:t>plasmacytoma。</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vi.Serum free light-chain ratio≧100。</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9"/>
    </w:p>
    <w:p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Erlotinib（如Tarceva）：（96/6/1、96/8/1、97/6/1、101/5/1、101/10/1、102/4/1、102/11/1、103/5/1、106/11/1、108/6/1、108/11/1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ⅢB、ⅢC或第Ⅳ期)之肺腺癌病患之第一線治療，需檢附EGFR基因檢測結果報告，且需符合全民健康保險藥品給付規定之通則十二。(102/11/1、108/6/1、108/11/1、113/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2.Erlotinib與bevacizumab(除Zirabev以外)併用，作為無法手術切除的轉移性（第Ⅳ期）且帶有表皮生長因子受體(EGFR) Exon 21 L858R活性化突變之腦轉移非鱗狀非小細胞肺癌病患的第一線治療。(113/3/1、113/9/1、114/3/1、114/4/1）</w:t>
      </w:r>
    </w:p>
    <w:p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kern w:val="0"/>
          <w:szCs w:val="24"/>
        </w:rPr>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taxane(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rPr>
        <w:t>(6)本藥品於第一線使用時，與osimertinib及dacomitinib僅得擇一使用，除因耐受性不良，不得互換。(109/6/1、109/10/1、111/4/1、113/10/1)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lastRenderedPageBreak/>
        <w:t>備註2：非小細胞肺癌病患的第三線治療用藥之定義為：病患需先經第一線化學藥物治療後，因疾病惡化，再經第二線不同的化學藥物治療之後，若疾病再度惡化，此時所給予之治療即為第三線用藥。</w:t>
      </w:r>
    </w:p>
    <w:p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9.30.Dasatinib(如Sprycel)：(98/1/1、102/4/1、104/12/1、110/5/1、113/6/1</w:t>
      </w:r>
      <w:r>
        <w:rPr>
          <w:rFonts w:ascii="標楷體" w:eastAsia="標楷體" w:hAnsi="標楷體" w:hint="eastAsia"/>
          <w:color w:val="000000"/>
        </w:rPr>
        <w:t>、115/2/1</w:t>
      </w:r>
      <w:r>
        <w:rPr>
          <w:rFonts w:ascii="標楷體" w:eastAsia="標楷體" w:hAnsi="標楷體"/>
          <w:color w:val="000000"/>
        </w:rPr>
        <w:t>)</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Sunitinib（如Sutent）：（98/2/1、98/5/1、99/1/1、99/2/1、101/5/1、102/1/1、104/12/1、110/12/1、112/3/1）</w:t>
      </w:r>
    </w:p>
    <w:p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(2)無效後則不給付temsirolimus。（110/12/1）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rsidR="00B96EA0" w:rsidRDefault="007D66B8" w:rsidP="005142EB">
      <w:pPr>
        <w:spacing w:line="400" w:lineRule="exact"/>
        <w:ind w:left="1049" w:hanging="341"/>
        <w:rPr>
          <w:rFonts w:ascii="標楷體" w:eastAsia="標楷體" w:hAnsi="標楷體"/>
        </w:rPr>
      </w:pPr>
      <w:r>
        <w:rPr>
          <w:rFonts w:ascii="標楷體" w:eastAsia="標楷體" w:hAnsi="標楷體"/>
        </w:rPr>
        <w:lastRenderedPageBreak/>
        <w:t>3.進展性，無法切除或轉移性分化良好之胰臟神經內分泌腫瘤的成人病患，須同時符合下列條件：(101/5/1）</w:t>
      </w:r>
    </w:p>
    <w:p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rsidR="00B96EA0" w:rsidRDefault="007D66B8" w:rsidP="005142EB">
      <w:pPr>
        <w:spacing w:line="400" w:lineRule="exact"/>
        <w:ind w:left="1049" w:hanging="341"/>
      </w:pPr>
      <w:r>
        <w:rPr>
          <w:rFonts w:ascii="標楷體" w:eastAsia="標楷體" w:hAnsi="標楷體"/>
        </w:rPr>
        <w:t>(4)經事前專案審查核准後使用，且需每3個月評估一次。</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200mg(如Tasigna 200mg)（98/6/1、99/1/1、104/12/1、113/6/1</w:t>
      </w:r>
      <w:r>
        <w:rPr>
          <w:rFonts w:ascii="標楷體" w:eastAsia="標楷體" w:hAnsi="標楷體" w:hint="eastAsia"/>
          <w:color w:val="000000"/>
        </w:rPr>
        <w:t>、1</w:t>
      </w:r>
      <w:r>
        <w:rPr>
          <w:rFonts w:ascii="標楷體" w:eastAsia="標楷體" w:hAnsi="標楷體"/>
          <w:color w:val="000000"/>
        </w:rPr>
        <w:t>15/2/1）</w:t>
      </w:r>
    </w:p>
    <w:p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400MG(含)以上耐受性不良或治療無效的「慢性期或加速期費城染色體(Philadelphia chromosome)陽性的慢性骨髓性白血病(CML)成年患者」。</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r>
        <w:rPr>
          <w:rFonts w:ascii="標楷體" w:eastAsia="標楷體" w:hAnsi="標楷體"/>
          <w:color w:val="000000"/>
        </w:rPr>
        <w:t>dasatini</w:t>
      </w:r>
      <w:r>
        <w:rPr>
          <w:rFonts w:ascii="標楷體" w:eastAsia="標楷體" w:hAnsi="標楷體" w:hint="eastAsia"/>
          <w:color w:val="000000"/>
        </w:rPr>
        <w:t>b與</w:t>
      </w:r>
      <w:r w:rsidRPr="001D0398">
        <w:rPr>
          <w:rFonts w:ascii="標楷體" w:eastAsia="標楷體" w:hAnsi="標楷體" w:hint="eastAsia"/>
          <w:color w:val="000000"/>
        </w:rPr>
        <w:t>bosutinib不得合併使用。（98/6/1、99/1/1、104/12/1、115/2/1)</w:t>
      </w:r>
    </w:p>
    <w:p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150mg(如Tasigna 150mg)：(101/7/1、104/12/1、113/6/1)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melphalan併用，或和骨髓移植併用，或和palmidronate併用於骨髓移植後之治療。</w:t>
      </w:r>
    </w:p>
    <w:p w:rsidR="00B96EA0" w:rsidRDefault="007D66B8" w:rsidP="005142EB">
      <w:pPr>
        <w:spacing w:line="400" w:lineRule="exact"/>
        <w:ind w:left="672" w:hanging="386"/>
      </w:pPr>
      <w:r>
        <w:rPr>
          <w:rFonts w:ascii="標楷體" w:eastAsia="標楷體" w:hAnsi="標楷體"/>
          <w:color w:val="000000"/>
        </w:rPr>
        <w:t>9.34.Sorafenib(如Nexavar)：(98/10/1、100/6/1、101/8/1、104/12/1、105/11/1、106/1/1、107/7/1、108/6/1、108/12/1、109/1/1、112/8/1、114/2/1、114/6/1)</w:t>
      </w:r>
    </w:p>
    <w:p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lastRenderedPageBreak/>
        <w:t>Ⅰ.肝外轉移（遠端轉移或肝外淋巴結侵犯）。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III.經導管動脈化學藥物栓塞治療（Transcatheter arterial chemo embolization,T.A.C.E.）失敗者，需提供患者於12個月內&gt;=3次局部治療之記錄。</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(4)Sorafenib、lenvatinib、atezolizumab併用bevacizumab、tremelimumab併用durvalumab僅得擇一給付，不得互換。(109/1/1、112/8/1、114/2/1)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(3)Sorafenib與lenvatinib不得合併使用。(107/7/1)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9.35.carmustine植入劑(如Gliadel Wafer)：(100/2/1)附表八之四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5mg及10mg(如Afinitor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lastRenderedPageBreak/>
        <w:t>(3)不可合併使用化學藥物或其他標靶藥物。</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r w:rsidRPr="00FC226B">
        <w:rPr>
          <w:rFonts w:ascii="標楷體" w:eastAsia="標楷體" w:hAnsi="標楷體"/>
          <w:szCs w:val="24"/>
        </w:rPr>
        <w:t>tucidinostat</w:t>
      </w:r>
      <w:r w:rsidRPr="00FC226B">
        <w:rPr>
          <w:rFonts w:ascii="標楷體" w:eastAsia="標楷體" w:hAnsi="標楷體" w:hint="eastAsia"/>
          <w:szCs w:val="24"/>
        </w:rPr>
        <w:t>僅得擇一使用，除因耐受性不良，不得互換；且使用本品無效後，不得申請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2.5mg及5mg(如Votubia)：（102/1/1、106/4/1、111/2/1）</w:t>
      </w:r>
    </w:p>
    <w:p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rsidR="00B96EA0" w:rsidRDefault="007D66B8" w:rsidP="005142EB">
      <w:pPr>
        <w:spacing w:line="400" w:lineRule="exact"/>
        <w:ind w:left="1133" w:hanging="425"/>
      </w:pPr>
      <w:r>
        <w:rPr>
          <w:rFonts w:ascii="標楷體" w:eastAsia="標楷體" w:hAnsi="標楷體"/>
          <w:szCs w:val="24"/>
        </w:rPr>
        <w:t>(4)限每日最大劑量為10mg。</w:t>
      </w:r>
    </w:p>
    <w:p w:rsidR="0011658A" w:rsidRPr="00417740" w:rsidRDefault="0011658A" w:rsidP="0011658A">
      <w:pPr>
        <w:spacing w:line="400" w:lineRule="exact"/>
        <w:ind w:left="824" w:hanging="567"/>
        <w:rPr>
          <w:rFonts w:ascii="標楷體" w:eastAsia="標楷體" w:hAnsi="標楷體"/>
        </w:rPr>
      </w:pPr>
      <w:bookmarkStart w:id="10"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w:t>
      </w:r>
      <w:r w:rsidRPr="00417740">
        <w:rPr>
          <w:rFonts w:ascii="標楷體" w:eastAsia="標楷體" w:hAnsi="標楷體"/>
          <w:color w:val="000000"/>
        </w:rPr>
        <w:lastRenderedPageBreak/>
        <w:t>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(1)Bevacizumab與FOLFIRI（Folinicacid/5-fluorouracil/irinotecan）或FOLFOX（Folinicacid/5-fluorouracil/oxaliplatin）或5-fluorouracil/leucovorin的化學療法合併使用，作為轉移性大腸或直腸癌患者的第一線治療。(108/3/1)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(2)Bevacizumab(除Zirabev及Abevmy以外)與含有5-fluorouracil/leucovorin/oxaliplatin的化學療法合併使用，作為先前接受過以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Bevacizumab（除Zirabev以外）與carboplatin 及paclitaxel合併使用，接著單獨使用bevacizumab（除Zirabev以外）治療，作為第四期卵巢上皮細胞、輸卵管或原發性腹膜癌病人接受初次手術切除後之第一線治療之維持治療。(113/3/1、113/9/1、114/3/1、114/4/1、114/6/1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lastRenderedPageBreak/>
        <w:t>Ⅳ.每人以總共給付22個療程為上限。若病情惡化或停藥後再復發即不得再次申請。</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及paclitaxel合併使用，作為曾接受過第一線含鉑類藥物(Platinum-based)化學治療間隔6-12個月內再復發之治療。接著單獨使用bevacizumab治療，作為含鉑藥物具感受性之治療。</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Alymsys、Abevmy、Vegzelma或Mvasi)與olaparib併用適用於晚期高度惡性上皮卵巢癌、輸卵管腫瘤或原發性腹膜癌，且對第一線含鉑化療合併bevacizumab有反應（完全反應或部分反應）之成年病人做為維持治療，患者需符合olaparib給付規定，限用兩年。bevacizumab以15個月的療程為上限。(114/6/1、114/8/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5.晚期、轉移性或復發性非鱗狀非小細胞肺癌(除Zirabev及Abevmy以外)：(113/3/1、113/6/1、113/9/1、114/3/1)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w:t>
      </w:r>
      <w:r w:rsidRPr="00417740">
        <w:rPr>
          <w:rFonts w:ascii="標楷體" w:eastAsia="標楷體" w:hAnsi="標楷體"/>
          <w:color w:val="000000"/>
        </w:rPr>
        <w:lastRenderedPageBreak/>
        <w:t>測報告，且需符合全民健康保險藥品給付規定之通則十二。</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(4)使用劑量：限7.5mg/kg，每三週1次。</w:t>
      </w:r>
    </w:p>
    <w:p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Bevacizumab(限使用Alymsys、Avastin、Abevmy、Vegzelma或Mvasi)與atezolizumab及carboplatin、paclitaxel併用於轉移性非鱗狀非小細胞肺癌第一線治療，患者需符合免疫檢查點抑制劑之藥品給付規定。(114/6/1、114/8/1)</w:t>
      </w:r>
      <w:bookmarkEnd w:id="10"/>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9.38.Temsirolimus(如Torisel)：（101/1/1）附表九之十一</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t>Karnofsky Performance scale介於60至70之間</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9.39.Flutamide；buserelin：（90/8/1、101/7/1）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9.41.Pazopanib（如Votrient）：（101/8/1、104/4/1、106/3/1、110/12/1、112/10/1）附表九之十三</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lastRenderedPageBreak/>
        <w:t>1.腎細胞癌：（106/3/1、110/12/1）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(2)本品使用無效後，不得申請使用temsirolimus。（110/12/1）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(3)需檢送影像資料，每三個月評估一次。(106/3/1)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rsidR="00B96EA0" w:rsidRDefault="007D66B8" w:rsidP="005142EB">
      <w:pPr>
        <w:spacing w:line="400" w:lineRule="exact"/>
        <w:ind w:left="993" w:hanging="367"/>
      </w:pPr>
      <w:r>
        <w:rPr>
          <w:rFonts w:ascii="標楷體" w:eastAsia="標楷體" w:hAnsi="標楷體"/>
          <w:color w:val="000000"/>
        </w:rPr>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rsidR="00B96EA0" w:rsidRDefault="007D66B8" w:rsidP="005142EB">
      <w:pPr>
        <w:spacing w:line="400" w:lineRule="exact"/>
        <w:ind w:left="672" w:hanging="386"/>
      </w:pPr>
      <w:r>
        <w:rPr>
          <w:rFonts w:ascii="標楷體" w:eastAsia="標楷體" w:hAnsi="標楷體"/>
          <w:bCs/>
          <w:color w:val="000000"/>
        </w:rPr>
        <w:t>9.42.Bendamustine（如Innomustine）</w:t>
      </w:r>
      <w:r>
        <w:rPr>
          <w:rFonts w:ascii="新細明體" w:hAnsi="新細明體"/>
          <w:bCs/>
          <w:color w:val="000000"/>
        </w:rPr>
        <w:t>：</w:t>
      </w:r>
      <w:r>
        <w:rPr>
          <w:rFonts w:ascii="標楷體" w:eastAsia="標楷體" w:hAnsi="標楷體"/>
          <w:bCs/>
          <w:color w:val="000000"/>
        </w:rPr>
        <w:t>(101/10/1、103/2/1、108/10/1、113/2/1)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可與polatuzumab vedotin和rituximab併用，適用於第三線治療復發型(relapsed)或難治型(refractory)且未曾接受及不適合接受造血幹細胞移植的瀰漫性大型B細胞淋巴瘤（DLBCL）成年病人，患者需符合polatuzumab vedotin之藥品給付規定。(113/2/1)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；若為依前述第6項與polatuzumab vedotin和rituximab併用時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w:t>
      </w:r>
      <w:r>
        <w:rPr>
          <w:rFonts w:ascii="標楷體" w:eastAsia="標楷體" w:hAnsi="標楷體"/>
          <w:szCs w:val="24"/>
        </w:rPr>
        <w:lastRenderedPageBreak/>
        <w:t>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rsidR="00892228" w:rsidRPr="00133CA0" w:rsidRDefault="00892228" w:rsidP="00892228">
      <w:pPr>
        <w:spacing w:line="400" w:lineRule="exact"/>
        <w:rPr>
          <w:rFonts w:ascii="標楷體" w:eastAsia="標楷體" w:hAnsi="標楷體"/>
          <w:color w:val="000000"/>
          <w:szCs w:val="24"/>
        </w:rPr>
      </w:pPr>
      <w:r w:rsidRPr="00133CA0">
        <w:rPr>
          <w:rFonts w:ascii="標楷體" w:eastAsia="標楷體" w:hAnsi="標楷體"/>
          <w:color w:val="000000"/>
          <w:szCs w:val="24"/>
        </w:rPr>
        <w:t>9.43.Lenalidomide(如Revlimid)</w:t>
      </w:r>
      <w:r w:rsidRPr="00133CA0">
        <w:rPr>
          <w:rFonts w:ascii="標楷體" w:eastAsia="標楷體" w:hAnsi="標楷體" w:hint="eastAsia"/>
          <w:color w:val="000000"/>
          <w:szCs w:val="24"/>
        </w:rPr>
        <w:t>：（</w:t>
      </w:r>
      <w:r w:rsidRPr="00133CA0">
        <w:rPr>
          <w:rFonts w:ascii="標楷體" w:eastAsia="標楷體" w:hAnsi="標楷體"/>
          <w:color w:val="000000"/>
          <w:szCs w:val="24"/>
        </w:rPr>
        <w:t>101/12/1</w:t>
      </w:r>
      <w:r w:rsidRPr="00133CA0">
        <w:rPr>
          <w:rFonts w:ascii="標楷體" w:eastAsia="標楷體" w:hAnsi="標楷體" w:hint="eastAsia"/>
          <w:color w:val="000000"/>
          <w:szCs w:val="24"/>
        </w:rPr>
        <w:t>、</w:t>
      </w:r>
      <w:r w:rsidRPr="00133CA0">
        <w:rPr>
          <w:rFonts w:ascii="標楷體" w:eastAsia="標楷體" w:hAnsi="標楷體"/>
          <w:color w:val="000000"/>
          <w:szCs w:val="24"/>
        </w:rPr>
        <w:t>106/10/1</w:t>
      </w:r>
      <w:r w:rsidRPr="00133CA0">
        <w:rPr>
          <w:rFonts w:ascii="標楷體" w:eastAsia="標楷體" w:hAnsi="標楷體" w:hint="eastAsia"/>
          <w:color w:val="000000"/>
          <w:szCs w:val="24"/>
        </w:rPr>
        <w:t>、</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r w:rsidRPr="00133CA0">
        <w:rPr>
          <w:rFonts w:ascii="標楷體" w:eastAsia="標楷體" w:hAnsi="標楷體" w:hint="eastAsia"/>
          <w:color w:val="000000"/>
          <w:szCs w:val="24"/>
        </w:rPr>
        <w:t>）</w:t>
      </w:r>
    </w:p>
    <w:p w:rsidR="00892228" w:rsidRPr="00133CA0" w:rsidRDefault="00892228" w:rsidP="00892228">
      <w:pPr>
        <w:spacing w:line="400" w:lineRule="exact"/>
        <w:ind w:leftChars="118" w:left="283"/>
        <w:rPr>
          <w:rFonts w:ascii="標楷體" w:eastAsia="標楷體" w:hAnsi="標楷體"/>
          <w:color w:val="000000"/>
          <w:szCs w:val="24"/>
        </w:rPr>
      </w:pPr>
      <w:r w:rsidRPr="00133CA0">
        <w:rPr>
          <w:rFonts w:ascii="標楷體" w:eastAsia="標楷體" w:hAnsi="標楷體" w:hint="eastAsia"/>
          <w:color w:val="000000"/>
          <w:szCs w:val="24"/>
        </w:rPr>
        <w:t>1.多發性骨髓瘤：</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(1)先前尚未接受過任何治療且不適用造血幹細胞移植的多發性骨髓瘤患者可使用</w:t>
      </w:r>
      <w:r w:rsidRPr="00133CA0">
        <w:rPr>
          <w:rFonts w:ascii="標楷體" w:eastAsia="標楷體" w:hAnsi="標楷體"/>
          <w:color w:val="000000"/>
          <w:szCs w:val="24"/>
        </w:rPr>
        <w:t>lenalidomide</w:t>
      </w:r>
      <w:r w:rsidRPr="00133CA0">
        <w:rPr>
          <w:rFonts w:ascii="標楷體" w:eastAsia="標楷體" w:hAnsi="標楷體" w:hint="eastAsia"/>
          <w:color w:val="000000"/>
          <w:szCs w:val="24"/>
        </w:rPr>
        <w:t>併用</w:t>
      </w:r>
      <w:r w:rsidRPr="00133CA0">
        <w:rPr>
          <w:rFonts w:ascii="標楷體" w:eastAsia="標楷體" w:hAnsi="標楷體"/>
          <w:color w:val="000000"/>
          <w:szCs w:val="24"/>
        </w:rPr>
        <w:t>dexamethasone</w:t>
      </w:r>
      <w:r w:rsidRPr="00133CA0">
        <w:rPr>
          <w:rFonts w:ascii="標楷體" w:eastAsia="標楷體" w:hAnsi="標楷體" w:hint="eastAsia"/>
          <w:color w:val="000000"/>
          <w:szCs w:val="24"/>
        </w:rPr>
        <w:t>作為第一線治療。開始治療時病患須同時符合下列I與Ⅱ的條件：（</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Ⅰ.</w:t>
      </w:r>
      <w:r w:rsidRPr="00133CA0">
        <w:rPr>
          <w:rFonts w:ascii="標楷體" w:eastAsia="標楷體" w:hAnsi="標楷體"/>
          <w:szCs w:val="24"/>
        </w:rPr>
        <w:t>骨髓漿細胞(plasma cells)比例≧10%，或是經切片確認且有≧1顆的plasmacytoma。（112/4/1）</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Ⅱ.</w:t>
      </w:r>
      <w:r w:rsidRPr="00133CA0">
        <w:rPr>
          <w:rFonts w:ascii="標楷體" w:eastAsia="標楷體" w:hAnsi="標楷體"/>
          <w:szCs w:val="24"/>
        </w:rPr>
        <w:t>出現下列任一臨床症狀：（112/4/1）</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ⅰ</w:t>
      </w:r>
      <w:r w:rsidRPr="00133CA0">
        <w:rPr>
          <w:rFonts w:ascii="標楷體" w:eastAsia="標楷體" w:hAnsi="標楷體" w:hint="eastAsia"/>
          <w:color w:val="000000"/>
          <w:szCs w:val="24"/>
        </w:rPr>
        <w:t>.</w:t>
      </w:r>
      <w:r w:rsidRPr="00133CA0">
        <w:rPr>
          <w:rFonts w:ascii="標楷體" w:eastAsia="標楷體" w:hAnsi="標楷體"/>
          <w:szCs w:val="24"/>
        </w:rPr>
        <w:t>腎功能不全：serum creatinine＞2.0mg/dL或estimated GFR (eGFR)＜40 ml/min，且無其他原因可以解釋。</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ⅱ.</w:t>
      </w:r>
      <w:r w:rsidRPr="00133CA0">
        <w:rPr>
          <w:rFonts w:ascii="標楷體" w:eastAsia="標楷體" w:hAnsi="標楷體"/>
          <w:szCs w:val="24"/>
        </w:rPr>
        <w:t>高血鈣(corrected serum calcium＞11.0 mg/dL或2.75 mmol/L)。</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ⅲ.</w:t>
      </w:r>
      <w:r w:rsidRPr="00133CA0">
        <w:rPr>
          <w:rFonts w:ascii="標楷體" w:eastAsia="標楷體" w:hAnsi="標楷體"/>
          <w:szCs w:val="24"/>
        </w:rPr>
        <w:t>貧血(Hemoglobin＜10 gm/dL 且無其他原因可以解釋)。</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ⅳ.</w:t>
      </w:r>
      <w:r w:rsidRPr="00133CA0">
        <w:rPr>
          <w:rFonts w:ascii="標楷體" w:eastAsia="標楷體" w:hAnsi="標楷體"/>
          <w:szCs w:val="24"/>
        </w:rPr>
        <w:t>影像檢查確認之osteolytic bone lesion(s)。</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骨髓漿細胞(plasma cells)比例≧60%</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szCs w:val="24"/>
        </w:rPr>
        <w:t>ⅵ.</w:t>
      </w:r>
      <w:r w:rsidRPr="00133CA0">
        <w:rPr>
          <w:rFonts w:ascii="標楷體" w:eastAsia="標楷體" w:hAnsi="標楷體"/>
          <w:szCs w:val="24"/>
        </w:rPr>
        <w:t>Serum free light-chain ratio≧100。</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Ⅲ.</w:t>
      </w:r>
      <w:r w:rsidRPr="00133CA0">
        <w:rPr>
          <w:rFonts w:ascii="標楷體" w:eastAsia="標楷體" w:hAnsi="標楷體"/>
          <w:color w:val="000000"/>
          <w:szCs w:val="24"/>
        </w:rPr>
        <w:t>每4個療程重新申請時，須重新評估是否適合接受造血幹細胞移植。若經重新評估為已適合接受造血幹細胞移植者，即須停止Rd之治療。（112/4/1）</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(2)與</w:t>
      </w:r>
      <w:r w:rsidRPr="00133CA0">
        <w:rPr>
          <w:rFonts w:ascii="標楷體" w:eastAsia="標楷體" w:hAnsi="標楷體"/>
          <w:color w:val="000000"/>
          <w:szCs w:val="24"/>
        </w:rPr>
        <w:t>dexamethasone</w:t>
      </w:r>
      <w:r w:rsidRPr="00133CA0">
        <w:rPr>
          <w:rFonts w:ascii="標楷體" w:eastAsia="標楷體" w:hAnsi="標楷體" w:hint="eastAsia"/>
          <w:color w:val="000000"/>
          <w:szCs w:val="24"/>
        </w:rPr>
        <w:t>合併使用於先前已接受至少一種治療失敗之多發性骨髓瘤患者，且需同時符合下列I與Ⅱ的條件：（</w:t>
      </w:r>
      <w:r w:rsidRPr="00133CA0">
        <w:rPr>
          <w:rFonts w:ascii="標楷體" w:eastAsia="標楷體" w:hAnsi="標楷體"/>
          <w:color w:val="000000"/>
          <w:szCs w:val="24"/>
        </w:rPr>
        <w:t>101/12/1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Ⅰ.</w:t>
      </w:r>
      <w:r w:rsidRPr="00133CA0">
        <w:rPr>
          <w:rFonts w:ascii="標楷體" w:eastAsia="標楷體" w:hAnsi="標楷體"/>
          <w:color w:val="000000"/>
          <w:szCs w:val="24"/>
        </w:rPr>
        <w:t>具有下列任一疾病惡化的指標： 病患開始治療前須在連續2次評估中均符合同一指標 (但若為plamacytoma 體積增加，或是新產生的bone lesion(s)或新plasmacytoma，則僅需1次評估)：（112/4/1）</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ⅰ</w:t>
      </w:r>
      <w:r w:rsidRPr="00133CA0">
        <w:rPr>
          <w:rFonts w:ascii="標楷體" w:eastAsia="標楷體" w:hAnsi="標楷體"/>
          <w:szCs w:val="24"/>
        </w:rPr>
        <w:t>.若前一線治療中M component 最低值≧5 g/dL，血清M蛋白需增加≧1 g/dL；若前一線治療中M component最低值＜5 g/dL，血清M蛋白需增加≧0.5g/dL。</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ⅱ.</w:t>
      </w:r>
      <w:r w:rsidRPr="00133CA0">
        <w:rPr>
          <w:rFonts w:ascii="標楷體" w:eastAsia="標楷體" w:hAnsi="標楷體"/>
          <w:szCs w:val="24"/>
        </w:rPr>
        <w:t>Urine M-protein需增加≧0.2 gm/24Hr，且需較前一線治療中的最低值增加≧25%。</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ⅲ</w:t>
      </w:r>
      <w:r w:rsidRPr="00133CA0">
        <w:rPr>
          <w:rFonts w:ascii="標楷體" w:eastAsia="標楷體" w:hAnsi="標楷體" w:hint="eastAsia"/>
          <w:szCs w:val="24"/>
        </w:rPr>
        <w:t>.</w:t>
      </w:r>
      <w:r w:rsidRPr="00133CA0">
        <w:rPr>
          <w:rFonts w:ascii="標楷體" w:eastAsia="標楷體" w:hAnsi="標楷體"/>
          <w:szCs w:val="24"/>
        </w:rPr>
        <w:t>在non-secretary myeloma 病患，骨髓漿細胞 (plasma cells)之比例絕對值增加≧10%，且需較前一線治療中的最低值增加≧25%。</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ⅳ</w:t>
      </w:r>
      <w:r w:rsidRPr="00133CA0">
        <w:rPr>
          <w:rFonts w:ascii="標楷體" w:eastAsia="標楷體" w:hAnsi="標楷體" w:hint="eastAsia"/>
          <w:szCs w:val="24"/>
        </w:rPr>
        <w:t>.</w:t>
      </w:r>
      <w:r w:rsidRPr="00133CA0">
        <w:rPr>
          <w:rFonts w:ascii="標楷體" w:eastAsia="標楷體" w:hAnsi="標楷體"/>
          <w:szCs w:val="24"/>
        </w:rPr>
        <w:t>新產生的bone lesion(s)或plasmacytoma；且須經病理切片證實。</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Plasmacytoma體積增加≧50%。</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ⅵ</w:t>
      </w:r>
      <w:r w:rsidRPr="00133CA0">
        <w:rPr>
          <w:rFonts w:ascii="標楷體" w:eastAsia="標楷體" w:hAnsi="標楷體" w:hint="eastAsia"/>
          <w:szCs w:val="24"/>
        </w:rPr>
        <w:t>.</w:t>
      </w:r>
      <w:r w:rsidRPr="00133CA0">
        <w:rPr>
          <w:rFonts w:ascii="標楷體" w:eastAsia="標楷體" w:hAnsi="標楷體"/>
          <w:szCs w:val="24"/>
        </w:rPr>
        <w:t>周邊血液中漿細胞比例≧20%或漿細胞絕對值≧2000 cells/μL。</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Ⅱ.</w:t>
      </w:r>
      <w:r w:rsidRPr="00133CA0">
        <w:rPr>
          <w:rFonts w:ascii="標楷體" w:eastAsia="標楷體" w:hAnsi="標楷體"/>
          <w:color w:val="000000"/>
          <w:szCs w:val="24"/>
        </w:rPr>
        <w:t>出現下列任一臨床症狀：（112/4/1）</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ⅰ</w:t>
      </w:r>
      <w:r w:rsidRPr="00133CA0">
        <w:rPr>
          <w:rFonts w:ascii="標楷體" w:eastAsia="標楷體" w:hAnsi="標楷體" w:hint="eastAsia"/>
          <w:szCs w:val="24"/>
        </w:rPr>
        <w:t>.</w:t>
      </w:r>
      <w:r w:rsidRPr="00133CA0">
        <w:rPr>
          <w:rFonts w:ascii="標楷體" w:eastAsia="標楷體" w:hAnsi="標楷體"/>
          <w:szCs w:val="24"/>
        </w:rPr>
        <w:t>新產生的bone lesion(s)或plasmacytoma；且須經病理切片證實。</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ⅱ.</w:t>
      </w:r>
      <w:r w:rsidRPr="00133CA0">
        <w:rPr>
          <w:rFonts w:ascii="標楷體" w:eastAsia="標楷體" w:hAnsi="標楷體"/>
          <w:szCs w:val="24"/>
        </w:rPr>
        <w:t>Plasmacytoma 體積增加≧50%。</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lastRenderedPageBreak/>
        <w:t>ⅲ</w:t>
      </w:r>
      <w:r w:rsidRPr="00133CA0">
        <w:rPr>
          <w:rFonts w:ascii="標楷體" w:eastAsia="標楷體" w:hAnsi="標楷體" w:hint="eastAsia"/>
          <w:szCs w:val="24"/>
        </w:rPr>
        <w:t>.</w:t>
      </w:r>
      <w:r w:rsidRPr="00133CA0">
        <w:rPr>
          <w:rFonts w:ascii="標楷體" w:eastAsia="標楷體" w:hAnsi="標楷體"/>
          <w:szCs w:val="24"/>
        </w:rPr>
        <w:t>高血鈣(corrected serum calcium＞11.0 mg/dL 或 2.75 mmol/L)。</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ⅳ</w:t>
      </w:r>
      <w:r w:rsidRPr="00133CA0">
        <w:rPr>
          <w:rFonts w:ascii="標楷體" w:eastAsia="標楷體" w:hAnsi="標楷體" w:hint="eastAsia"/>
          <w:szCs w:val="24"/>
        </w:rPr>
        <w:t>.</w:t>
      </w:r>
      <w:r w:rsidRPr="00133CA0">
        <w:rPr>
          <w:rFonts w:ascii="標楷體" w:eastAsia="標楷體" w:hAnsi="標楷體"/>
          <w:szCs w:val="24"/>
        </w:rPr>
        <w:t>貧血(Hemoglobin 下降幅度≧ 2gm/dL且無其他原因可以解釋)。</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腎功能惡化(eGFR需下降幅度≧25%)，且無其他原因可以解釋。</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ⅵ</w:t>
      </w:r>
      <w:r w:rsidRPr="00133CA0">
        <w:rPr>
          <w:rFonts w:ascii="標楷體" w:eastAsia="標楷體" w:hAnsi="標楷體" w:hint="eastAsia"/>
          <w:szCs w:val="24"/>
        </w:rPr>
        <w:t>.</w:t>
      </w:r>
      <w:r w:rsidRPr="00133CA0">
        <w:rPr>
          <w:rFonts w:ascii="標楷體" w:eastAsia="標楷體" w:hAnsi="標楷體"/>
          <w:szCs w:val="24"/>
        </w:rPr>
        <w:t>出現其他 end-organ dysfunctions。</w:t>
      </w:r>
    </w:p>
    <w:p w:rsidR="00892228" w:rsidRPr="00133CA0" w:rsidRDefault="00892228" w:rsidP="00892228">
      <w:pPr>
        <w:spacing w:line="400" w:lineRule="exact"/>
        <w:ind w:leftChars="145" w:left="708" w:hangingChars="150" w:hanging="360"/>
        <w:rPr>
          <w:rFonts w:ascii="標楷體" w:eastAsia="標楷體" w:hAnsi="標楷體"/>
          <w:szCs w:val="24"/>
        </w:rPr>
      </w:pPr>
      <w:r w:rsidRPr="00133CA0">
        <w:rPr>
          <w:rFonts w:ascii="標楷體" w:eastAsia="標楷體" w:hAnsi="標楷體" w:hint="eastAsia"/>
          <w:color w:val="000000"/>
          <w:szCs w:val="24"/>
        </w:rPr>
        <w:t>(3)須經事前審查核准後使用，每次申請事前審查之療程以</w:t>
      </w:r>
      <w:r w:rsidRPr="00133CA0">
        <w:rPr>
          <w:rFonts w:ascii="標楷體" w:eastAsia="標楷體" w:hAnsi="標楷體"/>
          <w:color w:val="000000"/>
          <w:szCs w:val="24"/>
        </w:rPr>
        <w:t>4</w:t>
      </w:r>
      <w:r w:rsidRPr="00133CA0">
        <w:rPr>
          <w:rFonts w:ascii="標楷體" w:eastAsia="標楷體" w:hAnsi="標楷體" w:hint="eastAsia"/>
          <w:color w:val="000000"/>
          <w:szCs w:val="24"/>
        </w:rPr>
        <w:t>個療程為限，每</w:t>
      </w:r>
      <w:r w:rsidRPr="00133CA0">
        <w:rPr>
          <w:rFonts w:ascii="標楷體" w:eastAsia="標楷體" w:hAnsi="標楷體"/>
          <w:color w:val="000000"/>
          <w:szCs w:val="24"/>
        </w:rPr>
        <w:t>4</w:t>
      </w:r>
      <w:r w:rsidRPr="00133CA0">
        <w:rPr>
          <w:rFonts w:ascii="標楷體" w:eastAsia="標楷體" w:hAnsi="標楷體" w:hint="eastAsia"/>
          <w:color w:val="000000"/>
          <w:szCs w:val="24"/>
        </w:rPr>
        <w:t>個療程須再次申請。</w:t>
      </w:r>
    </w:p>
    <w:p w:rsidR="00892228" w:rsidRPr="00133CA0" w:rsidRDefault="00892228" w:rsidP="00892228">
      <w:pPr>
        <w:spacing w:line="400" w:lineRule="exact"/>
        <w:ind w:leftChars="200" w:left="840" w:hangingChars="150" w:hanging="360"/>
        <w:rPr>
          <w:rFonts w:ascii="標楷體" w:eastAsia="標楷體" w:hAnsi="標楷體"/>
          <w:szCs w:val="24"/>
        </w:rPr>
      </w:pPr>
      <w:r w:rsidRPr="00133CA0">
        <w:rPr>
          <w:rFonts w:ascii="標楷體" w:eastAsia="標楷體" w:hAnsi="標楷體" w:hint="eastAsia"/>
          <w:szCs w:val="24"/>
        </w:rPr>
        <w:t>Ⅰ.每天限給付</w:t>
      </w:r>
      <w:r w:rsidRPr="00133CA0">
        <w:rPr>
          <w:rFonts w:ascii="標楷體" w:eastAsia="標楷體" w:hAnsi="標楷體"/>
          <w:szCs w:val="24"/>
        </w:rPr>
        <w:t>1</w:t>
      </w:r>
      <w:r w:rsidRPr="00133CA0">
        <w:rPr>
          <w:rFonts w:ascii="標楷體" w:eastAsia="標楷體" w:hAnsi="標楷體" w:hint="eastAsia"/>
          <w:szCs w:val="24"/>
        </w:rPr>
        <w:t>粒。</w:t>
      </w:r>
    </w:p>
    <w:p w:rsidR="00892228" w:rsidRPr="00133CA0" w:rsidRDefault="00892228" w:rsidP="00892228">
      <w:pPr>
        <w:spacing w:line="400" w:lineRule="exact"/>
        <w:ind w:leftChars="200" w:left="840" w:hangingChars="150" w:hanging="360"/>
        <w:rPr>
          <w:rFonts w:ascii="標楷體" w:eastAsia="標楷體" w:hAnsi="標楷體"/>
          <w:szCs w:val="24"/>
        </w:rPr>
      </w:pPr>
      <w:r w:rsidRPr="00133CA0">
        <w:rPr>
          <w:rFonts w:ascii="標楷體" w:eastAsia="標楷體" w:hAnsi="標楷體" w:hint="eastAsia"/>
          <w:szCs w:val="24"/>
        </w:rPr>
        <w:t>Ⅱ.使用</w:t>
      </w:r>
      <w:r w:rsidRPr="00133CA0">
        <w:rPr>
          <w:rFonts w:ascii="標楷體" w:eastAsia="標楷體" w:hAnsi="標楷體"/>
          <w:szCs w:val="24"/>
        </w:rPr>
        <w:t>4</w:t>
      </w:r>
      <w:r w:rsidRPr="00133CA0">
        <w:rPr>
          <w:rFonts w:ascii="標楷體" w:eastAsia="標楷體" w:hAnsi="標楷體" w:hint="eastAsia"/>
          <w:szCs w:val="24"/>
        </w:rPr>
        <w:t>個療程後，必須確定</w:t>
      </w:r>
      <w:r w:rsidRPr="00133CA0">
        <w:rPr>
          <w:rFonts w:ascii="標楷體" w:eastAsia="標楷體" w:hAnsi="標楷體"/>
          <w:szCs w:val="24"/>
        </w:rPr>
        <w:t>paraprotein(M-protein)</w:t>
      </w:r>
      <w:r w:rsidRPr="00133CA0">
        <w:rPr>
          <w:rFonts w:ascii="標楷體" w:eastAsia="標楷體" w:hAnsi="標楷體" w:hint="eastAsia"/>
          <w:szCs w:val="24"/>
        </w:rPr>
        <w:t>未上升</w:t>
      </w:r>
      <w:r w:rsidRPr="00133CA0">
        <w:rPr>
          <w:rFonts w:ascii="標楷體" w:eastAsia="標楷體" w:hAnsi="標楷體"/>
          <w:szCs w:val="24"/>
        </w:rPr>
        <w:t>(</w:t>
      </w:r>
      <w:r w:rsidRPr="00133CA0">
        <w:rPr>
          <w:rFonts w:ascii="標楷體" w:eastAsia="標楷體" w:hAnsi="標楷體" w:hint="eastAsia"/>
          <w:szCs w:val="24"/>
        </w:rPr>
        <w:t>即表示對藥物有反應或為穩定狀態</w:t>
      </w:r>
      <w:r w:rsidRPr="00133CA0">
        <w:rPr>
          <w:rFonts w:ascii="標楷體" w:eastAsia="標楷體" w:hAnsi="標楷體"/>
          <w:szCs w:val="24"/>
        </w:rPr>
        <w:t>)</w:t>
      </w:r>
      <w:r w:rsidRPr="00133CA0">
        <w:rPr>
          <w:rFonts w:ascii="標楷體" w:eastAsia="標楷體" w:hAnsi="標楷體" w:hint="eastAsia"/>
          <w:szCs w:val="24"/>
        </w:rPr>
        <w:t>或對部分</w:t>
      </w:r>
      <w:r w:rsidRPr="00133CA0">
        <w:rPr>
          <w:rFonts w:ascii="標楷體" w:eastAsia="標楷體" w:hAnsi="標楷體"/>
          <w:szCs w:val="24"/>
        </w:rPr>
        <w:t>non-secretory type MM</w:t>
      </w:r>
      <w:r w:rsidRPr="00133CA0">
        <w:rPr>
          <w:rFonts w:ascii="標楷體" w:eastAsia="標楷體" w:hAnsi="標楷體" w:hint="eastAsia"/>
          <w:szCs w:val="24"/>
        </w:rPr>
        <w:t>病人以骨髓檢查</w:t>
      </w:r>
      <w:r w:rsidRPr="00133CA0">
        <w:rPr>
          <w:rFonts w:ascii="標楷體" w:eastAsia="標楷體" w:hAnsi="標楷體"/>
          <w:szCs w:val="24"/>
        </w:rPr>
        <w:t>plasma cell</w:t>
      </w:r>
      <w:r w:rsidRPr="00133CA0">
        <w:rPr>
          <w:rFonts w:ascii="標楷體" w:eastAsia="標楷體" w:hAnsi="標楷體" w:hint="eastAsia"/>
          <w:szCs w:val="24"/>
        </w:rPr>
        <w:t>為療效依據，方可繼續使用。</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(4)每人終生至多給付</w:t>
      </w:r>
      <w:r w:rsidRPr="00133CA0">
        <w:rPr>
          <w:rFonts w:ascii="標楷體" w:eastAsia="標楷體" w:hAnsi="標楷體"/>
          <w:color w:val="000000"/>
          <w:szCs w:val="24"/>
        </w:rPr>
        <w:t>24</w:t>
      </w:r>
      <w:r w:rsidRPr="00133CA0">
        <w:rPr>
          <w:rFonts w:ascii="標楷體" w:eastAsia="標楷體" w:hAnsi="標楷體" w:hint="eastAsia"/>
          <w:color w:val="000000"/>
          <w:szCs w:val="24"/>
        </w:rPr>
        <w:t>個療程為限（每療程為</w:t>
      </w:r>
      <w:r w:rsidRPr="00133CA0">
        <w:rPr>
          <w:rFonts w:ascii="標楷體" w:eastAsia="標楷體" w:hAnsi="標楷體"/>
          <w:color w:val="000000"/>
          <w:szCs w:val="24"/>
        </w:rPr>
        <w:t>4</w:t>
      </w:r>
      <w:r w:rsidRPr="00133CA0">
        <w:rPr>
          <w:rFonts w:ascii="標楷體" w:eastAsia="標楷體" w:hAnsi="標楷體" w:hint="eastAsia"/>
          <w:color w:val="000000"/>
          <w:szCs w:val="24"/>
        </w:rPr>
        <w:t>週）。（</w:t>
      </w:r>
      <w:r w:rsidRPr="00133CA0">
        <w:rPr>
          <w:rFonts w:ascii="標楷體" w:eastAsia="標楷體" w:hAnsi="標楷體"/>
          <w:color w:val="000000"/>
          <w:szCs w:val="24"/>
        </w:rPr>
        <w:t>106/10/1</w:t>
      </w:r>
      <w:r w:rsidRPr="00133CA0">
        <w:rPr>
          <w:rFonts w:ascii="標楷體" w:eastAsia="標楷體" w:hAnsi="標楷體" w:hint="eastAsia"/>
          <w:color w:val="000000"/>
          <w:szCs w:val="24"/>
        </w:rPr>
        <w:t>、</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(5)</w:t>
      </w:r>
      <w:r w:rsidRPr="00133CA0">
        <w:rPr>
          <w:rFonts w:ascii="標楷體" w:eastAsia="標楷體" w:hAnsi="標楷體"/>
          <w:color w:val="000000"/>
          <w:szCs w:val="24"/>
        </w:rPr>
        <w:t>112</w:t>
      </w:r>
      <w:r w:rsidRPr="00133CA0">
        <w:rPr>
          <w:rFonts w:ascii="標楷體" w:eastAsia="標楷體" w:hAnsi="標楷體" w:hint="eastAsia"/>
          <w:color w:val="000000"/>
          <w:szCs w:val="24"/>
        </w:rPr>
        <w:t>年</w:t>
      </w:r>
      <w:r w:rsidRPr="00133CA0">
        <w:rPr>
          <w:rFonts w:ascii="標楷體" w:eastAsia="標楷體" w:hAnsi="標楷體"/>
          <w:color w:val="000000"/>
          <w:szCs w:val="24"/>
        </w:rPr>
        <w:t>3</w:t>
      </w:r>
      <w:r w:rsidRPr="00133CA0">
        <w:rPr>
          <w:rFonts w:ascii="標楷體" w:eastAsia="標楷體" w:hAnsi="標楷體" w:hint="eastAsia"/>
          <w:color w:val="000000"/>
          <w:szCs w:val="24"/>
        </w:rPr>
        <w:t>月</w:t>
      </w:r>
      <w:r w:rsidRPr="00133CA0">
        <w:rPr>
          <w:rFonts w:ascii="標楷體" w:eastAsia="標楷體" w:hAnsi="標楷體"/>
          <w:color w:val="000000"/>
          <w:szCs w:val="24"/>
        </w:rPr>
        <w:t>31</w:t>
      </w:r>
      <w:r w:rsidRPr="00133CA0">
        <w:rPr>
          <w:rFonts w:ascii="標楷體" w:eastAsia="標楷體" w:hAnsi="標楷體" w:hint="eastAsia"/>
          <w:color w:val="000000"/>
          <w:szCs w:val="24"/>
        </w:rPr>
        <w:t>日以前已核定用藥之病人，得經事前審查核准後，使用至總療程上限（即終生</w:t>
      </w:r>
      <w:r w:rsidRPr="00133CA0">
        <w:rPr>
          <w:rFonts w:ascii="標楷體" w:eastAsia="標楷體" w:hAnsi="標楷體"/>
          <w:color w:val="000000"/>
          <w:szCs w:val="24"/>
        </w:rPr>
        <w:t>24</w:t>
      </w:r>
      <w:r w:rsidRPr="00133CA0">
        <w:rPr>
          <w:rFonts w:ascii="標楷體" w:eastAsia="標楷體" w:hAnsi="標楷體" w:hint="eastAsia"/>
          <w:color w:val="000000"/>
          <w:szCs w:val="24"/>
        </w:rPr>
        <w:t>個療程）或使用期間發生疾病惡化為止。（</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118" w:left="283"/>
        <w:rPr>
          <w:rFonts w:ascii="標楷體" w:eastAsia="標楷體" w:hAnsi="標楷體"/>
          <w:kern w:val="0"/>
          <w:szCs w:val="24"/>
        </w:rPr>
      </w:pPr>
      <w:r w:rsidRPr="00133CA0">
        <w:rPr>
          <w:rFonts w:ascii="標楷體" w:eastAsia="標楷體" w:hAnsi="標楷體" w:hint="eastAsia"/>
          <w:szCs w:val="24"/>
        </w:rPr>
        <w:t>2.瀰漫性大型</w:t>
      </w:r>
      <w:r w:rsidRPr="00133CA0">
        <w:rPr>
          <w:rFonts w:ascii="標楷體" w:eastAsia="標楷體" w:hAnsi="標楷體"/>
          <w:szCs w:val="24"/>
        </w:rPr>
        <w:t>B</w:t>
      </w:r>
      <w:r w:rsidRPr="00133CA0">
        <w:rPr>
          <w:rFonts w:ascii="標楷體" w:eastAsia="標楷體" w:hAnsi="標楷體" w:hint="eastAsia"/>
          <w:szCs w:val="24"/>
        </w:rPr>
        <w:t>細胞淋巴瘤：</w:t>
      </w:r>
      <w:r w:rsidRPr="00133CA0">
        <w:rPr>
          <w:rFonts w:ascii="標楷體" w:eastAsia="標楷體" w:hAnsi="標楷體"/>
          <w:szCs w:val="24"/>
        </w:rPr>
        <w:t>(</w:t>
      </w:r>
      <w:r w:rsidRPr="00133CA0">
        <w:rPr>
          <w:rFonts w:ascii="標楷體" w:eastAsia="標楷體" w:hAnsi="標楷體" w:hint="eastAsia"/>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(1)</w:t>
      </w:r>
      <w:r w:rsidRPr="00133CA0">
        <w:rPr>
          <w:rFonts w:ascii="標楷體" w:eastAsia="標楷體" w:hAnsi="標楷體"/>
          <w:color w:val="000000"/>
          <w:szCs w:val="24"/>
        </w:rPr>
        <w:t>Lenalidomide(</w:t>
      </w:r>
      <w:r w:rsidRPr="00133CA0">
        <w:rPr>
          <w:rFonts w:ascii="標楷體" w:eastAsia="標楷體" w:hAnsi="標楷體" w:hint="eastAsia"/>
          <w:color w:val="000000"/>
          <w:szCs w:val="24"/>
        </w:rPr>
        <w:t>限使用L</w:t>
      </w:r>
      <w:r w:rsidRPr="00133CA0">
        <w:rPr>
          <w:rFonts w:ascii="標楷體" w:eastAsia="標楷體" w:hAnsi="標楷體"/>
          <w:color w:val="000000"/>
          <w:szCs w:val="24"/>
        </w:rPr>
        <w:t>eavdo)</w:t>
      </w:r>
      <w:r w:rsidRPr="00133CA0">
        <w:rPr>
          <w:rFonts w:ascii="標楷體" w:eastAsia="標楷體" w:hAnsi="標楷體" w:hint="eastAsia"/>
          <w:color w:val="000000"/>
          <w:szCs w:val="24"/>
        </w:rPr>
        <w:t xml:space="preserve">與 </w:t>
      </w:r>
      <w:r w:rsidRPr="00133CA0">
        <w:rPr>
          <w:rFonts w:ascii="標楷體" w:eastAsia="標楷體" w:hAnsi="標楷體"/>
          <w:color w:val="000000"/>
          <w:szCs w:val="24"/>
        </w:rPr>
        <w:t>tafasitamab</w:t>
      </w:r>
      <w:r w:rsidRPr="00133CA0">
        <w:rPr>
          <w:rFonts w:ascii="標楷體" w:eastAsia="標楷體" w:hAnsi="標楷體" w:hint="eastAsia"/>
          <w:color w:val="000000"/>
          <w:szCs w:val="24"/>
        </w:rPr>
        <w:t>合併使用於經一線全身治療含</w:t>
      </w:r>
      <w:r w:rsidRPr="00133CA0">
        <w:rPr>
          <w:rFonts w:ascii="標楷體" w:eastAsia="標楷體" w:hAnsi="標楷體"/>
          <w:color w:val="000000"/>
          <w:szCs w:val="24"/>
        </w:rPr>
        <w:t>rituximab</w:t>
      </w:r>
      <w:r w:rsidRPr="00133CA0">
        <w:rPr>
          <w:rFonts w:ascii="標楷體" w:eastAsia="標楷體" w:hAnsi="標楷體" w:hint="eastAsia"/>
          <w:color w:val="000000"/>
          <w:szCs w:val="24"/>
        </w:rPr>
        <w:t>治療復發型，不適合接受造血幹細胞移植瀰漫性大型</w:t>
      </w:r>
      <w:r w:rsidRPr="00133CA0">
        <w:rPr>
          <w:rFonts w:ascii="標楷體" w:eastAsia="標楷體" w:hAnsi="標楷體"/>
          <w:color w:val="000000"/>
          <w:szCs w:val="24"/>
        </w:rPr>
        <w:t>B</w:t>
      </w:r>
      <w:r w:rsidRPr="00133CA0">
        <w:rPr>
          <w:rFonts w:ascii="標楷體" w:eastAsia="標楷體" w:hAnsi="標楷體" w:hint="eastAsia"/>
          <w:color w:val="000000"/>
          <w:szCs w:val="24"/>
        </w:rPr>
        <w:t>細胞淋巴瘤</w:t>
      </w:r>
      <w:r w:rsidRPr="00133CA0">
        <w:rPr>
          <w:rFonts w:ascii="標楷體" w:eastAsia="標楷體" w:hAnsi="標楷體"/>
          <w:color w:val="000000"/>
          <w:szCs w:val="24"/>
        </w:rPr>
        <w:t>(DLBCL)</w:t>
      </w:r>
      <w:r w:rsidRPr="00133CA0">
        <w:rPr>
          <w:rFonts w:ascii="標楷體" w:eastAsia="標楷體" w:hAnsi="標楷體" w:hint="eastAsia"/>
          <w:color w:val="000000"/>
          <w:szCs w:val="24"/>
        </w:rPr>
        <w:t>成人病人，病人須符合</w:t>
      </w:r>
      <w:r w:rsidRPr="00133CA0">
        <w:rPr>
          <w:rFonts w:ascii="標楷體" w:eastAsia="標楷體" w:hAnsi="標楷體"/>
          <w:color w:val="000000"/>
          <w:szCs w:val="24"/>
        </w:rPr>
        <w:t>tafasitamab</w:t>
      </w:r>
      <w:r w:rsidRPr="00133CA0">
        <w:rPr>
          <w:rFonts w:ascii="標楷體" w:eastAsia="標楷體" w:hAnsi="標楷體" w:hint="eastAsia"/>
          <w:color w:val="000000"/>
          <w:szCs w:val="24"/>
        </w:rPr>
        <w:t>之藥品給付規定。</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(2)須經事前審查核准後使用。</w:t>
      </w:r>
    </w:p>
    <w:p w:rsidR="00892228" w:rsidRPr="00133CA0" w:rsidRDefault="00892228" w:rsidP="00892228">
      <w:pPr>
        <w:spacing w:line="400" w:lineRule="exact"/>
        <w:ind w:leftChars="145" w:left="708" w:hangingChars="150" w:hanging="360"/>
        <w:rPr>
          <w:rFonts w:ascii="標楷體" w:eastAsia="標楷體" w:hAnsi="標楷體"/>
          <w:szCs w:val="24"/>
        </w:rPr>
      </w:pPr>
      <w:r w:rsidRPr="008C204D">
        <w:rPr>
          <w:rFonts w:ascii="標楷體" w:eastAsia="標楷體" w:hAnsi="標楷體" w:hint="eastAsia"/>
          <w:color w:val="000000"/>
          <w:szCs w:val="24"/>
        </w:rPr>
        <w:t>Ⅰ.每人至多</w:t>
      </w:r>
      <w:r w:rsidRPr="00133CA0">
        <w:rPr>
          <w:rFonts w:ascii="標楷體" w:eastAsia="標楷體" w:hAnsi="標楷體" w:hint="eastAsia"/>
          <w:szCs w:val="24"/>
        </w:rPr>
        <w:t>給付</w:t>
      </w:r>
      <w:r w:rsidRPr="00133CA0">
        <w:rPr>
          <w:rFonts w:ascii="標楷體" w:eastAsia="標楷體" w:hAnsi="標楷體"/>
          <w:szCs w:val="24"/>
        </w:rPr>
        <w:t>12</w:t>
      </w:r>
      <w:r w:rsidRPr="00133CA0">
        <w:rPr>
          <w:rFonts w:ascii="標楷體" w:eastAsia="標楷體" w:hAnsi="標楷體" w:hint="eastAsia"/>
          <w:szCs w:val="24"/>
        </w:rPr>
        <w:t>個療程。</w:t>
      </w:r>
    </w:p>
    <w:p w:rsidR="00B96EA0" w:rsidRDefault="00892228" w:rsidP="00892228">
      <w:pPr>
        <w:spacing w:line="400" w:lineRule="exact"/>
        <w:ind w:left="811" w:hanging="245"/>
      </w:pPr>
      <w:r w:rsidRPr="00133CA0">
        <w:rPr>
          <w:rFonts w:ascii="標楷體" w:eastAsia="標楷體" w:hAnsi="標楷體" w:hint="eastAsia"/>
          <w:szCs w:val="24"/>
        </w:rPr>
        <w:t>Ⅱ.每天限給付1粒。</w:t>
      </w:r>
    </w:p>
    <w:p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注射劑（如Vidaza）：（102/1/1、111/5/1、111/8/1、112/2/1、112/8/1、114/3/1、114/8/1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851" w:hanging="284"/>
        <w:rPr>
          <w:rFonts w:ascii="標楷體" w:eastAsia="標楷體" w:hAnsi="標楷體"/>
        </w:rPr>
      </w:pPr>
      <w:r>
        <w:rPr>
          <w:rFonts w:ascii="標楷體" w:eastAsia="標楷體" w:hAnsi="標楷體"/>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不得併用v</w:t>
      </w:r>
      <w:r>
        <w:rPr>
          <w:rFonts w:ascii="標楷體" w:eastAsia="標楷體" w:hAnsi="標楷體"/>
        </w:rPr>
        <w:t>enetoclax</w:t>
      </w:r>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lastRenderedPageBreak/>
        <w:t>(4)本藥品與decitabine僅能擇一使用，除因耐受性不良，不得互換。若因無法耐受 decitabine而轉換至本藥品時需事前申請。使用本藥品無效後，不得再申請decitabine。（111/5/1）</w:t>
      </w:r>
    </w:p>
    <w:p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2.Azacitidine(除Winduza及Azacitidine Lyophilized Inj 100mg"GBC"以外)併用venetoclax，使用於無法接受高強度化學治療之初診斷急性骨髓性白血病(AML)病人。(114/8/1)</w:t>
      </w:r>
    </w:p>
    <w:p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3，且符合下列任一條件者：</w:t>
      </w:r>
    </w:p>
    <w:p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口服製劑（如Onureg）：(114/5/1、114/10/1）</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(CRi)。</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不得與midostaurin、venetoclax及gilteritinib等標靶藥品併用。</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6.本藥品與quizartinib僅得擇一使用，除因耐受性不良，不得互換。(114/10/1)</w:t>
      </w:r>
    </w:p>
    <w:p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Afatinib（如Giotrif）：(103/5/1、106/11/1、108/6/1、108/11/1</w:t>
      </w:r>
      <w:r>
        <w:rPr>
          <w:rFonts w:ascii="標楷體" w:eastAsia="標楷體" w:hAnsi="標楷體"/>
          <w:kern w:val="0"/>
        </w:rPr>
        <w:t>、109/4/1</w:t>
      </w:r>
      <w:r>
        <w:rPr>
          <w:rFonts w:ascii="標楷體" w:eastAsia="標楷體" w:hAnsi="標楷體"/>
        </w:rPr>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rsidR="00B96EA0" w:rsidRDefault="007D66B8" w:rsidP="005142EB">
      <w:pPr>
        <w:spacing w:line="400" w:lineRule="exact"/>
        <w:ind w:left="796" w:hanging="230"/>
      </w:pPr>
      <w:r>
        <w:rPr>
          <w:rFonts w:ascii="標楷體" w:eastAsia="標楷體" w:hAnsi="標楷體"/>
          <w:color w:val="000000"/>
        </w:rPr>
        <w:lastRenderedPageBreak/>
        <w:t>1.</w:t>
      </w:r>
      <w:r>
        <w:t xml:space="preserve"> </w:t>
      </w:r>
      <w:r>
        <w:rPr>
          <w:rFonts w:ascii="標楷體" w:eastAsia="標楷體" w:hAnsi="標楷體"/>
          <w:color w:val="000000"/>
        </w:rPr>
        <w:t>限單獨使用於：</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(1)具有EGFR-TK基因突變之局部晚期或轉移性(即第ⅢB、ⅢC期或第Ⅳ期)之肺腺癌病患之第一線治療，需檢附EGFR基因檢測結果報告，且需符合全民健康保險藥品給付規定之通則十二。(108/6/1、108/11/1、113/6/1)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(1)用於具有EGFR-TK基因突變之局部晚期或轉移性肺腺癌之第一線治療：病歷應留存確實患有肺腺癌之病理或細胞檢查報告，及EGFR-TK基因突變檢測報告。</w:t>
      </w:r>
    </w:p>
    <w:p w:rsidR="00B96EA0" w:rsidRDefault="007D66B8" w:rsidP="005142EB">
      <w:pPr>
        <w:spacing w:line="400" w:lineRule="exact"/>
        <w:ind w:left="1046" w:hanging="348"/>
      </w:pPr>
      <w:r>
        <w:rPr>
          <w:rFonts w:ascii="標楷體" w:eastAsia="標楷體" w:hAnsi="標楷體"/>
          <w:kern w:val="0"/>
          <w:szCs w:val="24"/>
        </w:rPr>
        <w:t xml:space="preserve">(2)用於局部晚期或轉移性之鱗狀組織非小細胞肺癌之第二線治療：病歷應留存曾經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rsidR="00B96EA0" w:rsidRDefault="007D66B8" w:rsidP="005142EB">
      <w:pPr>
        <w:spacing w:line="400" w:lineRule="exact"/>
        <w:ind w:left="1046" w:hanging="348"/>
      </w:pPr>
      <w:r>
        <w:rPr>
          <w:rFonts w:ascii="標楷體" w:eastAsia="標楷體" w:hAnsi="標楷體"/>
        </w:rPr>
        <w:t>(6)本藥品於第一線使用時，與osimertinib、dacomitinib及bevacizumab併用erlotinib之治療組合僅得擇一使用，除因耐受性不良，不得互換。(109/6/1、109/10/1、111/4/1、113/3/1、113/10/1)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566" w:hanging="283"/>
      </w:pPr>
      <w:r>
        <w:rPr>
          <w:rFonts w:ascii="標楷體" w:eastAsia="標楷體" w:hAnsi="標楷體"/>
          <w:color w:val="000000"/>
        </w:rPr>
        <w:t>9.46.Tegafur/gimeracil/oteracil複方製劑(如TS-1）：(103/6/1、105/12/1、109/2/1</w:t>
      </w:r>
      <w:r>
        <w:rPr>
          <w:rFonts w:ascii="標楷體" w:eastAsia="標楷體" w:hAnsi="標楷體"/>
        </w:rPr>
        <w:t>、113/2/1</w:t>
      </w:r>
      <w:r>
        <w:rPr>
          <w:rFonts w:ascii="標楷體" w:eastAsia="標楷體" w:hAnsi="標楷體"/>
          <w:color w:val="000000"/>
        </w:rPr>
        <w:t xml:space="preserve">) </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lastRenderedPageBreak/>
        <w:t>(1)胃癌術後輔助性化療，用於罹患TNMS tageⅡ(排除T1)、ⅢA或ⅢB胃癌且接受過胃癌根除性手術的成年患者，限用1年。</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9.47.Lapatinib（如Tykerb）：（103/9/1、106/11/1、110/2/1、114/2/1）</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1.與capecitabine併用，使用於曾接受anthracycline, taxane以及trastuzumab治療後病況惡化之轉移性乳癌併有腦部轉移，且為HER2過度表現(IHC3+或FISH+)病人。</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Lapatinib、trastuzumab emtansine和trastuzumab deruxtecan僅能擇一給付，不得互換。(110/2/1、114/2/1)</w:t>
      </w:r>
    </w:p>
    <w:p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9.48.Eribulin（如Halaven）：（103/12/1、106/11/1、108/12/1、110/2/1）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(1)用於治療轉移性乳癌患者且先前曾接受過anthracycline和taxane兩種針對轉移性乳癌之化學治療輔助性治療。</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(3)Eribulin與ixabepilone用於治療上述之轉移性乳癌患者時，僅得擇一使用，且不得互換（eribulin限用於未曾使用過ixabepilone之病患）。(110/2/1)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rsidR="00B96EA0" w:rsidRDefault="007D66B8" w:rsidP="005142EB">
      <w:pPr>
        <w:snapToGrid w:val="0"/>
        <w:spacing w:line="400" w:lineRule="exact"/>
        <w:ind w:left="425"/>
      </w:pPr>
      <w:bookmarkStart w:id="11"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11"/>
    <w:p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1.與雄性素去除療法及prednisone或prednisolone併用，治療新診斷高風險轉移性的去勢敏感性前列腺癌(mCSPC)的成年男性(ECOG分數須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1)。高風險需符合下列三項條件中至少兩項：(109/5/1</w:t>
      </w:r>
      <w:r>
        <w:rPr>
          <w:rFonts w:ascii="標楷體" w:eastAsia="標楷體" w:hAnsi="標楷體"/>
          <w:szCs w:val="24"/>
        </w:rPr>
        <w:t>、110/2/1、113/8/1）</w:t>
      </w:r>
    </w:p>
    <w:p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(2)骨骼掃描出現三個(含)以上病灶且至少其中一處以上為非脊柱及非骨盆腔轉移；</w:t>
      </w:r>
      <w:r>
        <w:rPr>
          <w:rFonts w:ascii="標楷體" w:eastAsia="標楷體" w:hAnsi="標楷體"/>
          <w:color w:val="000000"/>
          <w:szCs w:val="24"/>
        </w:rPr>
        <w:lastRenderedPageBreak/>
        <w:t>(109/5/1、113/8/1）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2.與prednisone或prednisolone併用，治療藥物或手術去勢抗性的轉移性前列腺癌(mCRPC)，且在雄性素去除療法失敗後屬無症狀或輕度症狀(ECOG分數0或1)，未曾接受化學治療者：（106/9/1）</w:t>
      </w:r>
    </w:p>
    <w:p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(2)申請時需另檢附：</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4.與olaparib及prednisone或prednisolone，用於具germline或 somatic BRCA 1/2致病性或疑似致病性突變之成人病人，患者需符合olaparib藥品給付規定。(114/6/1)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(4)用於治療新診斷高風險轉移性的去勢敏感性前列腺癌(mCSPC)的成年男性，總療程以36個月為上限（惟Ateron總療程以24個月為上限）。(109/5/1、110/2/1、113/8/1、113/9/1）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7.本品與radium-223 dichloride不得合併使用。(108/3/1)</w:t>
      </w:r>
    </w:p>
    <w:p w:rsidR="00B96EA0" w:rsidRDefault="007D66B8" w:rsidP="005142EB">
      <w:pPr>
        <w:spacing w:line="400" w:lineRule="exact"/>
        <w:ind w:left="283"/>
        <w:rPr>
          <w:rFonts w:ascii="標楷體" w:eastAsia="標楷體" w:hAnsi="標楷體"/>
        </w:rPr>
      </w:pPr>
      <w:r>
        <w:rPr>
          <w:rFonts w:ascii="標楷體" w:eastAsia="標楷體" w:hAnsi="標楷體"/>
        </w:rPr>
        <w:t>9.50.Crizotinib (如Xalkori)：(104/9/1、106/11/1、107/5/1、108/7/1、108/9/1、108/12/1、110/7/1、111/2/1、111/8/1、112/11/1、113/6/1、113/9/1)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lastRenderedPageBreak/>
        <w:t>適用於ALK陽性之晚期非小細胞肺癌第一線治療，且於113年9月1日前經審核同意用藥，後續評估符合續用申請條件者。(106/11/1、111/8/1、113/9/1)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週後，需追蹤胸部X光或電腦斷層等影像檢查評估療效，往後每4週做胸部X光檢查，每3個月需追蹤其作為評估藥效的影像(如胸部X光或電腦斷層)，若病情惡化即不得再次申請。(108/12/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Crizotinib與ceritinib、alectinib、brigatinib、lorlatinib用於ALK陽性之晚期非小細胞肺癌第一線治療時，僅得擇一使用，除因病人使用後，發生嚴重不良反應或耐受不良之情形外，不得互換。(108/7/1、108/12/1、111/8/1、112/11/1)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Crizotinib與entrectinib用於ROS-1陽性之晚期非小細胞肺癌時，僅得擇一使用，除因病人使用後，發生嚴重不良反應或耐受不良之情形外，不得互換。(110/7/1)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rsidR="00B96EA0" w:rsidRDefault="007D66B8" w:rsidP="005142EB">
      <w:pPr>
        <w:spacing w:line="400" w:lineRule="exact"/>
        <w:ind w:left="851" w:hanging="635"/>
        <w:rPr>
          <w:rFonts w:ascii="標楷體" w:eastAsia="標楷體" w:hAnsi="標楷體"/>
          <w:color w:val="000000"/>
        </w:rPr>
      </w:pPr>
      <w:bookmarkStart w:id="12" w:name="_Hlk75427389"/>
      <w:r>
        <w:rPr>
          <w:rFonts w:ascii="標楷體" w:eastAsia="標楷體" w:hAnsi="標楷體"/>
          <w:color w:val="000000"/>
        </w:rPr>
        <w:t>9.51.Regorafenib（如Stivarga）：（104/9/1、105/8/1、107/12/1、108/6/1、110/5/1、110/6/1、113/6/1）</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1.轉移性大腸直腸癌(mCRC)：</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(1)用於治療先前曾接受下列療法的轉移性大腸直腸癌(mCRC)患者，療法包括fluoropyrimidine、oxaliplatin、irinotecan為基礎的化療，和抗血管內皮生長因子(anti-VEGF)等療法；若K-ras為原生型(wild type)，則需再加上接受過抗表皮生長因子受體(anti-EGFR)療法。需檢附All-RAS基因突變分析檢測結果報告，且需符合全民健康保險藥品給付規定之通則十二。（110/6/1、113/6/1）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2.胃腸道間質瘤(GIST) (105/8/1）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(1)先前曾接受imatinib與sunitinib治療的局部晚期、無法切除或轉移性的胃腸道間質瘤患者。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3.肝細胞癌(HCC)：(108/6/1、110/5/1)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(1)適用於曾接受sorafenib治療失敗後之轉移性或無法手術切除且不適合局部治療</w:t>
      </w:r>
      <w:r>
        <w:rPr>
          <w:rFonts w:ascii="標楷體" w:eastAsia="標楷體" w:hAnsi="標楷體"/>
          <w:color w:val="000000"/>
        </w:rPr>
        <w:lastRenderedPageBreak/>
        <w:t>或局部治療失敗之Child-Pugh A class晚期肝細胞癌成人患者。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(4)Regorafenib與ramucirumab、nivolumab僅能擇一使用，不得互換。(110/5/1)</w:t>
      </w:r>
      <w:bookmarkEnd w:id="12"/>
    </w:p>
    <w:p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9.52.Vemurafenib(如Zelboraf)：(104/11/1、110/3/1、113/6/1）</w:t>
      </w:r>
    </w:p>
    <w:p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2且罹患無法切除(第ⅢC期)或轉移性(第Ⅳ期)黑色素瘤之病人。需檢附BRAF V600基因突變分析檢測報告，且需符合全民健康保險藥品給付規定之通則十二。(113/6/1)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2.需經事前審查核准後使用，每次申請療程以三個月為限，如發現病情惡化應停止使用。再申請應檢附前次治療結果評估資料。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rsidR="00B96EA0" w:rsidRDefault="00616C7C" w:rsidP="005142EB">
      <w:pPr>
        <w:spacing w:line="400" w:lineRule="exact"/>
        <w:ind w:left="283"/>
        <w:rPr>
          <w:rFonts w:ascii="標楷體" w:eastAsia="標楷體" w:hAnsi="標楷體"/>
          <w:color w:val="000000"/>
        </w:rPr>
      </w:pPr>
      <w:bookmarkStart w:id="13" w:name="_Hlk70328576"/>
      <w:r w:rsidRPr="000D391A">
        <w:rPr>
          <w:rFonts w:ascii="標楷體" w:eastAsia="標楷體" w:hAnsi="標楷體" w:hint="eastAsia"/>
          <w:color w:val="000000"/>
        </w:rPr>
        <w:t>9.53.Panitumumab（如Vectibix）：(105/4/1、107/6/1、110/6/1、113/6/1、115/2/1)</w:t>
      </w:r>
    </w:p>
    <w:p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13"/>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與FOLFOX（folinicacid/ 5-fluorouracil/oxaliplatin）或FOLFIRI（folinic acid/ 5-fluorouracil/irinotecan）合併使用於治療RAS原生型(wild-type)之轉移性直腸結腸癌病人之第一線治療。需檢附All-RAS基因突變分析檢測報告，且需符合全民健康保險藥品給付規定之通則十二。(98/8/1、110/6/1、113/6/1、115/2/1)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(1)本藥品須經事前審查核准後使用，每次申請之療程以18週為限，再次申請必須提出客觀證據(如：影像學)證實無惡化，才可繼續使用。</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(2)Panitumumab與cetuximab二者僅能擇一使用。 (107/6/1、115/2/1)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(3)本藥品不得與bevacizumab併用。(107/6/1)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2.治療已接受過含 5 fluorouracil 、 irinotecan 及oxaliplatin二線以上之細胞毒性治療失敗、RAS原生型(wild-type)的轉移性直腸結腸癌的病人。需檢附All-RAS基因突變分析檢測報告，且需符合全民健康保險藥品給付規定之通則十二。 (115/2/1)</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(1)病人先前未曾接受過抗表皮生長因子受體(anti-EGFR)藥品治療。</w:t>
      </w:r>
    </w:p>
    <w:p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(2)本藥品須經事前審查核准後使用，每次申請之療程以9週為限，再次申請必須提出客觀證據(如：影像學)證實無惡化，才可繼續使用。</w:t>
      </w:r>
    </w:p>
    <w:p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(3)使用總療程以 18 週為上限。</w:t>
      </w:r>
    </w:p>
    <w:p w:rsidR="002203D3" w:rsidRDefault="002203D3" w:rsidP="002203D3">
      <w:pPr>
        <w:tabs>
          <w:tab w:val="left" w:pos="1418"/>
        </w:tabs>
        <w:snapToGrid w:val="0"/>
        <w:spacing w:line="400" w:lineRule="exact"/>
        <w:ind w:left="763" w:hanging="480"/>
      </w:pPr>
      <w:bookmarkStart w:id="14"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1.治療高風險非轉移性去勢抗性前列腺癌(high risk nmCRPC)的成年男性。(112/9/1)</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lastRenderedPageBreak/>
        <w:t>(2)初次申請時需檢附病理報告、使用雄性素去除療法紀錄，系列PSA和睪固酮數據，三個月內影像報告證明無遠端轉移。</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2.治療高風險轉移性的去勢敏感性前列腺癌(mCSPC)，且與雄性素去除療法併用，總療程以36個月為上限。高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3.治療藥物或手術去勢抗性的轉移性前列腺癌(mCRPC)，且在雄性素去除療法失敗後屬無症狀或輕度症狀(ECOG分數0或1)，未曾接受化學治療者：(106/9/1)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w:t>
      </w:r>
      <w:r>
        <w:rPr>
          <w:rFonts w:ascii="標楷體" w:eastAsia="標楷體" w:hAnsi="標楷體"/>
          <w:color w:val="000000"/>
          <w:szCs w:val="24"/>
        </w:rPr>
        <w:lastRenderedPageBreak/>
        <w:t>112/9/1）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4"/>
    </w:p>
    <w:p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15"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r w:rsidRPr="001A2DB7">
        <w:rPr>
          <w:rFonts w:ascii="標楷體" w:eastAsia="標楷體" w:hAnsi="標楷體"/>
          <w:color w:val="000000"/>
          <w:kern w:val="0"/>
          <w:szCs w:val="24"/>
        </w:rPr>
        <w:t>Jakavi)</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AML tranformation</w:t>
      </w:r>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w:t>
      </w:r>
      <w:r w:rsidRPr="001A2DB7">
        <w:rPr>
          <w:rFonts w:ascii="標楷體" w:eastAsia="標楷體" w:hAnsi="標楷體" w:hint="eastAsia"/>
          <w:color w:val="000000"/>
          <w:kern w:val="0"/>
          <w:szCs w:val="24"/>
        </w:rPr>
        <w:lastRenderedPageBreak/>
        <w:t>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(4)Jakavi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r w:rsidRPr="001A2DB7">
        <w:rPr>
          <w:rFonts w:ascii="標楷體" w:eastAsia="標楷體" w:hAnsi="標楷體"/>
        </w:rPr>
        <w:t>Jakavi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r w:rsidRPr="001A2DB7">
        <w:rPr>
          <w:rFonts w:ascii="標楷體" w:eastAsia="標楷體" w:hAnsi="標楷體"/>
        </w:rPr>
        <w:t>fedratinib</w:t>
      </w:r>
      <w:r w:rsidRPr="00EB5347">
        <w:rPr>
          <w:rFonts w:ascii="標楷體" w:eastAsia="標楷體" w:hAnsi="標楷體" w:hint="eastAsia"/>
        </w:rPr>
        <w:t>、</w:t>
      </w:r>
      <w:r w:rsidRPr="00EB5347">
        <w:rPr>
          <w:rFonts w:ascii="標楷體" w:eastAsia="標楷體" w:hAnsi="標楷體"/>
        </w:rPr>
        <w:t>momelotinib</w:t>
      </w:r>
      <w:r w:rsidRPr="00EB5347">
        <w:rPr>
          <w:rFonts w:ascii="標楷體" w:eastAsia="標楷體" w:hAnsi="標楷體" w:hint="eastAsia"/>
        </w:rPr>
        <w:t>用於中度風險或高風險之骨髓纖維化治療時，僅得擇一給付。f</w:t>
      </w:r>
      <w:r w:rsidRPr="00EB5347">
        <w:rPr>
          <w:rFonts w:ascii="標楷體" w:eastAsia="標楷體" w:hAnsi="標楷體"/>
        </w:rPr>
        <w:t>edratinib</w:t>
      </w:r>
      <w:r w:rsidRPr="00EB5347">
        <w:rPr>
          <w:rFonts w:ascii="標楷體" w:eastAsia="標楷體" w:hAnsi="標楷體" w:hint="eastAsia"/>
        </w:rPr>
        <w:t>、</w:t>
      </w:r>
      <w:r w:rsidRPr="00EB5347">
        <w:rPr>
          <w:rFonts w:ascii="標楷體" w:eastAsia="標楷體" w:hAnsi="標楷體"/>
        </w:rPr>
        <w:t>momelotinib</w:t>
      </w:r>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2.移植物抗宿主疾病，限用Jakavi 5mg，每日最多使用4 粒。(113/3/1)</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歲以上之青少年及成人，且先前曾接受皮質類固醇(corticosteroids)後反應不佳的第2級(含)以上急性移植物抗宿主疾病(acute graft-versus-host disease,GvHD)病人。</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ⅰ</w:t>
      </w:r>
      <w:r w:rsidRPr="001A2DB7">
        <w:rPr>
          <w:rFonts w:ascii="標楷體" w:eastAsia="標楷體" w:hAnsi="標楷體"/>
          <w:color w:val="000000"/>
          <w:szCs w:val="24"/>
        </w:rPr>
        <w:t>.≧1mg/kg/day methylprednisolone (or equivalent prednisone dose) 3天後，疾病仍持續進展。</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(2)用於治療12歲以上之青少年及成人，且先前曾接受皮質類固醇(corticosteroids)後反應不佳的慢性移植物抗宿主疾病(chronic graft-versus-host disease,GvHD)病人。</w:t>
      </w:r>
    </w:p>
    <w:p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w:t>
      </w:r>
      <w:r w:rsidRPr="001A2DB7">
        <w:rPr>
          <w:rFonts w:ascii="標楷體" w:eastAsia="標楷體" w:hAnsi="標楷體"/>
          <w:color w:val="000000"/>
          <w:szCs w:val="24"/>
        </w:rPr>
        <w:lastRenderedPageBreak/>
        <w:t>估，每3個月評估一次。用藥後，若有疾病持續進展，則不予同意使用。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15"/>
    </w:p>
    <w:p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Brentuximab vedotin(如Adcetris)：(105/10/1、106/4/1、109/2/1、111/2/1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分的CD30+第IV期何杰金氏淋巴瘤(HL)成人病人。（111/2/1）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(2)CD30+何杰金氏淋巴瘤(HL)病患接受ASCT後仍具有高復發風險之病患：需先前未曾使用過本品，並於ASCT前具有下列任一危險因子者：(109/2/1)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Ⅲ.ASCT前出現的復發具有淋巴結外侵犯。</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Ⅲ.前述(3)之病患：每次申請療程以4個療程為限，再申請應檢附前次治療結果評估資料。若病人病情已達完全緩解，得再給付4個療程;若病情惡化即須停</w:t>
      </w:r>
      <w:r>
        <w:rPr>
          <w:rFonts w:ascii="標楷體" w:eastAsia="標楷體" w:hAnsi="標楷體"/>
          <w:color w:val="000000"/>
        </w:rPr>
        <w:lastRenderedPageBreak/>
        <w:t>止使用。(106/4/1、109/2/1、111/2/1)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lymphoma；sALCL)：（111/2/1)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(1)與cyclophosphamide、doxorubicin和prednisone併用適用於先前未曾接受治療且為ALK陰性的全身性退行分化型大細胞淋巴瘤(systemic anaplastic large cell lymphoma；sALCL)成人病人。（111/2/1）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lymphoma；sALCL)。</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(MF，第ⅡB期或以上)、Sezary症候群(SS)或原發性皮膚退行分化型大細胞淋巴瘤（pcALCL），且CD30需於超過10%的腫瘤細胞呈現陽性。（111/2/1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9.57.Clofarabine（如Evoltra）：（106/1/1、109/12/1）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1.治療已接受過sunitinib或cytokine治療失敗的晚期腎細胞癌病患。</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rsidR="00B96EA0" w:rsidRDefault="007D66B8" w:rsidP="005142EB">
      <w:pPr>
        <w:tabs>
          <w:tab w:val="left" w:pos="1418"/>
        </w:tabs>
        <w:spacing w:line="400" w:lineRule="exact"/>
        <w:ind w:left="567" w:hanging="245"/>
      </w:pPr>
      <w:r>
        <w:rPr>
          <w:rFonts w:ascii="標楷體" w:eastAsia="標楷體" w:hAnsi="標楷體"/>
        </w:rPr>
        <w:t>9.59.Ceritinib(如Zykadia)：(106/9/1、106/11/1、108/7/1、108/12/1、111/2/1、111/8/1、112/11/1、113/6/1)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Ceritinib與crizotinib、alectinib、brigatinib、lorlatinib用於ALK陽性之晚期非小細胞肺癌第一線治療時，僅得擇一使用，除因病人使用後，發生嚴重不良反應或耐受不良之情形外，不得互換。(108/7/1、108/12/1、111/8/1、112/11/1)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9.60.Alectinib(如Alecensa)：(106/11/1、108/12/1、111/2/1、111/8/1、112/11/1、113/6/1)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Alectinib與ceritinib、crizotinib、brigatinib、lorlatinib用於ALK陽性之晚期非小細胞肺癌第一線治療時，僅得擇一使用，除因病人使用後，發生嚴重不良反應或耐受不良之情形外，不得互換。(108/12/1、111/8/1、112/11/1)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rsidR="004C3CC5" w:rsidRPr="004C3CC5" w:rsidRDefault="004C3CC5" w:rsidP="00DD360F">
      <w:pPr>
        <w:tabs>
          <w:tab w:val="left" w:pos="1418"/>
        </w:tabs>
        <w:spacing w:line="400" w:lineRule="exact"/>
        <w:ind w:left="709" w:hanging="339"/>
        <w:rPr>
          <w:rFonts w:ascii="標楷體" w:eastAsia="標楷體" w:hAnsi="標楷體"/>
          <w:color w:val="000000"/>
        </w:rPr>
      </w:pPr>
      <w:bookmarkStart w:id="16" w:name="_Hlk209189883"/>
      <w:r w:rsidRPr="004C3CC5">
        <w:rPr>
          <w:rFonts w:ascii="標楷體" w:eastAsia="標楷體" w:hAnsi="標楷體" w:hint="eastAsia"/>
          <w:color w:val="000000"/>
        </w:rPr>
        <w:lastRenderedPageBreak/>
        <w:t>9.61.Ibrutinib(如Imbruvica)：(106/11/1、108/9/1、111/1/1、112/7/1、112/12/1、113/2/1、114/10/1)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1. 單獨使用於先前接受過至少一種化學或標靶治療方式無效或復發的被套細胞淋巴瘤成年病人。（106/11/1、112/7/1、112/12/1)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 xml:space="preserve">(2) 若疾病進展，則必須停止使用。（106/11/1、112/7/1) </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(3)每位病人限給付20個月。(111/1/1)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(4)每日至多處方4粒。(108/9/1)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(5)zanubrutinib、ibrutinib和acalabrutinib僅能擇一使用，唯有在出現無法忍受其副作用時方可互換。三者使用總療程合併計算，以全部20個月為上限。（112/7/1、112/12/1）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2.單獨使用於具有17p 缺失的慢性淋巴球性白血病(CLL) 成年患者。(108/9/1、112/7/1、113/2/1、114/10/1)</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(1)開始使用前之疾病狀態需出現下列任一情形：</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w:t>
      </w:r>
      <w:r w:rsidRPr="004C3CC5">
        <w:rPr>
          <w:rFonts w:ascii="標楷體" w:eastAsia="標楷體" w:hAnsi="標楷體" w:hint="eastAsia"/>
          <w:color w:val="000000"/>
        </w:rPr>
        <w:tab/>
        <w:t>進行性的血液相惡化至Hb &lt; 10.0 gm/dL或PLT &lt; 100 K/uL，且無其他原因可以解釋。</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II.脾臟腫大超過左肋骨下緣6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III.淋巴結腫大，最長徑超過10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IV.周邊血液淋巴球在2個月內增加 50%以上，或倍增時間(doubling time)小於6個月。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w:t>
      </w:r>
      <w:r w:rsidRPr="004C3CC5">
        <w:rPr>
          <w:rFonts w:ascii="標楷體" w:eastAsia="標楷體" w:hAnsi="標楷體" w:hint="eastAsia"/>
          <w:color w:val="000000"/>
        </w:rPr>
        <w:tab/>
        <w:t>出現自體免疫併發症，且經類固醇治療無效。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VI.出現具症狀的淋巴結外病灶。</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(2)需經事前審查核准後使用，每3個月需再次申請。再次申請時需檢附療效評估資料，若未達iwCLL (International Workshop on CLL)最新定義之partial remission或complete remission，則不予給付。</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(3)在具有17p缺失病人，ibrutinib、acalabrutinib、venetoclax與zanubrutinib四者僅能擇一使用，唯有在出現無法忍受其副作用時方可互換。三者使用總療程合併計算，以全部24個月為上限。（108/9/1、112/7/1、114/10/1）</w:t>
      </w:r>
    </w:p>
    <w:p w:rsidR="00B96EA0"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(4)每日至多處方3粒。</w:t>
      </w:r>
      <w:bookmarkEnd w:id="16"/>
    </w:p>
    <w:p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Pomalidomide(如Pomalyst):(107/1/1、109/2/1、112/4/1、113/9/1)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1.與dexamethasone合併使用，核准用於多發性骨髓瘤病人，且先前接受過含lenalidomide和bortezomib在內的至少兩種療法，且確認完成前次治療時或結束治療後六十天內發生疾病惡化(disease progression)。</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2.限與elotuzumab及dexamethasone併用，治療之前曾接受過至少兩種療法（包括</w:t>
      </w:r>
      <w:r>
        <w:rPr>
          <w:rFonts w:ascii="標楷體" w:eastAsia="標楷體" w:hAnsi="標楷體"/>
          <w:color w:val="000000"/>
        </w:rPr>
        <w:lastRenderedPageBreak/>
        <w:t>lenalidomide和蛋白酶體抑制劑）的多發性骨髓瘤成年病人。（113/9/1）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(但若為plamacytoma 體積增加，或是新產生的bone lesion(s)或新plasmacytoma，則僅需1次評估)：（112/4/1）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.Urine M-protein需增加≧0.2 gm/24Hr，且需較前一線治療中的最低值增加≧25%。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4.每人終生以10個療程為上限，Pomado則每人以6個療程為上限。（107/1/1、112/4/1、113/9/1）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6.112年3月31日以前已核定用藥之病人，得經事前審查核准後，使用至總療程上限（即終生10個療程，Pomado則每人6個療程）或使用期間發生疾病惡化為止。（112/4/1、113/9/1）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Lenvatinib(如Lenvima)：(107/7/1、109/1/1、109/8/1、112/8/1、114/2/1、114/6/1)</w:t>
      </w:r>
      <w:r>
        <w:rPr>
          <w:rFonts w:ascii="標楷體" w:eastAsia="標楷體" w:hAnsi="標楷體"/>
          <w:color w:val="000000"/>
        </w:rPr>
        <w:br/>
      </w:r>
      <w:r>
        <w:rPr>
          <w:rFonts w:ascii="標楷體" w:eastAsia="標楷體" w:hAnsi="標楷體"/>
          <w:color w:val="000000"/>
        </w:rPr>
        <w:lastRenderedPageBreak/>
        <w:t>1.用於放射性碘治療無效之局部晚期或轉移性的進行性(progressive)分化型甲狀腺癌(RAI-RDTC)：</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I.肝外轉移（遠端轉移或肝外淋巴結侵犯）。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(3)Lenvatinib、sorafenib、atezolizumab併用bevacizumab、tremelimumab併用durvalumab僅得擇一給付，不得互換；且lenvatinib治療失敗後，不得申請使用regorafenib或ramucirumab。(109/1/1、109/8/1、112/8/1、114/2/1)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9.64.Blinatumomab(如Blincyto)：(107/9/1、109/12/1、112/12/1)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灶，且計畫進行造血幹細胞移植，需附上至少三次微量殘留病灶檢驗報告。</w:t>
      </w:r>
    </w:p>
    <w:p w:rsidR="00B96EA0" w:rsidRDefault="007D66B8" w:rsidP="005142EB">
      <w:pPr>
        <w:spacing w:line="400" w:lineRule="exact"/>
        <w:ind w:left="1337" w:hanging="377"/>
      </w:pPr>
      <w:r>
        <w:rPr>
          <w:rFonts w:ascii="標楷體" w:eastAsia="標楷體" w:hAnsi="標楷體"/>
          <w:szCs w:val="24"/>
        </w:rPr>
        <w:t>II.第一線治療無效，經第二線治療達到第一次完全緩解之成人病人，但仍有大於或等於0.1%微量殘留病灶，且計劃進行造血幹細胞移植。需附上一次治療無效(骨髓或周邊血芽細胞大於5%)之檢驗報告，及一次經化學治療後微量殘留病灶</w:t>
      </w:r>
      <w:r>
        <w:rPr>
          <w:rFonts w:ascii="標楷體" w:eastAsia="標楷體" w:hAnsi="標楷體"/>
          <w:szCs w:val="24"/>
        </w:rPr>
        <w:lastRenderedPageBreak/>
        <w:t>檢驗報告。</w:t>
      </w:r>
    </w:p>
    <w:p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(4)不得與酪胺酸激酶抑制劑(TKI)（如imatinib、dasatinib、nilotinib、ponatinib）等併用。</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(5)若使用blinatumomab後，MRD若未消失但疾病仍在完全緩解時，不得申請給付inotuzumab ozogamicin。</w:t>
      </w:r>
    </w:p>
    <w:p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9.65.Pralatrexate(如Folotyn)：(107/10/1、110/5/1)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rsidR="00B96EA0" w:rsidRDefault="00B815D8" w:rsidP="005142EB">
      <w:pPr>
        <w:tabs>
          <w:tab w:val="left" w:pos="1418"/>
        </w:tabs>
        <w:spacing w:line="400" w:lineRule="exact"/>
        <w:ind w:left="709" w:hanging="388"/>
        <w:rPr>
          <w:rFonts w:ascii="標楷體" w:eastAsia="標楷體" w:hAnsi="標楷體"/>
          <w:color w:val="000000"/>
        </w:rPr>
      </w:pPr>
      <w:r w:rsidRPr="00B815D8">
        <w:rPr>
          <w:rFonts w:ascii="標楷體" w:eastAsia="標楷體" w:hAnsi="標楷體" w:hint="eastAsia"/>
          <w:color w:val="000000"/>
        </w:rPr>
        <w:t>9.66.Trifluridine/tipiracil(如Lonsurf)：(107/12/1、109/12/1、110/6/1、113/6/1、115/2/1)</w:t>
      </w:r>
    </w:p>
    <w:p w:rsidR="00B815D8" w:rsidRPr="00B815D8" w:rsidRDefault="007D66B8" w:rsidP="00B815D8">
      <w:pPr>
        <w:tabs>
          <w:tab w:val="left" w:pos="1418"/>
        </w:tabs>
        <w:spacing w:line="400" w:lineRule="exact"/>
        <w:ind w:left="993" w:hanging="388"/>
        <w:rPr>
          <w:rFonts w:ascii="標楷體" w:eastAsia="標楷體" w:hAnsi="標楷體"/>
          <w:color w:val="000000"/>
        </w:rPr>
      </w:pPr>
      <w:r>
        <w:rPr>
          <w:rFonts w:ascii="標楷體" w:eastAsia="標楷體" w:hAnsi="標楷體"/>
          <w:color w:val="000000"/>
        </w:rPr>
        <w:t>1.</w:t>
      </w:r>
      <w:r w:rsidR="00B815D8" w:rsidRPr="00B815D8">
        <w:rPr>
          <w:rFonts w:ascii="標楷體" w:eastAsia="標楷體" w:hAnsi="標楷體"/>
          <w:kern w:val="2"/>
          <w:szCs w:val="24"/>
        </w:rPr>
        <w:t xml:space="preserve"> </w:t>
      </w:r>
      <w:r w:rsidR="00B815D8" w:rsidRPr="00B815D8">
        <w:rPr>
          <w:rFonts w:ascii="標楷體" w:eastAsia="標楷體" w:hAnsi="標楷體"/>
          <w:color w:val="000000"/>
        </w:rPr>
        <w:t>轉移性大腸直腸癌：(107/12/1、109/12/1、110/6/1、113/6/1、115/2/1)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(1)用於治療先前曾接受下列療法的轉移性大腸直腸癌之成人病人，包括fluoropyrimidine,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(2)本藥品不得與regorafenib併用。</w:t>
      </w:r>
    </w:p>
    <w:p w:rsidR="00B815D8" w:rsidRPr="00B815D8"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color w:val="000000"/>
        </w:rPr>
        <w:t>2.轉移性胃癌：(109/12/1、115/2/1)：用於治療先前曾接受兩種(含)以上治療（包括含fluoropyrimidine–、platinum–、taxane–或 irinotecan為基礎的化學療法，以及HER2/neu標靶治療[如果適合]）的轉移性胃腺癌或胃食道接合處腺癌病人。</w:t>
      </w:r>
    </w:p>
    <w:p w:rsidR="00B96EA0" w:rsidRDefault="00B815D8" w:rsidP="00B815D8">
      <w:pPr>
        <w:tabs>
          <w:tab w:val="left" w:pos="1418"/>
        </w:tabs>
        <w:spacing w:line="400" w:lineRule="exact"/>
        <w:ind w:left="993" w:hanging="388"/>
        <w:rPr>
          <w:rFonts w:ascii="標楷體" w:eastAsia="標楷體" w:hAnsi="標楷體"/>
          <w:color w:val="000000"/>
        </w:rPr>
      </w:pPr>
      <w:r w:rsidRPr="00B815D8">
        <w:rPr>
          <w:rFonts w:ascii="標楷體" w:eastAsia="標楷體" w:hAnsi="標楷體" w:hint="eastAsia"/>
          <w:color w:val="000000"/>
        </w:rPr>
        <w:t>3.</w:t>
      </w:r>
      <w:r w:rsidRPr="00B815D8">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9.67.Ponatinib(如Iclusig)：(107/12/1、113/6/1</w:t>
      </w:r>
      <w:r>
        <w:rPr>
          <w:rFonts w:ascii="標楷體" w:eastAsia="標楷體" w:hAnsi="標楷體" w:hint="eastAsia"/>
          <w:color w:val="000000"/>
        </w:rPr>
        <w:t>、115/2/1</w:t>
      </w:r>
      <w:r>
        <w:rPr>
          <w:rFonts w:ascii="標楷體" w:eastAsia="標楷體" w:hAnsi="標楷體"/>
          <w:color w:val="000000"/>
        </w:rPr>
        <w:t>)</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1.用於費城染色體陽性或BCR-ABL融合基因陽性之慢性骨髓性白血病(CML)或急性淋巴性白血病(ALL)成人患者，且符合下列條件之一：</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r>
        <w:rPr>
          <w:rFonts w:ascii="標楷體" w:eastAsia="標楷體" w:hAnsi="標楷體"/>
          <w:color w:val="000000"/>
        </w:rPr>
        <w:t>dasatinib</w:t>
      </w:r>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17" w:name="_Hlk219965782"/>
      <w:bookmarkStart w:id="18" w:name="_GoBack"/>
      <w:r w:rsidR="001D5020" w:rsidRPr="001D5020">
        <w:rPr>
          <w:rFonts w:ascii="標楷體" w:eastAsia="標楷體" w:hAnsi="標楷體" w:hint="eastAsia"/>
          <w:color w:val="000000"/>
        </w:rPr>
        <w:t>(107/12/1、115/2/1)</w:t>
      </w:r>
      <w:bookmarkEnd w:id="17"/>
      <w:bookmarkEnd w:id="18"/>
    </w:p>
    <w:p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(3).急性淋巴性白血病(ALL)患者，先前曾使用imatinib與dasatinib兩種藥物治療均失敗或無法耐受。</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7D66B8" w:rsidP="005142EB">
      <w:pPr>
        <w:tabs>
          <w:tab w:val="left" w:pos="1418"/>
        </w:tabs>
        <w:spacing w:line="400" w:lineRule="exact"/>
        <w:ind w:left="895" w:hanging="612"/>
      </w:pPr>
      <w:r>
        <w:rPr>
          <w:rFonts w:ascii="標楷體" w:eastAsia="標楷體" w:hAnsi="標楷體"/>
          <w:color w:val="000000"/>
        </w:rPr>
        <w:t>9.68.Radium-223(如Xofigo)</w:t>
      </w:r>
      <w:r>
        <w:rPr>
          <w:rFonts w:ascii="新細明體" w:hAnsi="新細明體"/>
          <w:color w:val="000000"/>
        </w:rPr>
        <w:t>：</w:t>
      </w:r>
      <w:r>
        <w:rPr>
          <w:rFonts w:ascii="標楷體" w:eastAsia="標楷體" w:hAnsi="標楷體"/>
          <w:color w:val="000000"/>
        </w:rPr>
        <w:t>(108/3/1)</w:t>
      </w:r>
    </w:p>
    <w:p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患者須合併有症狀之骨轉移且骨轉移≧2處</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rsidR="002465F4" w:rsidRPr="0014655B" w:rsidRDefault="00D927FE" w:rsidP="002465F4">
      <w:pPr>
        <w:tabs>
          <w:tab w:val="left" w:pos="1418"/>
        </w:tabs>
        <w:spacing w:line="400" w:lineRule="exact"/>
        <w:ind w:left="895" w:hanging="612"/>
        <w:rPr>
          <w:rFonts w:ascii="標楷體" w:eastAsia="標楷體" w:hAnsi="標楷體"/>
        </w:rPr>
      </w:pPr>
      <w:bookmarkStart w:id="19" w:name="_Hlk209192581"/>
      <w:r w:rsidRPr="008523E4">
        <w:rPr>
          <w:rFonts w:ascii="標楷體" w:eastAsia="標楷體" w:hAnsi="標楷體"/>
          <w:color w:val="000000"/>
        </w:rPr>
        <w:t>9.69.免疫檢查點抑制劑(如atezolizumab；nivolumab；pembrolizumab；avelumab</w:t>
      </w:r>
      <w:r w:rsidRPr="008523E4">
        <w:rPr>
          <w:rFonts w:ascii="標楷體" w:eastAsia="標楷體" w:hAnsi="標楷體" w:cs="標楷體.鬁..."/>
          <w:color w:val="000000"/>
          <w:kern w:val="0"/>
          <w:szCs w:val="24"/>
        </w:rPr>
        <w:t>；ipilimumab</w:t>
      </w:r>
      <w:r w:rsidRPr="008523E4">
        <w:rPr>
          <w:rFonts w:ascii="標楷體" w:eastAsia="標楷體" w:hAnsi="標楷體"/>
          <w:color w:val="000000"/>
        </w:rPr>
        <w:t>；durvalumab；tremelimumab製劑)：(108/4/1、108/6/1、109/4/1、109/6/1、109/11/1、110/5/1、110/10/1、111/4/1、111/6/1、112/8/1、112/10/1</w:t>
      </w:r>
      <w:r w:rsidRPr="008523E4">
        <w:rPr>
          <w:rFonts w:ascii="標楷體" w:eastAsia="標楷體" w:hAnsi="標楷體"/>
          <w:szCs w:val="24"/>
        </w:rPr>
        <w:t>、112/12/1、113/2/1、113/4/</w:t>
      </w:r>
      <w:r w:rsidRPr="008523E4">
        <w:rPr>
          <w:rFonts w:ascii="標楷體" w:eastAsia="標楷體" w:hAnsi="標楷體"/>
          <w:color w:val="000000"/>
        </w:rPr>
        <w:t>1、113/5/1、113/6/1、113/8/1、114/1/1、114/2/1、114/6/1、114/8/1</w:t>
      </w:r>
      <w:r w:rsidRPr="008523E4">
        <w:rPr>
          <w:rFonts w:ascii="標楷體" w:eastAsia="標楷體" w:hAnsi="標楷體" w:hint="eastAsia"/>
          <w:color w:val="000000"/>
        </w:rPr>
        <w:t>、114/10/1</w:t>
      </w:r>
      <w:r w:rsidRPr="00D927FE">
        <w:rPr>
          <w:rFonts w:ascii="標楷體" w:eastAsia="標楷體" w:hAnsi="標楷體" w:hint="eastAsia"/>
        </w:rPr>
        <w:t>、115/2/1</w:t>
      </w:r>
      <w:r w:rsidRPr="008523E4">
        <w:rPr>
          <w:rFonts w:ascii="標楷體" w:eastAsia="標楷體" w:hAnsi="標楷體"/>
          <w:color w:val="000000"/>
        </w:rPr>
        <w:t>)</w:t>
      </w:r>
    </w:p>
    <w:bookmarkEnd w:id="19"/>
    <w:p w:rsidR="00D927FE" w:rsidRPr="0014655B" w:rsidRDefault="00D927FE" w:rsidP="00D927FE">
      <w:pPr>
        <w:tabs>
          <w:tab w:val="left" w:pos="945"/>
        </w:tabs>
        <w:spacing w:line="400" w:lineRule="exact"/>
        <w:ind w:leftChars="236" w:left="849" w:hangingChars="118" w:hanging="283"/>
        <w:rPr>
          <w:rFonts w:ascii="標楷體" w:eastAsia="標楷體" w:hAnsi="標楷體"/>
          <w:color w:val="000000"/>
        </w:rPr>
      </w:pPr>
      <w:r w:rsidRPr="0014655B">
        <w:rPr>
          <w:rFonts w:ascii="標楷體" w:eastAsia="標楷體" w:hAnsi="標楷體"/>
          <w:color w:val="000000"/>
        </w:rPr>
        <w:t>1.本類藥品得於藥品許可證登載之適應症及藥品仿單內，單獨使用於下列患者：</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(1)黑色素瘤：腫瘤無法切除或轉移之第三期或第四期黑色素瘤病人，先前曾接受過至少一次全身性治療失敗者。</w:t>
      </w:r>
    </w:p>
    <w:p w:rsidR="00D927FE" w:rsidRPr="0014655B" w:rsidRDefault="00D927FE" w:rsidP="00D927FE">
      <w:pPr>
        <w:spacing w:line="400" w:lineRule="exact"/>
        <w:ind w:left="1134" w:hanging="386"/>
        <w:rPr>
          <w:rFonts w:ascii="標楷體" w:eastAsia="標楷體" w:hAnsi="標楷體"/>
          <w:szCs w:val="24"/>
        </w:rPr>
      </w:pPr>
      <w:r w:rsidRPr="0014655B">
        <w:rPr>
          <w:rFonts w:ascii="標楷體" w:eastAsia="標楷體" w:hAnsi="標楷體"/>
          <w:color w:val="000000"/>
        </w:rPr>
        <w:t>(2)非小細胞肺癌：(109/4/1、109</w:t>
      </w:r>
      <w:r w:rsidRPr="0014655B">
        <w:rPr>
          <w:rFonts w:ascii="標楷體" w:eastAsia="標楷體" w:hAnsi="標楷體"/>
          <w:szCs w:val="24"/>
        </w:rPr>
        <w:t>/11/1、114/6/1、114/8/1)</w:t>
      </w:r>
    </w:p>
    <w:p w:rsidR="00D927FE" w:rsidRPr="0014655B" w:rsidRDefault="00D927FE" w:rsidP="00167FEB">
      <w:pPr>
        <w:numPr>
          <w:ilvl w:val="2"/>
          <w:numId w:val="12"/>
        </w:numPr>
        <w:suppressAutoHyphens w:val="0"/>
        <w:spacing w:line="400" w:lineRule="exact"/>
        <w:ind w:left="1560" w:hanging="284"/>
        <w:jc w:val="both"/>
        <w:textAlignment w:val="auto"/>
        <w:rPr>
          <w:rFonts w:ascii="標楷體" w:eastAsia="標楷體" w:hAnsi="標楷體"/>
          <w:szCs w:val="24"/>
        </w:rPr>
      </w:pPr>
      <w:bookmarkStart w:id="20" w:name="_Hlk196237903"/>
      <w:bookmarkStart w:id="21" w:name="_Hlk196827702"/>
      <w:r w:rsidRPr="0014655B">
        <w:rPr>
          <w:rFonts w:ascii="標楷體" w:eastAsia="標楷體" w:hAnsi="標楷體"/>
          <w:szCs w:val="24"/>
        </w:rPr>
        <w:t>鞏固治療：限durvalumab用於第三期局部晚期</w:t>
      </w:r>
      <w:bookmarkEnd w:id="20"/>
      <w:r w:rsidRPr="0014655B">
        <w:rPr>
          <w:rFonts w:ascii="標楷體" w:eastAsia="標楷體" w:hAnsi="標楷體"/>
          <w:szCs w:val="24"/>
        </w:rPr>
        <w:t xml:space="preserve">、無法手術切除且腫瘤表現PD-L1 </w:t>
      </w:r>
      <w:r w:rsidRPr="0014655B">
        <w:rPr>
          <w:rFonts w:ascii="Times New Roman" w:eastAsia="標楷體" w:hAnsi="Times New Roman"/>
          <w:szCs w:val="24"/>
        </w:rPr>
        <w:t>≥</w:t>
      </w:r>
      <w:r w:rsidRPr="0014655B">
        <w:rPr>
          <w:rFonts w:ascii="標楷體" w:eastAsia="標楷體" w:hAnsi="標楷體"/>
          <w:szCs w:val="24"/>
        </w:rPr>
        <w:t xml:space="preserve"> 1%之非小細胞肺癌成人病人，非鱗狀癌者需為EGFR/ALK/ROS-1腫瘤</w:t>
      </w:r>
      <w:r w:rsidRPr="0014655B">
        <w:rPr>
          <w:rFonts w:ascii="標楷體" w:eastAsia="標楷體" w:hAnsi="標楷體"/>
          <w:szCs w:val="24"/>
        </w:rPr>
        <w:lastRenderedPageBreak/>
        <w:t>基因原生型、鱗狀癌者需為EGFR/ALK腫瘤基因原生型，病人須於接受根治性同步放射治療合併至少2個週期含鉑化療後無惡化(無PD)，且至多使用12個月。(114/8/1</w:t>
      </w:r>
      <w:r w:rsidRPr="0014655B">
        <w:rPr>
          <w:rFonts w:ascii="標楷體" w:eastAsia="標楷體" w:hAnsi="標楷體" w:hint="eastAsia"/>
          <w:szCs w:val="24"/>
        </w:rPr>
        <w:t>)</w:t>
      </w:r>
    </w:p>
    <w:p w:rsidR="00D927FE" w:rsidRDefault="00D927FE" w:rsidP="00167FEB">
      <w:pPr>
        <w:numPr>
          <w:ilvl w:val="2"/>
          <w:numId w:val="12"/>
        </w:numPr>
        <w:suppressAutoHyphens w:val="0"/>
        <w:spacing w:line="400" w:lineRule="exact"/>
        <w:ind w:left="1560" w:hanging="426"/>
        <w:jc w:val="both"/>
        <w:textAlignment w:val="auto"/>
        <w:rPr>
          <w:rFonts w:ascii="標楷體" w:eastAsia="標楷體" w:hAnsi="標楷體"/>
          <w:szCs w:val="24"/>
        </w:rPr>
      </w:pPr>
      <w:r w:rsidRPr="0014655B">
        <w:rPr>
          <w:rFonts w:ascii="標楷體" w:eastAsia="標楷體" w:hAnsi="標楷體"/>
          <w:szCs w:val="24"/>
        </w:rPr>
        <w:t>非小細胞肺癌第一線用藥：</w:t>
      </w:r>
      <w:bookmarkEnd w:id="21"/>
      <w:r w:rsidRPr="0014655B">
        <w:rPr>
          <w:rFonts w:ascii="標楷體" w:eastAsia="標楷體" w:hAnsi="標楷體"/>
          <w:szCs w:val="24"/>
        </w:rPr>
        <w:t>轉移性非小細胞肺癌成人病人，非鱗狀癌者需為EGFR/ALK/ROS-1腫瘤基因原生型、鱗狀癌者需為EGFR/ALK腫瘤基因原生型。</w:t>
      </w:r>
      <w:bookmarkStart w:id="22" w:name="_Hlk196827708"/>
      <w:r w:rsidRPr="0014655B">
        <w:rPr>
          <w:rFonts w:ascii="標楷體" w:eastAsia="標楷體" w:hAnsi="標楷體" w:hint="eastAsia"/>
          <w:szCs w:val="24"/>
        </w:rPr>
        <w:t>(</w:t>
      </w:r>
      <w:r w:rsidRPr="0014655B">
        <w:rPr>
          <w:rFonts w:ascii="標楷體" w:eastAsia="標楷體" w:hAnsi="標楷體"/>
          <w:szCs w:val="24"/>
        </w:rPr>
        <w:t>114/6/1</w:t>
      </w:r>
      <w:r w:rsidRPr="0014655B">
        <w:rPr>
          <w:rFonts w:ascii="標楷體" w:eastAsia="標楷體" w:hAnsi="標楷體" w:hint="eastAsia"/>
          <w:szCs w:val="24"/>
        </w:rPr>
        <w:t>)</w:t>
      </w:r>
    </w:p>
    <w:p w:rsidR="00D927FE" w:rsidRPr="003C5F9F" w:rsidRDefault="00D927FE" w:rsidP="00167FEB">
      <w:pPr>
        <w:numPr>
          <w:ilvl w:val="2"/>
          <w:numId w:val="12"/>
        </w:numPr>
        <w:suppressAutoHyphens w:val="0"/>
        <w:spacing w:line="400" w:lineRule="exact"/>
        <w:ind w:left="1560" w:hanging="567"/>
        <w:jc w:val="both"/>
        <w:textAlignment w:val="auto"/>
        <w:rPr>
          <w:rFonts w:ascii="標楷體" w:eastAsia="標楷體" w:hAnsi="標楷體"/>
          <w:szCs w:val="24"/>
        </w:rPr>
      </w:pPr>
      <w:r w:rsidRPr="003C5F9F">
        <w:rPr>
          <w:rFonts w:ascii="標楷體" w:eastAsia="標楷體" w:hAnsi="標楷體"/>
          <w:szCs w:val="24"/>
        </w:rPr>
        <w:t>鱗狀非小細胞肺癌第二線用藥：</w:t>
      </w:r>
      <w:bookmarkEnd w:id="22"/>
      <w:r w:rsidRPr="003C5F9F">
        <w:rPr>
          <w:rFonts w:ascii="標楷體" w:eastAsia="標楷體" w:hAnsi="標楷體"/>
          <w:szCs w:val="24"/>
        </w:rPr>
        <w:t>先前已使用過platinum類化學治療失敗後，又有疾病惡化，且EGFR/ALK腫瘤基因為原生型之晚期鱗狀非小細胞肺癌成人病人。</w:t>
      </w:r>
      <w:bookmarkStart w:id="23" w:name="_Hlk196827713"/>
    </w:p>
    <w:p w:rsidR="00D927FE" w:rsidRPr="0014655B" w:rsidRDefault="00D927FE" w:rsidP="00167FEB">
      <w:pPr>
        <w:numPr>
          <w:ilvl w:val="2"/>
          <w:numId w:val="12"/>
        </w:numPr>
        <w:suppressAutoHyphens w:val="0"/>
        <w:spacing w:line="400" w:lineRule="exact"/>
        <w:ind w:left="1560" w:hanging="426"/>
        <w:jc w:val="both"/>
        <w:textAlignment w:val="auto"/>
        <w:rPr>
          <w:rFonts w:ascii="標楷體" w:eastAsia="標楷體" w:hAnsi="標楷體"/>
          <w:kern w:val="0"/>
          <w:szCs w:val="24"/>
        </w:rPr>
      </w:pPr>
      <w:r w:rsidRPr="0014655B">
        <w:rPr>
          <w:rFonts w:ascii="標楷體" w:eastAsia="標楷體" w:hAnsi="標楷體"/>
          <w:kern w:val="0"/>
          <w:szCs w:val="24"/>
        </w:rPr>
        <w:t>肺腺癌第三線用藥：</w:t>
      </w:r>
      <w:bookmarkEnd w:id="23"/>
      <w:r w:rsidRPr="0014655B">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(3)典型何杰金氏淋巴瘤：先前已接受自體造血幹細胞移植(HSCT)與移植後brentuximab vedotin (BV)治療，但又復發或惡化的典型何杰金氏淋巴瘤成人患者。</w:t>
      </w:r>
    </w:p>
    <w:p w:rsidR="00D927FE" w:rsidRPr="0014655B" w:rsidRDefault="00D927FE" w:rsidP="00D927FE">
      <w:pPr>
        <w:spacing w:line="400" w:lineRule="exact"/>
        <w:ind w:left="1134" w:hanging="386"/>
        <w:rPr>
          <w:rFonts w:ascii="標楷體" w:eastAsia="標楷體" w:hAnsi="標楷體"/>
          <w:color w:val="000000"/>
        </w:rPr>
      </w:pPr>
      <w:r w:rsidRPr="0014655B">
        <w:rPr>
          <w:rFonts w:ascii="標楷體" w:eastAsia="標楷體" w:hAnsi="標楷體"/>
          <w:color w:val="000000"/>
        </w:rPr>
        <w:t>(4)泌尿道上皮癌：使用含atezolizumab藥品成分須於113年8月1日前審核同意用藥。(109/11/1、112/10/1、113/8/1)</w:t>
      </w:r>
    </w:p>
    <w:p w:rsidR="00D927FE" w:rsidRPr="0014655B" w:rsidRDefault="00D927FE" w:rsidP="00D927FE">
      <w:pPr>
        <w:spacing w:line="400" w:lineRule="exact"/>
        <w:ind w:left="1558" w:hanging="245"/>
        <w:rPr>
          <w:rFonts w:ascii="標楷體" w:eastAsia="標楷體" w:hAnsi="標楷體"/>
          <w:color w:val="000000"/>
        </w:rPr>
      </w:pPr>
      <w:r w:rsidRPr="0014655B">
        <w:rPr>
          <w:rFonts w:ascii="標楷體" w:eastAsia="標楷體" w:hAnsi="標楷體"/>
          <w:color w:val="000000"/>
        </w:rPr>
        <w:t>I.不適合接受化學治療之轉移性泌尿道上皮癌成人患者，且需符合下列條件之一：</w:t>
      </w:r>
    </w:p>
    <w:p w:rsidR="00D927FE" w:rsidRPr="0014655B" w:rsidRDefault="00D927FE" w:rsidP="00D927FE">
      <w:pPr>
        <w:tabs>
          <w:tab w:val="left" w:pos="1185"/>
        </w:tabs>
        <w:spacing w:line="400" w:lineRule="exact"/>
        <w:ind w:left="1843" w:hanging="259"/>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D927FE" w:rsidRPr="0014655B" w:rsidRDefault="00D927FE" w:rsidP="00D927FE">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ii.CTCAE v4.0 grade≧2 peripheral neuropathy</w:t>
      </w:r>
    </w:p>
    <w:p w:rsidR="00D927FE" w:rsidRPr="0014655B" w:rsidRDefault="00D927FE" w:rsidP="00D927FE">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iii.CIRS(the cumulative illness rating scale) score &gt;6</w:t>
      </w:r>
    </w:p>
    <w:p w:rsidR="00D927FE" w:rsidRPr="0014655B" w:rsidRDefault="00D927FE" w:rsidP="00D927FE">
      <w:pPr>
        <w:tabs>
          <w:tab w:val="left" w:pos="1185"/>
        </w:tabs>
        <w:spacing w:line="400" w:lineRule="exact"/>
        <w:ind w:left="1685" w:hanging="409"/>
        <w:rPr>
          <w:rFonts w:ascii="標楷體" w:eastAsia="標楷體" w:hAnsi="標楷體"/>
          <w:color w:val="000000"/>
        </w:rPr>
      </w:pPr>
      <w:r w:rsidRPr="0014655B">
        <w:rPr>
          <w:rFonts w:ascii="標楷體" w:eastAsia="標楷體" w:hAnsi="標楷體"/>
          <w:color w:val="000000"/>
        </w:rPr>
        <w:t>II.</w:t>
      </w:r>
      <w:r w:rsidRPr="0014655B">
        <w:rPr>
          <w:rFonts w:ascii="標楷體" w:eastAsia="標楷體" w:hAnsi="標楷體"/>
          <w:color w:val="000000"/>
        </w:rPr>
        <w:tab/>
        <w:t>先前已使用過platinum類化學治療失敗後疾病惡化的局部晚期無法切除或轉移性泌尿道上皮癌成人患者。</w:t>
      </w:r>
    </w:p>
    <w:p w:rsidR="00D927FE" w:rsidRPr="0014655B" w:rsidRDefault="00D927FE" w:rsidP="00D927FE">
      <w:pPr>
        <w:tabs>
          <w:tab w:val="left" w:pos="1185"/>
        </w:tabs>
        <w:spacing w:line="400" w:lineRule="exact"/>
        <w:ind w:left="1712" w:hanging="409"/>
        <w:rPr>
          <w:rFonts w:ascii="標楷體" w:eastAsia="標楷體" w:hAnsi="標楷體"/>
        </w:rPr>
      </w:pPr>
      <w:r w:rsidRPr="0014655B">
        <w:rPr>
          <w:rFonts w:ascii="標楷體" w:eastAsia="標楷體" w:hAnsi="標楷體"/>
          <w:color w:val="000000"/>
        </w:rPr>
        <w:t>III.</w:t>
      </w:r>
      <w:r w:rsidRPr="0014655B">
        <w:rPr>
          <w:rFonts w:ascii="標楷體" w:eastAsia="標楷體" w:hAnsi="標楷體"/>
          <w:szCs w:val="24"/>
        </w:rPr>
        <w:t>限avelumab用於接受第一線含鉑化學治療4至6個療程後，疾病未惡化，</w:t>
      </w:r>
      <w:r w:rsidRPr="0014655B">
        <w:rPr>
          <w:rFonts w:ascii="標楷體" w:eastAsia="標楷體" w:hAnsi="標楷體"/>
          <w:color w:val="000000"/>
          <w:szCs w:val="24"/>
        </w:rPr>
        <w:t>且達部分緩解（PR）或疾病呈穩定狀態者(SD)</w:t>
      </w:r>
      <w:r w:rsidRPr="0014655B">
        <w:rPr>
          <w:rFonts w:ascii="標楷體" w:eastAsia="標楷體" w:hAnsi="標楷體"/>
          <w:szCs w:val="24"/>
        </w:rPr>
        <w:t>之無法手術切除局部晚期(stage Ⅲ)或轉移性泌尿上皮癌(stage Ⅳ)成人患者之維持療法。(112/10/1）</w:t>
      </w:r>
    </w:p>
    <w:p w:rsidR="00D927FE" w:rsidRPr="0014655B"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szCs w:val="24"/>
          <w:lang w:val="zh-TW" w:bidi="zh-TW"/>
        </w:rPr>
        <w:t>(5)頭頸部鱗狀細胞癌(不含鼻咽癌)：(108/4/1、109/11/1、112/12/1</w:t>
      </w:r>
      <w:r w:rsidRPr="00D927FE">
        <w:rPr>
          <w:rFonts w:ascii="標楷體" w:eastAsia="標楷體" w:hAnsi="標楷體" w:hint="eastAsia"/>
          <w:szCs w:val="24"/>
          <w:lang w:val="zh-TW" w:bidi="zh-TW"/>
        </w:rPr>
        <w:t>、115/2/1</w:t>
      </w:r>
      <w:r w:rsidRPr="0014655B">
        <w:rPr>
          <w:rFonts w:ascii="標楷體" w:eastAsia="標楷體" w:hAnsi="標楷體"/>
          <w:szCs w:val="24"/>
          <w:lang w:val="zh-TW" w:bidi="zh-TW"/>
        </w:rPr>
        <w:t>)</w:t>
      </w:r>
    </w:p>
    <w:p w:rsidR="00D927FE" w:rsidRPr="0014655B" w:rsidRDefault="00D927FE" w:rsidP="00D927FE">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I.先前未曾接受全身性治療</w:t>
      </w:r>
      <w:r w:rsidRPr="0014655B">
        <w:rPr>
          <w:rFonts w:ascii="標楷體" w:eastAsia="標楷體" w:hAnsi="標楷體"/>
          <w:szCs w:val="24"/>
          <w:lang w:bidi="zh-TW"/>
        </w:rPr>
        <w:t>且無法手術切除之復發性或</w:t>
      </w:r>
      <w:r w:rsidRPr="0014655B">
        <w:rPr>
          <w:rFonts w:ascii="標楷體" w:eastAsia="標楷體" w:hAnsi="標楷體"/>
          <w:szCs w:val="24"/>
          <w:lang w:val="zh-TW" w:bidi="zh-TW"/>
        </w:rPr>
        <w:t>轉移性(第三期或第四期)頭頸部鱗狀細胞癌成人患者。（112/12/1)</w:t>
      </w:r>
    </w:p>
    <w:p w:rsidR="00D927FE" w:rsidRPr="0014655B" w:rsidRDefault="00D927FE" w:rsidP="00D927FE">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II.先前已使用過platinum類化學治療失敗後，又有疾病惡化的復發</w:t>
      </w:r>
      <w:r w:rsidRPr="0014655B">
        <w:rPr>
          <w:rFonts w:ascii="標楷體" w:eastAsia="標楷體" w:hAnsi="標楷體"/>
          <w:szCs w:val="24"/>
          <w:lang w:bidi="zh-TW"/>
        </w:rPr>
        <w:t>性或</w:t>
      </w:r>
      <w:r w:rsidRPr="0014655B">
        <w:rPr>
          <w:rFonts w:ascii="標楷體" w:eastAsia="標楷體" w:hAnsi="標楷體"/>
          <w:szCs w:val="24"/>
          <w:lang w:val="zh-TW" w:bidi="zh-TW"/>
        </w:rPr>
        <w:t>轉移性(第三期或第四期)頭頸部鱗狀細胞癌成人患者。(108/4/1、109/11/1、112/12/1）</w:t>
      </w:r>
    </w:p>
    <w:p w:rsidR="00D927FE" w:rsidRPr="00B366AA"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 xml:space="preserve"> (6)轉移</w:t>
      </w:r>
      <w:r w:rsidRPr="00B366AA">
        <w:rPr>
          <w:rFonts w:ascii="標楷體" w:eastAsia="標楷體" w:hAnsi="標楷體"/>
          <w:szCs w:val="24"/>
          <w:lang w:val="zh-TW" w:bidi="zh-TW"/>
        </w:rPr>
        <w:t>性胃癌：先前已使用過二線(含)以上化學治療均失敗，又有疾病惡化的轉移性胃腺癌成人患者，且於109年4月1日前經審核同意用藥，後續評估符合續用申</w:t>
      </w:r>
      <w:r w:rsidRPr="00B366AA">
        <w:rPr>
          <w:rFonts w:ascii="標楷體" w:eastAsia="標楷體" w:hAnsi="標楷體"/>
          <w:szCs w:val="24"/>
          <w:lang w:val="zh-TW" w:bidi="zh-TW"/>
        </w:rPr>
        <w:lastRenderedPageBreak/>
        <w:t>請條件者。(109/4/1)</w:t>
      </w:r>
    </w:p>
    <w:p w:rsidR="00D927FE" w:rsidRPr="00B366AA" w:rsidRDefault="00D927FE" w:rsidP="00D927FE">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(7)晚期腎細胞癌：先前已使用過至少二線標靶藥物治療均失敗，又有疾病惡化之晚期腎細胞癌，其病理上為亮細胞癌(clear cell renal carcinoma)之成人患者。</w:t>
      </w:r>
    </w:p>
    <w:p w:rsidR="00D927FE" w:rsidRPr="0014655B" w:rsidRDefault="00D927FE" w:rsidP="00D927FE">
      <w:pPr>
        <w:spacing w:line="400" w:lineRule="exact"/>
        <w:ind w:left="1134" w:hanging="386"/>
        <w:rPr>
          <w:rFonts w:ascii="標楷體" w:eastAsia="標楷體" w:hAnsi="標楷體"/>
          <w:color w:val="000000"/>
        </w:rPr>
      </w:pPr>
      <w:r w:rsidRPr="00B366AA">
        <w:rPr>
          <w:rFonts w:ascii="標楷體" w:eastAsia="標楷體" w:hAnsi="標楷體"/>
          <w:szCs w:val="24"/>
          <w:lang w:val="zh-TW" w:bidi="zh-TW"/>
        </w:rPr>
        <w:t>(8)晚期肝</w:t>
      </w:r>
      <w:r w:rsidRPr="0014655B">
        <w:rPr>
          <w:rFonts w:ascii="標楷體" w:eastAsia="標楷體" w:hAnsi="標楷體"/>
          <w:color w:val="000000"/>
        </w:rPr>
        <w:t>細胞癌：需同時符合下列所有條件：</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Ⅰ.Child-Pugh A class肝細胞癌成人患者。</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Ⅱ.先前經T.A.C.E.於12個月內&gt;=3次局部治療失敗者。</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Ⅲ.已使用過至少一線標靶藥物治療失敗，又有疾病惡化者。本類藥品與regorafenib、ramucirumab僅能擇一使用，且治療失敗時不可互換。(108/6/1、110/5/1)</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Ⅳ.未曾進行肝臟移植。</w:t>
      </w:r>
    </w:p>
    <w:p w:rsidR="00D927FE" w:rsidRPr="0014655B" w:rsidRDefault="00D927FE" w:rsidP="00D927FE">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Ⅴ.於109年4月1日前經審核同意用藥，後續評估符合續用申請條件者。(109/4/1)</w:t>
      </w:r>
    </w:p>
    <w:p w:rsidR="00D927FE" w:rsidRPr="00B366AA" w:rsidRDefault="00D927FE" w:rsidP="00D927FE">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(9)默克細胞</w:t>
      </w:r>
      <w:r w:rsidRPr="00B366AA">
        <w:rPr>
          <w:rFonts w:ascii="標楷體" w:eastAsia="標楷體" w:hAnsi="標楷體"/>
          <w:szCs w:val="24"/>
          <w:lang w:val="zh-TW" w:bidi="zh-TW"/>
        </w:rPr>
        <w:t>癌</w:t>
      </w:r>
      <w:r w:rsidRPr="007B6FCC">
        <w:rPr>
          <w:rFonts w:ascii="標楷體" w:eastAsia="標楷體" w:hAnsi="標楷體"/>
          <w:szCs w:val="24"/>
          <w:lang w:bidi="zh-TW"/>
        </w:rPr>
        <w:t>：</w:t>
      </w:r>
      <w:r w:rsidRPr="00B366AA">
        <w:rPr>
          <w:rFonts w:ascii="標楷體" w:eastAsia="標楷體" w:hAnsi="標楷體"/>
          <w:szCs w:val="24"/>
          <w:lang w:val="zh-TW" w:bidi="zh-TW"/>
        </w:rPr>
        <w:t>限</w:t>
      </w:r>
      <w:r w:rsidRPr="007B6FCC">
        <w:rPr>
          <w:rFonts w:ascii="標楷體" w:eastAsia="標楷體" w:hAnsi="標楷體"/>
          <w:szCs w:val="24"/>
          <w:lang w:bidi="zh-TW"/>
        </w:rPr>
        <w:t>avelumab</w:t>
      </w:r>
      <w:r w:rsidRPr="00B366AA">
        <w:rPr>
          <w:rFonts w:ascii="標楷體" w:eastAsia="標楷體" w:hAnsi="標楷體"/>
          <w:szCs w:val="24"/>
          <w:lang w:val="zh-TW" w:bidi="zh-TW"/>
        </w:rPr>
        <w:t>用於先前已使用過</w:t>
      </w:r>
      <w:r w:rsidRPr="007B6FCC">
        <w:rPr>
          <w:rFonts w:ascii="標楷體" w:eastAsia="標楷體" w:hAnsi="標楷體"/>
          <w:szCs w:val="24"/>
          <w:lang w:bidi="zh-TW"/>
        </w:rPr>
        <w:t>platinum</w:t>
      </w:r>
      <w:r w:rsidRPr="00B366AA">
        <w:rPr>
          <w:rFonts w:ascii="標楷體" w:eastAsia="標楷體" w:hAnsi="標楷體"/>
          <w:szCs w:val="24"/>
          <w:lang w:val="zh-TW" w:bidi="zh-TW"/>
        </w:rPr>
        <w:t>類化學治療失敗後</w:t>
      </w:r>
      <w:r w:rsidRPr="007B6FCC">
        <w:rPr>
          <w:rFonts w:ascii="標楷體" w:eastAsia="標楷體" w:hAnsi="標楷體"/>
          <w:szCs w:val="24"/>
          <w:lang w:bidi="zh-TW"/>
        </w:rPr>
        <w:t>，</w:t>
      </w:r>
      <w:r w:rsidRPr="00B366AA">
        <w:rPr>
          <w:rFonts w:ascii="標楷體" w:eastAsia="標楷體" w:hAnsi="標楷體"/>
          <w:szCs w:val="24"/>
          <w:lang w:val="zh-TW" w:bidi="zh-TW"/>
        </w:rPr>
        <w:t>又有疾病惡化之轉移性第四期默克細胞癌</w:t>
      </w:r>
      <w:r w:rsidRPr="007B6FCC">
        <w:rPr>
          <w:rFonts w:ascii="標楷體" w:eastAsia="標楷體" w:hAnsi="標楷體"/>
          <w:szCs w:val="24"/>
          <w:lang w:bidi="zh-TW"/>
        </w:rPr>
        <w:t>(Merkel Cell Carcinoma)</w:t>
      </w:r>
      <w:r w:rsidRPr="00B366AA">
        <w:rPr>
          <w:rFonts w:ascii="標楷體" w:eastAsia="標楷體" w:hAnsi="標楷體"/>
          <w:szCs w:val="24"/>
          <w:lang w:val="zh-TW" w:bidi="zh-TW"/>
        </w:rPr>
        <w:t>之成人患者。(109/6/1)</w:t>
      </w:r>
    </w:p>
    <w:p w:rsidR="00D927FE" w:rsidRPr="00B366AA" w:rsidRDefault="00D927FE" w:rsidP="00D927FE">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(10)食道鱗狀細胞癌：限nivolumab用於曾接受合併含鉑及fluoropyrimidine化學治療之後惡化的無法切除晚期或復發性食道鱗狀細胞癌病人。(113/4/1、113/6/1</w:t>
      </w:r>
      <w:r w:rsidRPr="00D927FE">
        <w:rPr>
          <w:rFonts w:ascii="標楷體" w:eastAsia="標楷體" w:hAnsi="標楷體" w:hint="eastAsia"/>
          <w:szCs w:val="24"/>
          <w:lang w:val="zh-TW" w:bidi="zh-TW"/>
        </w:rPr>
        <w:t>、115/2/1</w:t>
      </w:r>
      <w:r w:rsidRPr="00B366AA">
        <w:rPr>
          <w:rFonts w:ascii="標楷體" w:eastAsia="標楷體" w:hAnsi="標楷體"/>
          <w:szCs w:val="24"/>
          <w:lang w:val="zh-TW" w:bidi="zh-TW"/>
        </w:rPr>
        <w:t>)</w:t>
      </w:r>
    </w:p>
    <w:p w:rsidR="00D927FE" w:rsidRPr="0014655B" w:rsidRDefault="00D927FE" w:rsidP="00D927FE">
      <w:pPr>
        <w:spacing w:line="400" w:lineRule="exact"/>
        <w:ind w:left="1134" w:hanging="386"/>
        <w:rPr>
          <w:rFonts w:ascii="標楷體" w:eastAsia="標楷體" w:hAnsi="標楷體" w:cs="標楷體.鬁..."/>
          <w:color w:val="000000"/>
          <w:kern w:val="0"/>
          <w:szCs w:val="24"/>
        </w:rPr>
      </w:pPr>
      <w:r w:rsidRPr="00B366AA">
        <w:rPr>
          <w:rFonts w:ascii="標楷體" w:eastAsia="標楷體" w:hAnsi="標楷體"/>
          <w:szCs w:val="24"/>
          <w:lang w:val="zh-TW" w:bidi="zh-TW"/>
        </w:rPr>
        <w:t>(11)大腸直腸癌</w:t>
      </w:r>
      <w:r w:rsidRPr="0014655B">
        <w:rPr>
          <w:rFonts w:ascii="標楷體" w:eastAsia="標楷體" w:hAnsi="標楷體" w:cs="標楷體.鬁..."/>
          <w:color w:val="000000"/>
          <w:kern w:val="0"/>
          <w:szCs w:val="24"/>
        </w:rPr>
        <w:t>：限pembrolizumab做為無法切除或轉移性高微衛星不穩定性(MSI-H)或錯誤配對修復功能不足性(dMMR)大腸直腸癌(CRC)之成年病人第一線治療。(114/6/1)</w:t>
      </w:r>
    </w:p>
    <w:p w:rsidR="00D927FE" w:rsidRDefault="00D927FE" w:rsidP="00D927FE">
      <w:pPr>
        <w:tabs>
          <w:tab w:val="left" w:pos="945"/>
        </w:tabs>
        <w:spacing w:line="400" w:lineRule="exact"/>
        <w:ind w:leftChars="236" w:left="708" w:hangingChars="59" w:hanging="142"/>
        <w:rPr>
          <w:rFonts w:ascii="標楷體" w:eastAsia="標楷體" w:hAnsi="標楷體"/>
          <w:szCs w:val="24"/>
        </w:rPr>
      </w:pPr>
      <w:r w:rsidRPr="0014655B">
        <w:rPr>
          <w:rFonts w:ascii="標楷體" w:eastAsia="標楷體" w:hAnsi="標楷體"/>
          <w:color w:val="000000"/>
          <w:szCs w:val="24"/>
        </w:rPr>
        <w:t>2.</w:t>
      </w:r>
      <w:r w:rsidRPr="0014655B">
        <w:rPr>
          <w:rFonts w:ascii="標楷體" w:eastAsia="標楷體" w:hAnsi="標楷體"/>
          <w:szCs w:val="24"/>
        </w:rPr>
        <w:t>本類藥品得於藥品</w:t>
      </w:r>
      <w:r w:rsidRPr="00B366AA">
        <w:rPr>
          <w:rFonts w:ascii="標楷體" w:eastAsia="標楷體" w:hAnsi="標楷體"/>
          <w:color w:val="000000"/>
        </w:rPr>
        <w:t>許可證</w:t>
      </w:r>
      <w:r w:rsidRPr="0014655B">
        <w:rPr>
          <w:rFonts w:ascii="標楷體" w:eastAsia="標楷體" w:hAnsi="標楷體"/>
          <w:szCs w:val="24"/>
        </w:rPr>
        <w:t>登載之適應症及藥品仿單內，併用其他藥品於下列患者：</w:t>
      </w:r>
    </w:p>
    <w:p w:rsidR="00D927FE" w:rsidRPr="0014655B" w:rsidRDefault="00D927FE" w:rsidP="00D927FE">
      <w:pPr>
        <w:tabs>
          <w:tab w:val="left" w:pos="945"/>
        </w:tabs>
        <w:spacing w:line="400" w:lineRule="exact"/>
        <w:ind w:leftChars="295" w:left="708" w:firstLineChars="59" w:firstLine="142"/>
        <w:rPr>
          <w:rFonts w:ascii="標楷體" w:eastAsia="標楷體" w:hAnsi="標楷體"/>
        </w:rPr>
      </w:pPr>
      <w:r w:rsidRPr="0014655B">
        <w:rPr>
          <w:rFonts w:ascii="標楷體" w:eastAsia="標楷體" w:hAnsi="標楷體"/>
          <w:szCs w:val="24"/>
        </w:rPr>
        <w:t>(112/12/1</w:t>
      </w:r>
      <w:r w:rsidRPr="0014655B">
        <w:rPr>
          <w:rFonts w:ascii="標楷體" w:eastAsia="標楷體" w:hAnsi="標楷體"/>
          <w:color w:val="000000"/>
        </w:rPr>
        <w:t>、113/4/1、113/6/1、113/8/1、114/2/1、</w:t>
      </w:r>
      <w:r w:rsidRPr="0014655B">
        <w:rPr>
          <w:rFonts w:ascii="標楷體" w:eastAsia="標楷體" w:hAnsi="標楷體" w:cs="標楷體.鬁..."/>
          <w:color w:val="000000"/>
          <w:kern w:val="0"/>
          <w:szCs w:val="24"/>
        </w:rPr>
        <w:t>114/6/1</w:t>
      </w:r>
      <w:r w:rsidRPr="00D927FE">
        <w:rPr>
          <w:rFonts w:ascii="標楷體" w:eastAsia="標楷體" w:hAnsi="標楷體" w:hint="eastAsia"/>
          <w:szCs w:val="24"/>
          <w:lang w:val="zh-TW" w:bidi="zh-TW"/>
        </w:rPr>
        <w:t>、115/2/1</w:t>
      </w:r>
      <w:r w:rsidRPr="0014655B">
        <w:rPr>
          <w:rFonts w:ascii="標楷體" w:eastAsia="標楷體" w:hAnsi="標楷體"/>
          <w:szCs w:val="24"/>
        </w:rPr>
        <w:t>)</w:t>
      </w:r>
    </w:p>
    <w:p w:rsidR="00D927FE" w:rsidRPr="0014655B" w:rsidRDefault="00D927FE" w:rsidP="00D927FE">
      <w:pPr>
        <w:spacing w:line="400" w:lineRule="exact"/>
        <w:ind w:left="1134" w:hanging="386"/>
        <w:rPr>
          <w:rFonts w:ascii="標楷體" w:eastAsia="標楷體" w:hAnsi="標楷體"/>
        </w:rPr>
      </w:pPr>
      <w:r w:rsidRPr="0014655B">
        <w:rPr>
          <w:rFonts w:ascii="標楷體" w:eastAsia="標楷體" w:hAnsi="標楷體"/>
          <w:szCs w:val="24"/>
        </w:rPr>
        <w:t>(1)</w:t>
      </w:r>
      <w:r w:rsidRPr="00B366AA">
        <w:rPr>
          <w:rFonts w:ascii="標楷體" w:eastAsia="標楷體" w:hAnsi="標楷體"/>
          <w:szCs w:val="24"/>
          <w:lang w:val="zh-TW" w:bidi="zh-TW"/>
        </w:rPr>
        <w:t>晚期</w:t>
      </w:r>
      <w:r w:rsidRPr="0014655B">
        <w:rPr>
          <w:rFonts w:ascii="標楷體" w:eastAsia="標楷體" w:hAnsi="標楷體"/>
          <w:szCs w:val="24"/>
        </w:rPr>
        <w:t>肝細胞癌第一線用藥(112/8/1、112/10/1、114/2/1):</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szCs w:val="24"/>
        </w:rPr>
        <w:t>Ⅰ.限atezolizumab與bevacizumab併用，或限durvalumab與tremelimumab併用，適用於治療未曾接受全身性療法之轉移性或無法手術切除且不適合局部治療或局部治療失敗之Child-Pugh A class晚期肝細胞癌成人患者，並符合下列條件之一：（112/8/1、112/10/1、114/2/1)</w:t>
      </w:r>
    </w:p>
    <w:p w:rsidR="00D927FE" w:rsidRPr="0014655B" w:rsidRDefault="00D927FE" w:rsidP="00D927FE">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i.肝外轉移（遠端轉移或肝外淋巴結侵犯）。</w:t>
      </w:r>
    </w:p>
    <w:p w:rsidR="00D927FE" w:rsidRPr="0014655B" w:rsidRDefault="00D927FE" w:rsidP="00D927FE">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ii.大血管侵犯（腫瘤侵犯主門靜脈或侵犯左/右靜脈第一或第二分支）。</w:t>
      </w:r>
    </w:p>
    <w:p w:rsidR="00D927FE" w:rsidRPr="0014655B" w:rsidRDefault="00D927FE" w:rsidP="00D927FE">
      <w:pPr>
        <w:tabs>
          <w:tab w:val="left" w:pos="1185"/>
        </w:tabs>
        <w:spacing w:line="400" w:lineRule="exact"/>
        <w:ind w:left="1980" w:hanging="454"/>
        <w:rPr>
          <w:rFonts w:ascii="標楷體" w:eastAsia="標楷體" w:hAnsi="標楷體"/>
        </w:rPr>
      </w:pPr>
      <w:r w:rsidRPr="0014655B">
        <w:rPr>
          <w:rFonts w:ascii="標楷體" w:eastAsia="標楷體" w:hAnsi="標楷體"/>
          <w:szCs w:val="24"/>
        </w:rPr>
        <w:t>iii.經導管動脈化學藥物栓塞治療（Transcatheter arterial chemo embolization, T.A.C.E.）失敗者，需提供患者於12個月內&gt;=3次局部治療之紀錄。</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II.</w:t>
      </w:r>
      <w:r w:rsidRPr="0014655B">
        <w:rPr>
          <w:rFonts w:ascii="標楷體" w:eastAsia="標楷體" w:hAnsi="標楷體"/>
          <w:szCs w:val="24"/>
        </w:rPr>
        <w:t>須排除有以下任一情形：</w:t>
      </w:r>
    </w:p>
    <w:p w:rsidR="00D927FE" w:rsidRPr="0014655B" w:rsidRDefault="00D927FE" w:rsidP="00D927FE">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t>i.曾接受器官移植。</w:t>
      </w:r>
    </w:p>
    <w:p w:rsidR="00D927FE" w:rsidRPr="0014655B" w:rsidRDefault="00D927FE" w:rsidP="00D927FE">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t>ii.正在接受免疫抑制藥物治療。</w:t>
      </w:r>
    </w:p>
    <w:p w:rsidR="00D927FE" w:rsidRPr="0014655B" w:rsidRDefault="00D927FE" w:rsidP="00D927FE">
      <w:pPr>
        <w:tabs>
          <w:tab w:val="left" w:pos="1185"/>
        </w:tabs>
        <w:spacing w:line="400" w:lineRule="exact"/>
        <w:ind w:left="2007" w:hanging="454"/>
        <w:rPr>
          <w:rFonts w:ascii="標楷體" w:eastAsia="標楷體" w:hAnsi="標楷體"/>
          <w:szCs w:val="24"/>
        </w:rPr>
      </w:pPr>
      <w:r w:rsidRPr="0014655B">
        <w:rPr>
          <w:rFonts w:ascii="標楷體" w:eastAsia="標楷體" w:hAnsi="標楷體"/>
          <w:szCs w:val="24"/>
        </w:rPr>
        <w:lastRenderedPageBreak/>
        <w:t>iii.有上消化道出血之疑慮且未接受完全治療 (須有半年內之內視鏡評估報告)。</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III.</w:t>
      </w:r>
      <w:r w:rsidRPr="0014655B">
        <w:rPr>
          <w:rFonts w:ascii="標楷體" w:eastAsia="標楷體" w:hAnsi="標楷體" w:cs="Liberation Serif"/>
          <w:szCs w:val="24"/>
        </w:rPr>
        <w:t>sorafenib、lenvatinib、atezolizumab與bevacizumab併用、durvalumab與tremelimumab併用僅得擇一給付，不得互換。(114/2/1)</w:t>
      </w:r>
    </w:p>
    <w:p w:rsidR="00D927FE" w:rsidRPr="0014655B" w:rsidRDefault="00D927FE" w:rsidP="00D927FE">
      <w:pPr>
        <w:spacing w:line="400" w:lineRule="exact"/>
        <w:ind w:left="1514" w:hanging="386"/>
        <w:rPr>
          <w:rFonts w:ascii="標楷體" w:eastAsia="標楷體" w:hAnsi="標楷體"/>
        </w:rPr>
      </w:pPr>
      <w:r w:rsidRPr="0014655B">
        <w:rPr>
          <w:rFonts w:ascii="標楷體" w:eastAsia="標楷體" w:hAnsi="標楷體"/>
          <w:color w:val="000000"/>
        </w:rPr>
        <w:t>IV.</w:t>
      </w:r>
      <w:r w:rsidRPr="0014655B">
        <w:rPr>
          <w:rFonts w:ascii="標楷體" w:eastAsia="標楷體" w:hAnsi="標楷體"/>
          <w:szCs w:val="24"/>
        </w:rPr>
        <w:t>atezolizumab與bevacizumab併用或durvalumab與tremelimumab併用治療失敗後，不得申請使用regorafenib或ramucirumab。(114/2/1)</w:t>
      </w:r>
    </w:p>
    <w:p w:rsidR="00D927FE" w:rsidRPr="0014655B" w:rsidRDefault="00D927FE" w:rsidP="00D927FE">
      <w:pPr>
        <w:spacing w:line="400" w:lineRule="exact"/>
        <w:ind w:left="1134" w:hanging="386"/>
        <w:rPr>
          <w:rFonts w:ascii="標楷體" w:eastAsia="標楷體" w:hAnsi="標楷體"/>
        </w:rPr>
      </w:pPr>
      <w:r>
        <w:rPr>
          <w:rFonts w:ascii="標楷體" w:eastAsia="標楷體" w:hAnsi="標楷體" w:hint="eastAsia"/>
          <w:kern w:val="0"/>
          <w:szCs w:val="24"/>
        </w:rPr>
        <w:t>(2)</w:t>
      </w:r>
      <w:r w:rsidRPr="0014655B">
        <w:rPr>
          <w:rFonts w:ascii="標楷體" w:eastAsia="標楷體" w:hAnsi="標楷體"/>
          <w:kern w:val="0"/>
          <w:szCs w:val="24"/>
        </w:rPr>
        <w:t>非小細胞肺癌：(112/12/1、113/4/1、113/8/1、</w:t>
      </w:r>
      <w:r w:rsidRPr="0014655B">
        <w:rPr>
          <w:rFonts w:ascii="標楷體" w:eastAsia="標楷體" w:hAnsi="標楷體" w:cs="標楷體.鬁..."/>
          <w:color w:val="000000"/>
          <w:kern w:val="0"/>
          <w:szCs w:val="24"/>
        </w:rPr>
        <w:t>114/6/1</w:t>
      </w:r>
      <w:r w:rsidRPr="0014655B">
        <w:rPr>
          <w:rFonts w:ascii="標楷體" w:eastAsia="標楷體" w:hAnsi="標楷體" w:cs="新細明體"/>
          <w:kern w:val="0"/>
          <w:szCs w:val="24"/>
        </w:rPr>
        <w:t>)</w:t>
      </w:r>
    </w:p>
    <w:p w:rsidR="00D927FE" w:rsidRPr="0014655B" w:rsidRDefault="00D927FE" w:rsidP="00167FEB">
      <w:pPr>
        <w:numPr>
          <w:ilvl w:val="0"/>
          <w:numId w:val="13"/>
        </w:numPr>
        <w:spacing w:line="400" w:lineRule="exact"/>
        <w:ind w:left="1560" w:hanging="284"/>
        <w:rPr>
          <w:rFonts w:ascii="標楷體" w:eastAsia="標楷體" w:hAnsi="標楷體"/>
          <w:kern w:val="0"/>
          <w:szCs w:val="24"/>
        </w:rPr>
      </w:pPr>
      <w:r w:rsidRPr="0014655B">
        <w:rPr>
          <w:rFonts w:ascii="標楷體" w:eastAsia="標楷體" w:hAnsi="標楷體"/>
          <w:kern w:val="0"/>
          <w:szCs w:val="24"/>
        </w:rPr>
        <w:t>轉移性鱗狀非小細胞肺癌第一線用藥：限pembrolizumab與carboplatin及paclitaxel併用至多使用4個療程，接續單用pembrolizumab治療。(112/12/1、113/4/1、113/8/1)</w:t>
      </w:r>
    </w:p>
    <w:p w:rsidR="00D927FE" w:rsidRPr="0014655B" w:rsidRDefault="00D927FE" w:rsidP="00167FEB">
      <w:pPr>
        <w:numPr>
          <w:ilvl w:val="0"/>
          <w:numId w:val="13"/>
        </w:numPr>
        <w:spacing w:line="400" w:lineRule="exact"/>
        <w:ind w:left="1701" w:hanging="426"/>
        <w:rPr>
          <w:rFonts w:ascii="標楷體" w:eastAsia="標楷體" w:hAnsi="標楷體"/>
        </w:rPr>
      </w:pPr>
      <w:r w:rsidRPr="0014655B">
        <w:rPr>
          <w:rFonts w:ascii="標楷體" w:eastAsia="標楷體" w:hAnsi="標楷體" w:cs="新細明體"/>
          <w:kern w:val="0"/>
          <w:szCs w:val="24"/>
        </w:rPr>
        <w:t>轉移</w:t>
      </w:r>
      <w:r w:rsidRPr="0014655B">
        <w:rPr>
          <w:rFonts w:ascii="標楷體" w:eastAsia="標楷體" w:hAnsi="標楷體"/>
          <w:kern w:val="0"/>
          <w:szCs w:val="24"/>
        </w:rPr>
        <w:t>性非鱗狀非小細胞肺癌第一線：限pembrolizumab與</w:t>
      </w:r>
      <w:bookmarkStart w:id="24" w:name="_Hlk175765322"/>
      <w:r w:rsidRPr="0014655B">
        <w:rPr>
          <w:rFonts w:ascii="標楷體" w:eastAsia="標楷體" w:hAnsi="標楷體"/>
          <w:kern w:val="0"/>
          <w:szCs w:val="24"/>
        </w:rPr>
        <w:t>pemetrexed</w:t>
      </w:r>
      <w:bookmarkEnd w:id="24"/>
      <w:r w:rsidRPr="0014655B">
        <w:rPr>
          <w:rFonts w:ascii="標楷體" w:eastAsia="標楷體" w:hAnsi="標楷體"/>
          <w:kern w:val="0"/>
          <w:szCs w:val="24"/>
        </w:rPr>
        <w:t>(限使用Pexeda、Apeta或Pemetrexed Sandoz)及含鉑類化學療法併用，或限atezolizumab與bevacizumab(限使用Alymsys、Avastin、Abevmy、Vegzelma或Mvasi)及carboplatin、paclitaxel併用，做為轉移性且不具有EGFR/ALK/ROS-1腫瘤基因異常的非鱗狀非小細胞肺癌第一線治療。(114/6/1、114/8/1)</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szCs w:val="24"/>
        </w:rPr>
        <w:t>(3)小細胞肺癌：</w:t>
      </w:r>
      <w:r w:rsidRPr="007F2B01">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(4)惡性肋膜間皮瘤：限ipilimumab與nivolumab併用於無法切除之惡性肋膜間皮瘤且病理組織顯示為非上皮型(Non-epithelioid)成人病人的第一線治療。(</w:t>
      </w:r>
      <w:r w:rsidRPr="007F2B01">
        <w:rPr>
          <w:rFonts w:ascii="標楷體" w:eastAsia="標楷體" w:hAnsi="標楷體"/>
          <w:kern w:val="0"/>
          <w:szCs w:val="24"/>
        </w:rPr>
        <w:t>113/4/1、113/6/1</w:t>
      </w:r>
      <w:r w:rsidRPr="00D927FE">
        <w:rPr>
          <w:rFonts w:ascii="標楷體" w:eastAsia="標楷體" w:hAnsi="標楷體" w:hint="eastAsia"/>
          <w:szCs w:val="24"/>
          <w:lang w:val="zh-TW" w:bidi="zh-TW"/>
        </w:rPr>
        <w:t>、115/2/1</w:t>
      </w:r>
      <w:r w:rsidRPr="0014655B">
        <w:rPr>
          <w:rFonts w:ascii="標楷體" w:eastAsia="標楷體" w:hAnsi="標楷體"/>
          <w:kern w:val="0"/>
          <w:szCs w:val="24"/>
        </w:rPr>
        <w:t>)</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(5)胃癌（不含胃腸基質瘤及神經內分泌腫瘤/癌）：限nivolumab併用fluoropyrimidine（5-FU或capecitabine）及oxaliplatin，用於第一線治療晚期或轉移性且不具有HER2過度表現的胃癌病人。(</w:t>
      </w:r>
      <w:r w:rsidRPr="007F2B01">
        <w:rPr>
          <w:rFonts w:ascii="標楷體" w:eastAsia="標楷體" w:hAnsi="標楷體"/>
          <w:kern w:val="0"/>
          <w:szCs w:val="24"/>
        </w:rPr>
        <w:t>113/4/1、113/6/1</w:t>
      </w:r>
      <w:r w:rsidRPr="00D927FE">
        <w:rPr>
          <w:rFonts w:ascii="標楷體" w:eastAsia="標楷體" w:hAnsi="標楷體" w:hint="eastAsia"/>
          <w:szCs w:val="24"/>
          <w:lang w:val="zh-TW" w:bidi="zh-TW"/>
        </w:rPr>
        <w:t>、115/2/1</w:t>
      </w:r>
      <w:r w:rsidRPr="0014655B">
        <w:rPr>
          <w:rFonts w:ascii="標楷體" w:eastAsia="標楷體" w:hAnsi="標楷體"/>
          <w:kern w:val="0"/>
          <w:szCs w:val="24"/>
        </w:rPr>
        <w:t>)</w:t>
      </w:r>
    </w:p>
    <w:p w:rsidR="00D927FE" w:rsidRPr="0014655B"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Ⅰ.壺腹癌。</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Ⅱ.曾接受異體器官移植。</w:t>
      </w:r>
    </w:p>
    <w:p w:rsidR="00D927FE" w:rsidRPr="0014655B" w:rsidRDefault="00D927FE" w:rsidP="00D927FE">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Ⅲ.具有或曾有活動性自體免疫或發炎性疾病。</w:t>
      </w:r>
    </w:p>
    <w:p w:rsidR="00D927FE" w:rsidRPr="0014655B" w:rsidRDefault="00D927FE" w:rsidP="00D927FE">
      <w:pPr>
        <w:spacing w:line="400" w:lineRule="exact"/>
        <w:ind w:left="1134" w:hanging="386"/>
        <w:rPr>
          <w:rFonts w:ascii="標楷體" w:eastAsia="標楷體" w:hAnsi="標楷體"/>
          <w:kern w:val="0"/>
          <w:szCs w:val="24"/>
        </w:rPr>
      </w:pPr>
      <w:bookmarkStart w:id="25" w:name="_Hlk191060681"/>
      <w:r>
        <w:rPr>
          <w:rFonts w:ascii="標楷體" w:eastAsia="標楷體" w:hAnsi="標楷體" w:hint="eastAsia"/>
          <w:kern w:val="0"/>
          <w:szCs w:val="24"/>
        </w:rPr>
        <w:t>(7)</w:t>
      </w:r>
      <w:r w:rsidRPr="0014655B">
        <w:rPr>
          <w:rFonts w:ascii="標楷體" w:eastAsia="標楷體" w:hAnsi="標楷體"/>
          <w:kern w:val="0"/>
          <w:szCs w:val="24"/>
        </w:rPr>
        <w:t>早期三陰性乳癌：非轉移性、第II期至第IIIb期</w:t>
      </w:r>
      <w:bookmarkEnd w:id="25"/>
      <w:r w:rsidRPr="0014655B">
        <w:rPr>
          <w:rFonts w:ascii="標楷體" w:eastAsia="標楷體" w:hAnsi="標楷體"/>
          <w:kern w:val="0"/>
          <w:szCs w:val="24"/>
        </w:rPr>
        <w:t>（cT1c N1-2 或 T2-4 N0-2）成年病人(114/6/1)：</w:t>
      </w:r>
    </w:p>
    <w:p w:rsidR="00D927FE" w:rsidRPr="0014655B"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rPr>
      </w:pPr>
      <w:r w:rsidRPr="0014655B">
        <w:rPr>
          <w:rFonts w:ascii="標楷體" w:eastAsia="標楷體" w:hAnsi="標楷體"/>
          <w:kern w:val="0"/>
          <w:szCs w:val="24"/>
        </w:rPr>
        <w:t>術前前導性治療：</w:t>
      </w:r>
      <w:r w:rsidRPr="0014655B">
        <w:rPr>
          <w:rFonts w:ascii="標楷體" w:eastAsia="標楷體" w:hAnsi="標楷體" w:cs="新細明體"/>
          <w:kern w:val="0"/>
          <w:szCs w:val="24"/>
        </w:rPr>
        <w:t>限pembrolizumab每3週1次與carboplatin和paclitaxel併用至多4個療程，接續限pembrolizumab每3週1次與cyclophosphamide和</w:t>
      </w:r>
      <w:r w:rsidRPr="0014655B">
        <w:rPr>
          <w:rFonts w:ascii="標楷體" w:eastAsia="標楷體" w:hAnsi="標楷體" w:cs="新細明體"/>
          <w:kern w:val="0"/>
          <w:szCs w:val="24"/>
        </w:rPr>
        <w:lastRenderedPageBreak/>
        <w:t>doxorubicin或epirubicin併用至多4個療程，做為初診斷病人前導性治療用藥。</w:t>
      </w:r>
      <w:bookmarkStart w:id="26" w:name="_Hlk191373815"/>
    </w:p>
    <w:bookmarkEnd w:id="26"/>
    <w:p w:rsidR="00D927FE" w:rsidRPr="0014655B"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術後輔助治療：上述病人接受過術前前導性治療後，限手術後未達pCR者，單用pembrolizumab每3週1次，做為輔助治療用藥，且至多使用9個療程。</w:t>
      </w:r>
    </w:p>
    <w:p w:rsidR="00D927FE" w:rsidRDefault="00D927FE" w:rsidP="00167FEB">
      <w:pPr>
        <w:numPr>
          <w:ilvl w:val="0"/>
          <w:numId w:val="14"/>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上述pembrolizumab用於早期三陰性乳癌依前述療程規定至多使用17個療程，且用於術後輔助治療，pembrolizumab與olaparib僅能擇一支付。</w:t>
      </w:r>
    </w:p>
    <w:p w:rsidR="00D927FE" w:rsidRPr="00D927FE" w:rsidRDefault="00D927FE" w:rsidP="00167FEB">
      <w:pPr>
        <w:pStyle w:val="a9"/>
        <w:numPr>
          <w:ilvl w:val="0"/>
          <w:numId w:val="34"/>
        </w:numPr>
        <w:suppressAutoHyphens w:val="0"/>
        <w:autoSpaceDN/>
        <w:snapToGrid w:val="0"/>
        <w:spacing w:line="400" w:lineRule="exact"/>
        <w:ind w:leftChars="296" w:left="1072" w:hangingChars="151" w:hanging="362"/>
        <w:textAlignment w:val="auto"/>
        <w:rPr>
          <w:rFonts w:ascii="標楷體" w:eastAsia="標楷體" w:hAnsi="標楷體"/>
        </w:rPr>
      </w:pPr>
      <w:r w:rsidRPr="00D927FE">
        <w:rPr>
          <w:rFonts w:ascii="標楷體" w:eastAsia="標楷體" w:hAnsi="標楷體" w:hint="eastAsia"/>
        </w:rPr>
        <w:t>食道鱗狀細胞癌：</w:t>
      </w:r>
      <w:r w:rsidRPr="00D927FE">
        <w:rPr>
          <w:rFonts w:ascii="標楷體" w:eastAsia="標楷體" w:hAnsi="標楷體"/>
          <w:kern w:val="0"/>
        </w:rPr>
        <w:t>限nivolumab</w:t>
      </w:r>
      <w:r w:rsidRPr="00D927FE">
        <w:rPr>
          <w:rFonts w:ascii="標楷體" w:eastAsia="標楷體" w:hAnsi="標楷體" w:hint="eastAsia"/>
        </w:rPr>
        <w:t>與</w:t>
      </w:r>
      <w:r w:rsidRPr="00D927FE">
        <w:rPr>
          <w:rFonts w:ascii="標楷體" w:eastAsia="標楷體" w:hAnsi="標楷體"/>
        </w:rPr>
        <w:t>fluoropyrimidine及cisplatin</w:t>
      </w:r>
      <w:r w:rsidRPr="00D927FE">
        <w:rPr>
          <w:rFonts w:ascii="標楷體" w:eastAsia="標楷體" w:hAnsi="標楷體" w:hint="eastAsia"/>
        </w:rPr>
        <w:t>或</w:t>
      </w:r>
      <w:r w:rsidRPr="00D927FE">
        <w:rPr>
          <w:rFonts w:ascii="標楷體" w:eastAsia="標楷體" w:hAnsi="標楷體"/>
        </w:rPr>
        <w:t>oxaliplatin</w:t>
      </w:r>
      <w:r w:rsidRPr="00D927FE">
        <w:rPr>
          <w:rFonts w:ascii="標楷體" w:eastAsia="標楷體" w:hAnsi="標楷體" w:hint="eastAsia"/>
        </w:rPr>
        <w:t>併用</w:t>
      </w:r>
      <w:r w:rsidRPr="00D927FE">
        <w:rPr>
          <w:rFonts w:ascii="標楷體" w:eastAsia="標楷體" w:hAnsi="標楷體"/>
        </w:rPr>
        <w:t>，</w:t>
      </w:r>
      <w:r w:rsidRPr="00D927FE">
        <w:rPr>
          <w:rFonts w:ascii="標楷體" w:eastAsia="標楷體" w:hAnsi="標楷體" w:hint="eastAsia"/>
        </w:rPr>
        <w:t>用於無法接受化學放射性治療或手術切除等治癒性治療之晚期或轉移性食道鱗狀細胞癌成人病人的第一線治療。</w:t>
      </w:r>
      <w:r w:rsidRPr="00D927FE">
        <w:rPr>
          <w:rFonts w:ascii="標楷體" w:eastAsia="標楷體" w:hAnsi="標楷體"/>
        </w:rPr>
        <w:t>(</w:t>
      </w:r>
      <w:r w:rsidRPr="00D927FE">
        <w:rPr>
          <w:rFonts w:ascii="標楷體" w:eastAsia="標楷體" w:hAnsi="標楷體" w:hint="eastAsia"/>
        </w:rPr>
        <w:t>115/2/1</w:t>
      </w:r>
      <w:r w:rsidRPr="00D927FE">
        <w:rPr>
          <w:rFonts w:ascii="標楷體" w:eastAsia="標楷體" w:hAnsi="標楷體"/>
        </w:rPr>
        <w:t>)</w:t>
      </w:r>
    </w:p>
    <w:p w:rsidR="00D927FE" w:rsidRPr="00D927FE" w:rsidRDefault="00D927FE" w:rsidP="00D927FE">
      <w:pPr>
        <w:tabs>
          <w:tab w:val="left" w:pos="1418"/>
        </w:tabs>
        <w:spacing w:line="400" w:lineRule="exact"/>
        <w:ind w:leftChars="296" w:left="1072" w:hangingChars="151" w:hanging="362"/>
        <w:jc w:val="both"/>
        <w:rPr>
          <w:rFonts w:ascii="標楷體" w:eastAsia="標楷體" w:hAnsi="標楷體"/>
          <w:szCs w:val="24"/>
        </w:rPr>
      </w:pPr>
      <w:r w:rsidRPr="00D927FE">
        <w:rPr>
          <w:rFonts w:ascii="標楷體" w:eastAsia="標楷體" w:hAnsi="標楷體" w:hint="eastAsia"/>
          <w:szCs w:val="24"/>
        </w:rPr>
        <w:t>(9)泌尿道上皮癌：限nivolumab與</w:t>
      </w:r>
      <w:r w:rsidRPr="00D927FE">
        <w:rPr>
          <w:rFonts w:ascii="標楷體" w:eastAsia="標楷體" w:hAnsi="標楷體"/>
          <w:szCs w:val="24"/>
        </w:rPr>
        <w:t>cisplatin</w:t>
      </w:r>
      <w:r w:rsidRPr="00D927FE">
        <w:rPr>
          <w:rFonts w:ascii="標楷體" w:eastAsia="標楷體" w:hAnsi="標楷體" w:hint="eastAsia"/>
          <w:szCs w:val="24"/>
        </w:rPr>
        <w:t>及</w:t>
      </w:r>
      <w:r w:rsidRPr="00D927FE">
        <w:rPr>
          <w:rFonts w:ascii="標楷體" w:eastAsia="標楷體" w:hAnsi="標楷體"/>
          <w:szCs w:val="24"/>
        </w:rPr>
        <w:t>gemcitabine</w:t>
      </w:r>
      <w:r w:rsidRPr="00D927FE">
        <w:rPr>
          <w:rFonts w:ascii="標楷體" w:eastAsia="標楷體" w:hAnsi="標楷體" w:hint="eastAsia"/>
          <w:szCs w:val="24"/>
        </w:rPr>
        <w:t>併用至多6個療程，</w:t>
      </w:r>
      <w:r w:rsidRPr="00D927FE">
        <w:rPr>
          <w:rFonts w:ascii="標楷體" w:eastAsia="標楷體" w:hAnsi="標楷體"/>
          <w:szCs w:val="24"/>
        </w:rPr>
        <w:t>接續限</w:t>
      </w:r>
      <w:r w:rsidRPr="00D927FE">
        <w:rPr>
          <w:rFonts w:ascii="標楷體" w:eastAsia="標楷體" w:hAnsi="標楷體" w:hint="eastAsia"/>
          <w:szCs w:val="24"/>
        </w:rPr>
        <w:t>單用nivolumab，做為無法切除或轉移性泌尿道上皮癌成人病人的第一線治療。(115/2/1</w:t>
      </w:r>
      <w:r w:rsidRPr="00D927FE">
        <w:rPr>
          <w:rFonts w:ascii="標楷體" w:eastAsia="標楷體" w:hAnsi="標楷體"/>
          <w:szCs w:val="24"/>
        </w:rPr>
        <w:t>)</w:t>
      </w:r>
    </w:p>
    <w:p w:rsidR="00D927FE" w:rsidRPr="0014655B" w:rsidRDefault="00D927FE" w:rsidP="00D927FE">
      <w:pPr>
        <w:tabs>
          <w:tab w:val="left" w:pos="945"/>
        </w:tabs>
        <w:spacing w:line="400" w:lineRule="exact"/>
        <w:ind w:leftChars="-1" w:left="-2" w:firstLineChars="237" w:firstLine="569"/>
        <w:rPr>
          <w:rFonts w:ascii="標楷體" w:eastAsia="標楷體" w:hAnsi="標楷體"/>
          <w:color w:val="000000"/>
        </w:rPr>
      </w:pPr>
      <w:r w:rsidRPr="0014655B">
        <w:rPr>
          <w:rFonts w:ascii="標楷體" w:eastAsia="標楷體" w:hAnsi="標楷體"/>
          <w:color w:val="000000"/>
        </w:rPr>
        <w:t>3.使用條件：</w:t>
      </w:r>
    </w:p>
    <w:p w:rsidR="00D927FE" w:rsidRPr="007F2B01" w:rsidRDefault="00D927FE" w:rsidP="00D927FE">
      <w:pPr>
        <w:spacing w:line="400" w:lineRule="exact"/>
        <w:ind w:left="1134" w:hanging="386"/>
        <w:rPr>
          <w:rFonts w:ascii="標楷體" w:eastAsia="標楷體" w:hAnsi="標楷體"/>
          <w:kern w:val="0"/>
          <w:szCs w:val="24"/>
        </w:rPr>
      </w:pPr>
      <w:r w:rsidRPr="0014655B">
        <w:rPr>
          <w:rFonts w:ascii="標楷體" w:eastAsia="標楷體" w:hAnsi="標楷體"/>
          <w:color w:val="000000"/>
        </w:rPr>
        <w:t>(1)</w:t>
      </w:r>
      <w:r w:rsidRPr="0014655B">
        <w:rPr>
          <w:rFonts w:ascii="標楷體" w:eastAsia="標楷體" w:hAnsi="標楷體"/>
          <w:color w:val="000000"/>
        </w:rPr>
        <w:tab/>
        <w:t>病人</w:t>
      </w:r>
      <w:r w:rsidRPr="007F2B01">
        <w:rPr>
          <w:rFonts w:ascii="標楷體" w:eastAsia="標楷體" w:hAnsi="標楷體"/>
          <w:kern w:val="0"/>
          <w:szCs w:val="24"/>
        </w:rPr>
        <w:t>身體狀況良好(ECOG≦1)。</w:t>
      </w:r>
    </w:p>
    <w:p w:rsidR="00D927FE" w:rsidRPr="0014655B" w:rsidRDefault="00D927FE" w:rsidP="00D927FE">
      <w:pPr>
        <w:spacing w:line="400" w:lineRule="exact"/>
        <w:ind w:left="1134" w:hanging="386"/>
        <w:rPr>
          <w:rFonts w:ascii="標楷體" w:eastAsia="標楷體" w:hAnsi="標楷體"/>
          <w:color w:val="000000"/>
        </w:rPr>
      </w:pPr>
      <w:r w:rsidRPr="007F2B01">
        <w:rPr>
          <w:rFonts w:ascii="標楷體" w:eastAsia="標楷體" w:hAnsi="標楷體"/>
          <w:kern w:val="0"/>
          <w:szCs w:val="24"/>
        </w:rPr>
        <w:t>(2)</w:t>
      </w:r>
      <w:r w:rsidRPr="007F2B01">
        <w:rPr>
          <w:rFonts w:ascii="標楷體" w:eastAsia="標楷體" w:hAnsi="標楷體"/>
          <w:kern w:val="0"/>
          <w:szCs w:val="24"/>
        </w:rPr>
        <w:tab/>
        <w:t>病人之</w:t>
      </w:r>
      <w:r w:rsidRPr="0014655B">
        <w:rPr>
          <w:rFonts w:ascii="標楷體" w:eastAsia="標楷體" w:hAnsi="標楷體"/>
          <w:color w:val="000000"/>
        </w:rPr>
        <w:t>心肺與肝腎功能須符合下列所有條件：</w:t>
      </w:r>
    </w:p>
    <w:p w:rsidR="00D927FE" w:rsidRPr="0014655B" w:rsidRDefault="00D927FE" w:rsidP="00D927FE">
      <w:pPr>
        <w:tabs>
          <w:tab w:val="left" w:pos="1418"/>
        </w:tabs>
        <w:spacing w:line="400" w:lineRule="exact"/>
        <w:ind w:left="1418" w:hanging="284"/>
        <w:jc w:val="both"/>
        <w:rPr>
          <w:rFonts w:ascii="標楷體" w:eastAsia="標楷體" w:hAnsi="標楷體"/>
          <w:color w:val="000000"/>
        </w:rPr>
      </w:pPr>
      <w:r w:rsidRPr="0014655B">
        <w:rPr>
          <w:rFonts w:ascii="標楷體" w:eastAsia="標楷體" w:hAnsi="標楷體"/>
          <w:color w:val="000000"/>
        </w:rPr>
        <w:t>I.NYHA(the New York Heart Association) Functional Class I或II</w:t>
      </w:r>
    </w:p>
    <w:p w:rsidR="00D927FE" w:rsidRPr="0014655B" w:rsidRDefault="00D927FE" w:rsidP="00D927FE">
      <w:pPr>
        <w:tabs>
          <w:tab w:val="left" w:pos="1418"/>
          <w:tab w:val="left" w:pos="2552"/>
        </w:tabs>
        <w:spacing w:line="400" w:lineRule="exact"/>
        <w:ind w:left="1276" w:hanging="284"/>
        <w:jc w:val="both"/>
        <w:rPr>
          <w:rFonts w:ascii="標楷體" w:eastAsia="標楷體" w:hAnsi="標楷體"/>
          <w:color w:val="000000"/>
        </w:rPr>
      </w:pPr>
      <w:r w:rsidRPr="0014655B">
        <w:rPr>
          <w:rFonts w:ascii="標楷體" w:eastAsia="標楷體" w:hAnsi="標楷體"/>
          <w:color w:val="000000"/>
        </w:rPr>
        <w:t>II.GOT&lt;60U/L及GPT&lt;60U/L，且T-bilirubin&lt;1.5mg/dL (晚期肝細胞癌以及膽道癌病人可免除此條件)(114/2/1)</w:t>
      </w:r>
    </w:p>
    <w:p w:rsidR="00D927FE" w:rsidRPr="0014655B" w:rsidRDefault="00D927FE" w:rsidP="00D927FE">
      <w:pPr>
        <w:tabs>
          <w:tab w:val="left" w:pos="1418"/>
          <w:tab w:val="left" w:pos="2552"/>
        </w:tabs>
        <w:spacing w:line="400" w:lineRule="exact"/>
        <w:ind w:left="1276" w:hanging="284"/>
        <w:jc w:val="both"/>
        <w:rPr>
          <w:rFonts w:ascii="標楷體" w:eastAsia="標楷體" w:hAnsi="標楷體"/>
          <w:color w:val="000000"/>
        </w:rPr>
      </w:pPr>
      <w:r w:rsidRPr="0014655B">
        <w:rPr>
          <w:rFonts w:ascii="標楷體" w:eastAsia="標楷體" w:hAnsi="標楷體"/>
          <w:color w:val="000000"/>
        </w:rPr>
        <w:t>III.腎功能：(晚期腎細胞癌病人可免除此條件) (109/4/1、112/10/1</w:t>
      </w:r>
      <w:r w:rsidRPr="00D927FE">
        <w:rPr>
          <w:rFonts w:ascii="標楷體" w:eastAsia="標楷體" w:hAnsi="標楷體" w:hint="eastAsia"/>
          <w:szCs w:val="24"/>
          <w:lang w:val="zh-TW" w:bidi="zh-TW"/>
        </w:rPr>
        <w:t>、115/2/1</w:t>
      </w:r>
      <w:r w:rsidRPr="0014655B">
        <w:rPr>
          <w:rFonts w:ascii="標楷體" w:eastAsia="標楷體" w:hAnsi="標楷體"/>
          <w:color w:val="000000"/>
        </w:rPr>
        <w:t>)</w:t>
      </w:r>
    </w:p>
    <w:p w:rsidR="00D927FE" w:rsidRPr="00D927FE"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rPr>
        <w:t>i.泌尿道上皮癌第一線用藥：</w:t>
      </w:r>
      <w:r w:rsidRPr="00D927FE">
        <w:rPr>
          <w:rFonts w:ascii="標楷體" w:eastAsia="標楷體" w:hAnsi="標楷體" w:hint="eastAsia"/>
          <w:szCs w:val="24"/>
        </w:rPr>
        <w:t>單獨使用</w:t>
      </w:r>
      <w:r w:rsidRPr="00D927FE">
        <w:rPr>
          <w:rFonts w:ascii="標楷體" w:eastAsia="標楷體" w:hAnsi="標楷體"/>
          <w:szCs w:val="24"/>
        </w:rPr>
        <w:t>pembrolizumab</w:t>
      </w:r>
      <w:r w:rsidRPr="00D927FE">
        <w:rPr>
          <w:rFonts w:ascii="標楷體" w:eastAsia="標楷體" w:hAnsi="標楷體" w:hint="eastAsia"/>
          <w:szCs w:val="24"/>
        </w:rPr>
        <w:t>須符合</w:t>
      </w:r>
      <w:r w:rsidRPr="00D927FE">
        <w:rPr>
          <w:rFonts w:ascii="標楷體" w:eastAsia="標楷體" w:hAnsi="標楷體"/>
        </w:rPr>
        <w:t>eGFR&gt;30mL/min/1.73</w:t>
      </w:r>
      <w:r w:rsidRPr="00D927FE">
        <w:rPr>
          <w:rFonts w:ascii="標楷體" w:eastAsia="標楷體" w:hAnsi="標楷體"/>
          <w:szCs w:val="24"/>
        </w:rPr>
        <w:t>m</w:t>
      </w:r>
      <w:r w:rsidRPr="00D927FE">
        <w:rPr>
          <w:rFonts w:ascii="標楷體" w:eastAsia="標楷體" w:hAnsi="標楷體"/>
          <w:szCs w:val="24"/>
          <w:vertAlign w:val="superscript"/>
        </w:rPr>
        <w:t>2</w:t>
      </w:r>
      <w:r w:rsidRPr="00D927FE">
        <w:rPr>
          <w:rFonts w:ascii="標楷體" w:eastAsia="標楷體" w:hAnsi="標楷體"/>
        </w:rPr>
        <w:t>且&lt;60mL/min/1.73</w:t>
      </w:r>
      <w:r w:rsidRPr="00D927FE">
        <w:rPr>
          <w:rFonts w:ascii="標楷體" w:eastAsia="標楷體" w:hAnsi="標楷體"/>
          <w:szCs w:val="24"/>
        </w:rPr>
        <w:t>m</w:t>
      </w:r>
      <w:r w:rsidRPr="00D927FE">
        <w:rPr>
          <w:rFonts w:ascii="標楷體" w:eastAsia="標楷體" w:hAnsi="標楷體"/>
          <w:szCs w:val="24"/>
          <w:vertAlign w:val="superscript"/>
        </w:rPr>
        <w:t>2</w:t>
      </w:r>
      <w:r w:rsidRPr="00D927FE">
        <w:rPr>
          <w:rFonts w:ascii="標楷體" w:eastAsia="標楷體" w:hAnsi="標楷體" w:hint="eastAsia"/>
          <w:szCs w:val="24"/>
        </w:rPr>
        <w:t>；</w:t>
      </w:r>
      <w:r w:rsidRPr="00D927FE">
        <w:rPr>
          <w:rFonts w:ascii="標楷體" w:eastAsia="標楷體" w:hAnsi="標楷體"/>
          <w:szCs w:val="24"/>
        </w:rPr>
        <w:t>nivolumab</w:t>
      </w:r>
      <w:r w:rsidRPr="00D927FE">
        <w:rPr>
          <w:rFonts w:ascii="標楷體" w:eastAsia="標楷體" w:hAnsi="標楷體" w:hint="eastAsia"/>
          <w:szCs w:val="24"/>
        </w:rPr>
        <w:t>併用化療須符合eGFR</w:t>
      </w:r>
      <w:r w:rsidRPr="00D927FE">
        <w:rPr>
          <w:rFonts w:ascii="標楷體" w:eastAsia="標楷體" w:hAnsi="標楷體"/>
          <w:szCs w:val="24"/>
        </w:rPr>
        <w:t xml:space="preserve"> </w:t>
      </w:r>
      <w:r w:rsidRPr="00D927FE">
        <w:rPr>
          <w:rFonts w:ascii="Times New Roman" w:eastAsia="標楷體" w:hAnsi="Times New Roman"/>
          <w:szCs w:val="24"/>
        </w:rPr>
        <w:t>≥</w:t>
      </w:r>
      <w:r w:rsidRPr="00D927FE">
        <w:rPr>
          <w:rFonts w:ascii="標楷體" w:eastAsia="標楷體" w:hAnsi="標楷體" w:hint="eastAsia"/>
          <w:szCs w:val="24"/>
        </w:rPr>
        <w:t>60mL/min/1.73m2</w:t>
      </w:r>
      <w:r w:rsidRPr="00D927FE">
        <w:rPr>
          <w:rFonts w:ascii="標楷體" w:eastAsia="標楷體" w:hAnsi="標楷體"/>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rPr>
        <w:t>ii.泌尿道上皮癌第二線用藥：eGFR&gt;30mL/min/1.73</w:t>
      </w:r>
      <w:r w:rsidRPr="0014655B">
        <w:rPr>
          <w:rFonts w:ascii="標楷體" w:eastAsia="標楷體" w:hAnsi="標楷體"/>
          <w:szCs w:val="24"/>
        </w:rPr>
        <w:t>m</w:t>
      </w:r>
      <w:r w:rsidRPr="0014655B">
        <w:rPr>
          <w:rFonts w:ascii="標楷體" w:eastAsia="標楷體" w:hAnsi="標楷體"/>
          <w:szCs w:val="24"/>
          <w:vertAlign w:val="superscript"/>
        </w:rPr>
        <w:t>2</w:t>
      </w:r>
      <w:r w:rsidRPr="0014655B">
        <w:rPr>
          <w:rFonts w:ascii="標楷體" w:eastAsia="標楷體" w:hAnsi="標楷體"/>
          <w:color w:val="000000"/>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color w:val="000000"/>
          <w:szCs w:val="24"/>
        </w:rPr>
        <w:t>iii.</w:t>
      </w:r>
      <w:r w:rsidRPr="0014655B">
        <w:rPr>
          <w:rFonts w:ascii="標楷體" w:eastAsia="標楷體" w:hAnsi="標楷體"/>
          <w:szCs w:val="24"/>
        </w:rPr>
        <w:t>泌尿道上皮癌維持治療（112/10/1）</w:t>
      </w:r>
      <w:r w:rsidRPr="0014655B">
        <w:rPr>
          <w:rFonts w:ascii="標楷體" w:eastAsia="標楷體" w:hAnsi="標楷體"/>
          <w:color w:val="000000"/>
        </w:rPr>
        <w:t>：</w:t>
      </w:r>
      <w:r w:rsidRPr="0014655B">
        <w:rPr>
          <w:rFonts w:ascii="標楷體" w:eastAsia="標楷體" w:hAnsi="標楷體"/>
          <w:szCs w:val="24"/>
        </w:rPr>
        <w:t>eGFR&gt;30mL/min/1.73m</w:t>
      </w:r>
      <w:r w:rsidRPr="0014655B">
        <w:rPr>
          <w:rFonts w:ascii="標楷體" w:eastAsia="標楷體" w:hAnsi="標楷體"/>
          <w:szCs w:val="24"/>
          <w:vertAlign w:val="superscript"/>
        </w:rPr>
        <w:t>2</w:t>
      </w:r>
      <w:r w:rsidRPr="0014655B">
        <w:rPr>
          <w:rFonts w:ascii="標楷體" w:eastAsia="標楷體" w:hAnsi="標楷體"/>
          <w:szCs w:val="24"/>
        </w:rPr>
        <w:t>。</w:t>
      </w:r>
    </w:p>
    <w:p w:rsidR="00D927FE" w:rsidRPr="0014655B" w:rsidRDefault="00D927FE" w:rsidP="00D927FE">
      <w:pPr>
        <w:tabs>
          <w:tab w:val="left" w:pos="1185"/>
          <w:tab w:val="left" w:pos="1418"/>
        </w:tabs>
        <w:spacing w:line="400" w:lineRule="exact"/>
        <w:ind w:left="1560" w:hanging="284"/>
        <w:jc w:val="both"/>
        <w:rPr>
          <w:rFonts w:ascii="標楷體" w:eastAsia="標楷體" w:hAnsi="標楷體"/>
        </w:rPr>
      </w:pPr>
      <w:r w:rsidRPr="0014655B">
        <w:rPr>
          <w:rFonts w:ascii="標楷體" w:eastAsia="標楷體" w:hAnsi="標楷體"/>
          <w:szCs w:val="24"/>
        </w:rPr>
        <w:t>iv.</w:t>
      </w:r>
      <w:r w:rsidRPr="0014655B">
        <w:rPr>
          <w:rFonts w:ascii="標楷體" w:eastAsia="標楷體" w:hAnsi="標楷體"/>
          <w:color w:val="000000"/>
        </w:rPr>
        <w:t>其他癌別：Creatinine&lt;1.5mg/dL且eGFR&gt;60mL/min/1.73m</w:t>
      </w:r>
      <w:r w:rsidRPr="0014655B">
        <w:rPr>
          <w:rFonts w:ascii="標楷體" w:eastAsia="標楷體" w:hAnsi="標楷體"/>
          <w:color w:val="000000"/>
          <w:vertAlign w:val="superscript"/>
        </w:rPr>
        <w:t>2</w:t>
      </w:r>
      <w:r w:rsidRPr="0014655B">
        <w:rPr>
          <w:rFonts w:ascii="標楷體" w:eastAsia="標楷體" w:hAnsi="標楷體"/>
          <w:color w:val="000000"/>
        </w:rPr>
        <w:t>。</w:t>
      </w:r>
    </w:p>
    <w:p w:rsidR="00D927FE" w:rsidRPr="0014655B" w:rsidRDefault="00D927FE" w:rsidP="00D927FE">
      <w:pPr>
        <w:tabs>
          <w:tab w:val="left" w:pos="2552"/>
        </w:tabs>
        <w:spacing w:line="400" w:lineRule="exact"/>
        <w:ind w:leftChars="237" w:left="1133" w:hangingChars="235" w:hanging="564"/>
        <w:jc w:val="both"/>
        <w:rPr>
          <w:rFonts w:ascii="標楷體" w:eastAsia="標楷體" w:hAnsi="標楷體"/>
        </w:rPr>
      </w:pPr>
      <w:r w:rsidRPr="0014655B">
        <w:rPr>
          <w:rFonts w:ascii="標楷體" w:eastAsia="標楷體" w:hAnsi="標楷體"/>
          <w:color w:val="000000"/>
        </w:rPr>
        <w:t xml:space="preserve"> (3)</w:t>
      </w:r>
      <w:r w:rsidRPr="00FE6497">
        <w:rPr>
          <w:rFonts w:ascii="標楷體" w:eastAsia="標楷體" w:hAnsi="標楷體"/>
          <w:color w:val="000000"/>
        </w:rPr>
        <w:t>病人</w:t>
      </w:r>
      <w:r w:rsidRPr="0014655B">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w:t>
      </w:r>
      <w:r w:rsidRPr="0014655B">
        <w:rPr>
          <w:rFonts w:ascii="標楷體" w:eastAsia="標楷體" w:hAnsi="標楷體" w:hint="eastAsia"/>
          <w:szCs w:val="24"/>
        </w:rPr>
        <w:t>、114/8/1</w:t>
      </w:r>
      <w:r>
        <w:rPr>
          <w:rFonts w:ascii="標楷體" w:eastAsia="標楷體" w:hAnsi="標楷體" w:hint="eastAsia"/>
          <w:szCs w:val="24"/>
        </w:rPr>
        <w:t>、114/10/1</w:t>
      </w:r>
      <w:r w:rsidRPr="00D927FE">
        <w:rPr>
          <w:rFonts w:ascii="標楷體" w:eastAsia="標楷體" w:hAnsi="標楷體" w:hint="eastAsia"/>
          <w:szCs w:val="24"/>
          <w:lang w:val="zh-TW" w:bidi="zh-TW"/>
        </w:rPr>
        <w:t>、</w:t>
      </w:r>
      <w:r w:rsidRPr="00D927FE">
        <w:rPr>
          <w:rFonts w:ascii="標楷體" w:eastAsia="標楷體" w:hAnsi="標楷體" w:hint="eastAsia"/>
          <w:szCs w:val="24"/>
          <w:lang w:bidi="zh-TW"/>
        </w:rPr>
        <w:t>115/2/1</w:t>
      </w:r>
      <w:r w:rsidRPr="0014655B">
        <w:rPr>
          <w:rFonts w:ascii="標楷體" w:eastAsia="標楷體" w:hAnsi="標楷體"/>
          <w:szCs w:val="24"/>
        </w:rPr>
        <w:t>)</w:t>
      </w:r>
    </w:p>
    <w:tbl>
      <w:tblPr>
        <w:tblW w:w="5009" w:type="pct"/>
        <w:jc w:val="center"/>
        <w:tblCellMar>
          <w:left w:w="10" w:type="dxa"/>
          <w:right w:w="10" w:type="dxa"/>
        </w:tblCellMar>
        <w:tblLook w:val="0000" w:firstRow="0" w:lastRow="0" w:firstColumn="0" w:lastColumn="0" w:noHBand="0" w:noVBand="0"/>
      </w:tblPr>
      <w:tblGrid>
        <w:gridCol w:w="1730"/>
        <w:gridCol w:w="577"/>
        <w:gridCol w:w="1605"/>
        <w:gridCol w:w="1404"/>
        <w:gridCol w:w="1562"/>
        <w:gridCol w:w="1235"/>
        <w:gridCol w:w="1532"/>
      </w:tblGrid>
      <w:tr w:rsidR="00D927FE" w:rsidRPr="0014655B" w:rsidTr="00D65C5D">
        <w:trPr>
          <w:cantSplit/>
          <w:trHeight w:val="406"/>
          <w:tblHeader/>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widowControl/>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lastRenderedPageBreak/>
              <w:t>給付範圍</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事審代碼</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pembrolizumab</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(Dako 22C3或Ventana SP263*)</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nivolumab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(Dako 28-8或Ventana SP263*)</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atezolizumab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SP142)</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avelumab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Durvalumab</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黑色素瘤</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P001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非小細胞肺癌</w:t>
            </w:r>
          </w:p>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鞏固治療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P015</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autoSpaceDE w:val="0"/>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autoSpaceDE w:val="0"/>
              <w:snapToGrid w:val="0"/>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PD-L1</w:t>
            </w:r>
            <w:r w:rsidRPr="0014655B">
              <w:rPr>
                <w:rFonts w:ascii="標楷體" w:eastAsia="標楷體" w:hAnsi="標楷體" w:cs="微軟正黑體" w:hint="eastAsia"/>
                <w:kern w:val="0"/>
                <w:sz w:val="20"/>
                <w:szCs w:val="20"/>
              </w:rPr>
              <w:t>≧</w:t>
            </w:r>
            <w:r w:rsidRPr="0014655B">
              <w:rPr>
                <w:rFonts w:ascii="標楷體" w:eastAsia="標楷體" w:hAnsi="標楷體"/>
                <w:kern w:val="0"/>
                <w:sz w:val="20"/>
                <w:szCs w:val="20"/>
              </w:rPr>
              <w:t xml:space="preserve"> 1%</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rPr>
              <w:t>鱗狀、非鱗狀非小細胞肺癌第一線用藥(單用)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TC≧50%或IC≧10%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非鱗狀非小細胞肺癌第一線用藥</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color w:val="000000"/>
                <w:sz w:val="20"/>
                <w:szCs w:val="20"/>
              </w:rPr>
              <w:t>鱗狀</w:t>
            </w:r>
            <w:r w:rsidRPr="0014655B">
              <w:rPr>
                <w:rFonts w:ascii="標楷體" w:eastAsia="標楷體" w:hAnsi="標楷體"/>
                <w:sz w:val="20"/>
                <w:szCs w:val="20"/>
              </w:rPr>
              <w:t>非小細胞肺癌第二線用藥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color w:val="000000"/>
                <w:sz w:val="20"/>
                <w:szCs w:val="20"/>
              </w:rPr>
              <w:t>非鱗狀</w:t>
            </w:r>
            <w:r w:rsidRPr="0014655B">
              <w:rPr>
                <w:rFonts w:ascii="標楷體" w:eastAsia="標楷體" w:hAnsi="標楷體"/>
                <w:sz w:val="20"/>
                <w:szCs w:val="20"/>
              </w:rPr>
              <w:t>非小細胞肺癌第三線用藥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鱗狀非小細胞肺癌第一線用藥（併用化療）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P014</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TPS 1~49%</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小細胞肺癌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P021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典型何杰金氏淋巴瘤</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P031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泌尿道上皮癌維持療法</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P043</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不需檢附報告</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泌尿道上皮癌第一線用藥</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P042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CPS</w:t>
            </w:r>
            <w:r w:rsidRPr="00D927FE">
              <w:rPr>
                <w:rFonts w:ascii="標楷體" w:eastAsia="標楷體" w:hAnsi="標楷體" w:cs="新細明體"/>
                <w:sz w:val="20"/>
                <w:szCs w:val="20"/>
              </w:rPr>
              <w:t>≧</w:t>
            </w:r>
            <w:r w:rsidRPr="00D927FE">
              <w:rPr>
                <w:rFonts w:ascii="標楷體" w:eastAsia="標楷體" w:hAnsi="標楷體"/>
                <w:sz w:val="20"/>
                <w:szCs w:val="20"/>
              </w:rPr>
              <w:t>10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IC≧5%</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(113年8月1日前審核同意符合續用申請條件者)</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697FAC"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泌尿道上皮癌第一線用藥(</w:t>
            </w:r>
            <w:r w:rsidRPr="00D927FE">
              <w:rPr>
                <w:rFonts w:ascii="標楷體" w:eastAsia="標楷體" w:hAnsi="標楷體" w:hint="eastAsia"/>
                <w:sz w:val="20"/>
                <w:szCs w:val="20"/>
              </w:rPr>
              <w:t>併用化療</w:t>
            </w:r>
            <w:r w:rsidRPr="00D927FE">
              <w:rPr>
                <w:rFonts w:ascii="標楷體" w:eastAsia="標楷體" w:hAnsi="標楷體"/>
                <w:sz w:val="20"/>
                <w:szCs w:val="20"/>
              </w:rPr>
              <w:t>)</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P044</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TC</w:t>
            </w:r>
            <w:r w:rsidRPr="00D927FE">
              <w:rPr>
                <w:rFonts w:ascii="Times New Roman" w:eastAsia="標楷體" w:hAnsi="Times New Roman"/>
                <w:sz w:val="20"/>
                <w:szCs w:val="20"/>
              </w:rPr>
              <w:t>≥</w:t>
            </w:r>
            <w:r w:rsidRPr="00D927FE">
              <w:rPr>
                <w:rFonts w:ascii="標楷體" w:eastAsia="標楷體" w:hAnsi="標楷體"/>
                <w:sz w:val="20"/>
                <w:szCs w:val="20"/>
              </w:rPr>
              <w:t>1%</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lastRenderedPageBreak/>
              <w:t>泌尿道上皮癌第二線用藥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P041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IC≧5%</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(113年8月1日前審核同意符合續用申請條件者)</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胃腺癌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P051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胃癌第一線用藥 (併用化療)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P052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≧5</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晚期腎細胞癌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P061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晚期肝細胞癌(109年4月1日前審核同意符合續用)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P071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晚期肝細胞癌第一線用藥</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P072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不需檢附報告（併用bevacizumab）</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不需檢附報告(併用tremelimumab)</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頭頸部鱗狀細胞癌第一線用藥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kern w:val="0"/>
                <w:sz w:val="20"/>
                <w:szCs w:val="20"/>
                <w:lang w:val="zh-TW" w:bidi="zh-TW"/>
              </w:rPr>
            </w:pPr>
            <w:r w:rsidRPr="0014655B">
              <w:rPr>
                <w:rFonts w:ascii="標楷體" w:eastAsia="標楷體" w:hAnsi="標楷體"/>
                <w:kern w:val="0"/>
                <w:sz w:val="20"/>
                <w:szCs w:val="20"/>
                <w:lang w:val="zh-TW" w:bidi="zh-TW"/>
              </w:rPr>
              <w:t>P082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lang w:val="zh-TW" w:bidi="zh-TW"/>
              </w:rPr>
              <w:t>CPS</w:t>
            </w:r>
            <w:r w:rsidRPr="0014655B">
              <w:rPr>
                <w:rFonts w:ascii="標楷體" w:eastAsia="標楷體" w:hAnsi="標楷體" w:cs="新細明體"/>
                <w:kern w:val="0"/>
                <w:sz w:val="20"/>
                <w:szCs w:val="20"/>
                <w:lang w:val="zh-TW" w:bidi="zh-TW"/>
              </w:rPr>
              <w:t>≧</w:t>
            </w:r>
            <w:r w:rsidRPr="0014655B">
              <w:rPr>
                <w:rFonts w:ascii="標楷體" w:eastAsia="標楷體" w:hAnsi="標楷體"/>
                <w:kern w:val="0"/>
                <w:sz w:val="20"/>
                <w:szCs w:val="20"/>
                <w:lang w:val="zh-TW" w:bidi="zh-TW"/>
              </w:rPr>
              <w:t>20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頭頸部鱗狀細胞癌第二線用藥</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P081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默克細胞癌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P091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74047E"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食道鱗狀細胞癌第一線用藥(併用化療)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kern w:val="0"/>
                <w:sz w:val="20"/>
                <w:szCs w:val="20"/>
              </w:rPr>
              <w:t>P102</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TC</w:t>
            </w:r>
            <w:r w:rsidRPr="00D927FE">
              <w:rPr>
                <w:rFonts w:ascii="標楷體" w:eastAsia="標楷體" w:hAnsi="標楷體" w:cs="新細明體"/>
                <w:sz w:val="20"/>
                <w:szCs w:val="20"/>
              </w:rPr>
              <w:t>≧1</w:t>
            </w:r>
            <w:r w:rsidRPr="00D927FE">
              <w:rPr>
                <w:rFonts w:ascii="標楷體" w:eastAsia="標楷體" w:hAnsi="標楷體"/>
                <w:sz w:val="20"/>
                <w:szCs w:val="20"/>
              </w:rPr>
              <w:t>%</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lastRenderedPageBreak/>
              <w:t>食道鱗狀細胞癌</w:t>
            </w:r>
            <w:r w:rsidRPr="00D927FE">
              <w:rPr>
                <w:rFonts w:ascii="標楷體" w:eastAsia="標楷體" w:hAnsi="標楷體" w:hint="eastAsia"/>
                <w:sz w:val="20"/>
                <w:szCs w:val="20"/>
              </w:rPr>
              <w:t>第二線用藥</w:t>
            </w:r>
          </w:p>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hint="eastAsia"/>
                <w:sz w:val="20"/>
                <w:szCs w:val="20"/>
              </w:rPr>
              <w:t>(單用)</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P101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rPr>
            </w:pPr>
            <w:r w:rsidRPr="00D927FE">
              <w:rPr>
                <w:rFonts w:ascii="標楷體" w:eastAsia="標楷體" w:hAnsi="標楷體"/>
                <w:sz w:val="20"/>
                <w:szCs w:val="20"/>
              </w:rPr>
              <w:t>TC</w:t>
            </w:r>
            <w:r w:rsidRPr="00D927FE">
              <w:rPr>
                <w:rFonts w:ascii="標楷體" w:eastAsia="標楷體" w:hAnsi="標楷體" w:cs="新細明體"/>
                <w:sz w:val="20"/>
                <w:szCs w:val="20"/>
              </w:rPr>
              <w:t>≧1</w:t>
            </w:r>
            <w:r w:rsidRPr="00D927FE">
              <w:rPr>
                <w:rFonts w:ascii="標楷體" w:eastAsia="標楷體" w:hAnsi="標楷體"/>
                <w:sz w:val="20"/>
                <w:szCs w:val="20"/>
              </w:rPr>
              <w:t>%</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D927FE" w:rsidRDefault="00D927FE" w:rsidP="00D65C5D">
            <w:pPr>
              <w:spacing w:line="400" w:lineRule="exact"/>
              <w:jc w:val="center"/>
              <w:rPr>
                <w:rFonts w:ascii="標楷體" w:eastAsia="標楷體" w:hAnsi="標楷體"/>
                <w:sz w:val="20"/>
                <w:szCs w:val="20"/>
              </w:rPr>
            </w:pPr>
            <w:r w:rsidRPr="00D927FE">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惡性肋膜間皮瘤(ipilimumab併用nivolumab)</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P111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sz w:val="20"/>
                <w:szCs w:val="20"/>
              </w:rPr>
              <w:t>不需檢附報告，</w:t>
            </w:r>
          </w:p>
          <w:p w:rsidR="00D927FE" w:rsidRPr="0014655B" w:rsidRDefault="00D927FE" w:rsidP="00D65C5D">
            <w:pPr>
              <w:spacing w:line="400" w:lineRule="exact"/>
              <w:jc w:val="center"/>
              <w:rPr>
                <w:rFonts w:ascii="標楷體" w:eastAsia="標楷體" w:hAnsi="標楷體"/>
              </w:rPr>
            </w:pPr>
            <w:r w:rsidRPr="0014655B">
              <w:rPr>
                <w:rFonts w:ascii="標楷體" w:eastAsia="標楷體" w:hAnsi="標楷體"/>
                <w:kern w:val="0"/>
                <w:sz w:val="20"/>
                <w:szCs w:val="20"/>
              </w:rPr>
              <w:t>病理組織為非上皮型(Non-epithelioid)</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膽道癌</w:t>
            </w:r>
          </w:p>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P121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早期三陰性乳癌(併用化療)</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P131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D927FE" w:rsidRPr="0014655B" w:rsidTr="00D65C5D">
        <w:trPr>
          <w:cantSplit/>
          <w:trHeight w:val="406"/>
          <w:jc w:val="center"/>
        </w:trPr>
        <w:tc>
          <w:tcPr>
            <w:tcW w:w="897"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大腸直腸癌</w:t>
            </w:r>
          </w:p>
        </w:tc>
        <w:tc>
          <w:tcPr>
            <w:tcW w:w="299"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P141</w:t>
            </w:r>
          </w:p>
        </w:tc>
        <w:tc>
          <w:tcPr>
            <w:tcW w:w="8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728"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10"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0"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794"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D927FE" w:rsidRPr="0014655B" w:rsidRDefault="00D927FE" w:rsidP="00D65C5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bl>
    <w:p w:rsidR="00D927FE" w:rsidRPr="0014655B" w:rsidRDefault="00D927FE" w:rsidP="00D927FE">
      <w:pPr>
        <w:tabs>
          <w:tab w:val="left" w:pos="1185"/>
        </w:tabs>
        <w:spacing w:line="400" w:lineRule="exact"/>
        <w:ind w:left="588" w:hanging="590"/>
        <w:rPr>
          <w:rFonts w:ascii="標楷體" w:eastAsia="標楷體" w:hAnsi="標楷體"/>
        </w:rPr>
      </w:pPr>
      <w:r w:rsidRPr="0014655B">
        <w:rPr>
          <w:rFonts w:ascii="標楷體" w:eastAsia="標楷體" w:hAnsi="標楷體"/>
          <w:color w:val="000000"/>
          <w:sz w:val="20"/>
          <w:szCs w:val="20"/>
        </w:rPr>
        <w:t>* Ventana SP263僅適用於檢測非小細胞肺癌或</w:t>
      </w:r>
      <w:r w:rsidRPr="0014655B">
        <w:rPr>
          <w:rFonts w:ascii="標楷體" w:eastAsia="標楷體" w:hAnsi="標楷體"/>
          <w:sz w:val="20"/>
          <w:szCs w:val="20"/>
        </w:rPr>
        <w:t>泌尿道上皮癌維持療法</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(4)每位病人每個適應症限給付一種免疫檢查點抑制劑且不得互換，治療期間亦不可合併申報該適應症之標靶藥物（atezolizumab與bevacizumab併用於晚期肝細胞癌第一線用藥</w:t>
      </w:r>
      <w:r w:rsidRPr="0014655B">
        <w:rPr>
          <w:rFonts w:ascii="標楷體" w:eastAsia="標楷體" w:hAnsi="標楷體" w:hint="eastAsia"/>
          <w:color w:val="000000"/>
        </w:rPr>
        <w:t>及</w:t>
      </w:r>
      <w:r w:rsidRPr="0014655B">
        <w:rPr>
          <w:rFonts w:ascii="標楷體" w:eastAsia="標楷體" w:hAnsi="標楷體"/>
          <w:color w:val="000000"/>
        </w:rPr>
        <w:t>非鱗狀非小細胞肺癌第一線用藥除外），無效後或給付時程期滿後則不再給付該適應症相關之標靶藥物。（enfortumab vedotin用於局部晚期或轉移性泌尿道上皮癌第三線用藥</w:t>
      </w:r>
      <w:r w:rsidRPr="00D927FE">
        <w:rPr>
          <w:rFonts w:ascii="標楷體" w:eastAsia="標楷體" w:hAnsi="標楷體" w:hint="eastAsia"/>
        </w:rPr>
        <w:t>及cetuximab用於頭頸部鱗狀細胞癌(不含鼻咽癌)</w:t>
      </w:r>
      <w:r w:rsidRPr="00D927FE">
        <w:rPr>
          <w:rFonts w:ascii="標楷體" w:eastAsia="標楷體" w:hAnsi="標楷體"/>
        </w:rPr>
        <w:t xml:space="preserve"> 除外 ）。(108/4/1、111/6/1、112/8/1、113/5/1</w:t>
      </w:r>
      <w:r w:rsidRPr="00D927FE">
        <w:rPr>
          <w:rFonts w:ascii="標楷體" w:eastAsia="標楷體" w:hAnsi="標楷體" w:hint="eastAsia"/>
        </w:rPr>
        <w:t>、115/2/1</w:t>
      </w:r>
      <w:r w:rsidRPr="00D927FE">
        <w:rPr>
          <w:rFonts w:ascii="標楷體" w:eastAsia="標楷體" w:hAnsi="標楷體"/>
        </w:rPr>
        <w:t>)</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(5)給付時程期限：自初次處方用藥日起算2年（pembrolizumab用於早期三陰性乳癌依前述給付時程期限至多使用17個療程、durvalumab用於鞏固治療自初次處方用藥日起算1年）。(109/4/1、109/11/1、114/6/1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(6)需經單筆電子申請事前審查核准後使用，申請時需上傳病歷資料(不適用特殊病例事前審查，亦不適用緊急報備，惟已獲核定用藥之病人因轉院可緊急報備申請續用)。(108/4/1、110/10/1、111/6/1)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(7)每次申請以12週為限，初次申請時需檢附以下資料：(108/6/1、109/11/1、111/6/1、113/6/1、114/6/1</w:t>
      </w:r>
      <w:r w:rsidRPr="00D927FE">
        <w:rPr>
          <w:rFonts w:ascii="標楷體" w:eastAsia="標楷體" w:hAnsi="標楷體" w:hint="eastAsia"/>
        </w:rPr>
        <w:t>、115/2/1</w:t>
      </w:r>
      <w:r w:rsidRPr="0014655B">
        <w:rPr>
          <w:rFonts w:ascii="標楷體" w:eastAsia="標楷體" w:hAnsi="標楷體"/>
          <w:color w:val="000000"/>
        </w:rPr>
        <w: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I.確實患有相關癌症之病理或細胞檢查報告，黑色素瘤患者需另檢附BRAF腫瘤基因檢測結果、非小細胞肺癌患者需另檢附符合給付適應症內容規定之腫瘤基</w:t>
      </w:r>
      <w:r w:rsidRPr="0014655B">
        <w:rPr>
          <w:rFonts w:ascii="標楷體" w:eastAsia="標楷體" w:hAnsi="標楷體"/>
          <w:color w:val="000000"/>
        </w:rPr>
        <w:lastRenderedPageBreak/>
        <w:t>因檢測結果報告，上述基因檢測須符合全民健康保險藥品給付規定之通則十二。(113/6/1)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Ⅱ.生物標記表現量檢測報告：PD-L1表現量檢測結果需符合全民健康保險藥品給付規定之通則十二。(111/6/1、113/6/1)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Ⅲ.病人身體狀況良好(ECOG≦1)及心肺與肝腎功能之評估資料。</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IV.病人12週內之疾病影像檢查及報告(如胸部X光、電腦斷層或其他可作為評估的影像)，此影像證明以可測量(measurable)的病灶為優先，如沒有可以測量的病灶，則可評估(evaluable)的病灶亦可採用。</w:t>
      </w:r>
    </w:p>
    <w:p w:rsidR="00D927FE" w:rsidRPr="0014655B" w:rsidRDefault="00D927FE" w:rsidP="00D927FE">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先前已接受過之治療與完整用藥資料(如化學治療、標靶藥物及自費等用藥之劑量及療程)及其治療結果；典型何杰金氏淋巴瘤患者需另檢附自體造血幹細胞移植之病歷紀錄；肝細胞癌患者需另檢附T.A.C.E.治療紀錄。</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VI.使用免疫檢查點抑制劑之治療計畫(treatment protocol)。</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Ⅶ.</w:t>
      </w:r>
      <w:r w:rsidRPr="00D927FE">
        <w:rPr>
          <w:rFonts w:ascii="標楷體" w:eastAsia="標楷體" w:hAnsi="標楷體" w:hint="eastAsia"/>
          <w:szCs w:val="24"/>
        </w:rPr>
        <w:t>單獨使用</w:t>
      </w:r>
      <w:r w:rsidRPr="00D927FE">
        <w:rPr>
          <w:rFonts w:ascii="標楷體" w:eastAsia="標楷體" w:hAnsi="標楷體"/>
          <w:szCs w:val="24"/>
        </w:rPr>
        <w:t>pembrolizumab</w:t>
      </w:r>
      <w:r w:rsidRPr="00697FAC">
        <w:rPr>
          <w:rFonts w:ascii="標楷體" w:eastAsia="標楷體" w:hAnsi="標楷體" w:hint="eastAsia"/>
          <w:color w:val="000000"/>
          <w:szCs w:val="24"/>
        </w:rPr>
        <w:t>於泌尿道上皮癌第一線用藥時，須另檢附下列其中一項佐證資料：(111/2/1、114/6/1</w:t>
      </w:r>
      <w:r w:rsidRPr="00D927FE">
        <w:rPr>
          <w:rFonts w:ascii="標楷體" w:eastAsia="標楷體" w:hAnsi="標楷體" w:hint="eastAsia"/>
          <w:szCs w:val="24"/>
        </w:rPr>
        <w:t>、115/2/1</w:t>
      </w:r>
      <w:r w:rsidRPr="00697FAC">
        <w:rPr>
          <w:rFonts w:ascii="標楷體" w:eastAsia="標楷體" w:hAnsi="標楷體" w:hint="eastAsia"/>
          <w:color w:val="000000"/>
          <w:szCs w:val="24"/>
        </w:rPr>
        <w:t>)</w:t>
      </w:r>
    </w:p>
    <w:p w:rsidR="00D927FE" w:rsidRPr="0014655B" w:rsidRDefault="00D927FE" w:rsidP="00D927FE">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w:t>
      </w:r>
      <w:r w:rsidRPr="00FE6497">
        <w:rPr>
          <w:rFonts w:ascii="標楷體" w:eastAsia="標楷體" w:hAnsi="標楷體"/>
          <w:color w:val="000000"/>
          <w:szCs w:val="24"/>
        </w:rPr>
        <w:t>CTCAE</w:t>
      </w:r>
      <w:r w:rsidRPr="0014655B">
        <w:rPr>
          <w:rFonts w:ascii="標楷體" w:eastAsia="標楷體" w:hAnsi="標楷體"/>
          <w:color w:val="000000"/>
        </w:rPr>
        <w:t>(the common terminology criteria for adverse events) v4.0 grade≧2 audiometric hearing loss</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D927FE"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Ⅷ.使用於早期三陰性乳癌</w:t>
      </w:r>
      <w:bookmarkStart w:id="27" w:name="_Hlk183189870"/>
      <w:r w:rsidRPr="0014655B">
        <w:rPr>
          <w:rFonts w:ascii="標楷體" w:eastAsia="標楷體" w:hAnsi="標楷體"/>
          <w:color w:val="000000"/>
        </w:rPr>
        <w:t>用藥時，初次申請時需檢附</w:t>
      </w:r>
      <w:bookmarkEnd w:id="27"/>
      <w:r w:rsidRPr="0014655B">
        <w:rPr>
          <w:rFonts w:ascii="標楷體" w:eastAsia="標楷體" w:hAnsi="標楷體"/>
          <w:color w:val="000000"/>
        </w:rPr>
        <w:t>ER、PR及HER2為陰性之</w:t>
      </w:r>
    </w:p>
    <w:p w:rsidR="00D927FE" w:rsidRPr="0014655B" w:rsidRDefault="00D927FE" w:rsidP="00D927FE">
      <w:pPr>
        <w:tabs>
          <w:tab w:val="left" w:pos="1985"/>
        </w:tabs>
        <w:spacing w:line="400" w:lineRule="exact"/>
        <w:ind w:left="1701" w:hanging="141"/>
        <w:jc w:val="both"/>
        <w:rPr>
          <w:rFonts w:ascii="標楷體" w:eastAsia="標楷體" w:hAnsi="標楷體"/>
          <w:color w:val="000000"/>
        </w:rPr>
      </w:pPr>
      <w:r w:rsidRPr="0014655B">
        <w:rPr>
          <w:rFonts w:ascii="標楷體" w:eastAsia="標楷體" w:hAnsi="標楷體"/>
          <w:color w:val="000000"/>
        </w:rPr>
        <w:t>檢測報告。(114/6/1)</w:t>
      </w:r>
    </w:p>
    <w:p w:rsidR="00D927FE" w:rsidRPr="0014655B" w:rsidRDefault="00D927FE" w:rsidP="00167FEB">
      <w:pPr>
        <w:numPr>
          <w:ilvl w:val="0"/>
          <w:numId w:val="15"/>
        </w:numPr>
        <w:suppressAutoHyphens w:val="0"/>
        <w:spacing w:line="400" w:lineRule="exact"/>
        <w:ind w:left="1701" w:hanging="422"/>
        <w:textAlignment w:val="auto"/>
        <w:rPr>
          <w:rFonts w:ascii="標楷體" w:eastAsia="標楷體" w:hAnsi="標楷體"/>
          <w:color w:val="000000"/>
        </w:rPr>
      </w:pPr>
      <w:r w:rsidRPr="0014655B">
        <w:rPr>
          <w:rFonts w:ascii="標楷體" w:eastAsia="標楷體" w:hAnsi="標楷體"/>
          <w:color w:val="000000"/>
        </w:rPr>
        <w:t>其他佐證病歷資料。</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 xml:space="preserve"> (8)用藥後每12週至少評估一次，以i-RECIST標準(HCC患者以mRECIST標準)評定藥物療效反應，依下列原則申請續用：(109/4/1、109/11/1、114/6/1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I.有療效反應(PR及CR)者得繼續用藥；</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II.出現疾病惡化(PD)或出現中、重度或危及生命之藥物不良反應者，應停止用藥；</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Ⅲ.出現疾病併發症或輕度藥物不良反應等，暫停用藥超過原事前審查核定日起24週期限者，不得申請續用。</w:t>
      </w:r>
    </w:p>
    <w:p w:rsidR="00D927FE" w:rsidRPr="0014655B" w:rsidRDefault="00D927FE" w:rsidP="00D927FE">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Ⅳ</w:t>
      </w:r>
      <w:r w:rsidRPr="0014655B">
        <w:rPr>
          <w:rFonts w:ascii="標楷體" w:eastAsia="標楷體" w:hAnsi="標楷體" w:cs="新細明體"/>
          <w:color w:val="000000"/>
          <w:kern w:val="0"/>
          <w:szCs w:val="24"/>
        </w:rPr>
        <w:t>用藥後評估疾病呈穩定狀態者(SD)，可持續再用藥12週，並於12週後再次評估；經連續二次評估皆為SD者，不得申請續用。durvalumab用於非小細胞肺癌之鞏固治療不在此限。(114/8/1)</w:t>
      </w:r>
    </w:p>
    <w:p w:rsidR="00D927FE" w:rsidRPr="0014655B" w:rsidRDefault="00D927FE" w:rsidP="00D927FE">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使用於早期三陰性乳癌，術前前導性治療腫瘤惡化(PD)者，或術後輔助治療復發者，不得申請續用。(114/6/1)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(9)申請續用時，需檢附病人12週內之評估資料如下：(108/6/1、109/11/1)</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lastRenderedPageBreak/>
        <w:t>I.病人身體狀況良好(ECOG≦1)及心肺與肝腎功能之評估資料。</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以i-RECIST標準(HCC患者以mRECIST標準)評定之藥物療效反應(PR、CR、SD)資料、影像檢查及報告(如胸部X光、電腦斷層或其他可作為評估的影像)，此影像證明以可測量(measurable)的病灶為優先，如沒有可以測量的病灶，則可評估(evaluable)的病灶亦可採用。</w:t>
      </w:r>
    </w:p>
    <w:p w:rsidR="00D927FE" w:rsidRPr="0014655B" w:rsidRDefault="00D927FE" w:rsidP="00D927FE">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D927FE" w:rsidRPr="0014655B" w:rsidRDefault="00D927FE" w:rsidP="00D927FE">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w:t>
      </w:r>
      <w:r w:rsidRPr="00D927FE">
        <w:rPr>
          <w:rFonts w:ascii="標楷體" w:eastAsia="標楷體" w:hAnsi="標楷體" w:hint="eastAsia"/>
          <w:szCs w:val="24"/>
        </w:rPr>
        <w:t>單獨使用pembrolizumab</w:t>
      </w:r>
      <w:r w:rsidRPr="00697FAC">
        <w:rPr>
          <w:rFonts w:ascii="標楷體" w:eastAsia="標楷體" w:hAnsi="標楷體" w:hint="eastAsia"/>
          <w:color w:val="000000"/>
          <w:szCs w:val="24"/>
        </w:rPr>
        <w:t>於泌尿道上皮癌第一線用藥時，須另檢附下列其中一項佐證資料：(108/6/1、109/11/1、114/6/1</w:t>
      </w:r>
      <w:r w:rsidRPr="00D927FE">
        <w:rPr>
          <w:rFonts w:ascii="標楷體" w:eastAsia="標楷體" w:hAnsi="標楷體" w:hint="eastAsia"/>
          <w:szCs w:val="24"/>
        </w:rPr>
        <w:t>、115/2/1</w:t>
      </w:r>
      <w:r w:rsidRPr="00697FAC">
        <w:rPr>
          <w:rFonts w:ascii="標楷體" w:eastAsia="標楷體" w:hAnsi="標楷體" w:hint="eastAsia"/>
          <w:color w:val="000000"/>
          <w:szCs w:val="24"/>
        </w:rPr>
        <w:t>)</w:t>
      </w:r>
    </w:p>
    <w:p w:rsidR="00D927FE" w:rsidRPr="0014655B" w:rsidRDefault="00D927FE" w:rsidP="00D927FE">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D927FE" w:rsidRPr="0014655B" w:rsidRDefault="00D927FE" w:rsidP="00D927FE">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D927FE" w:rsidRDefault="00D927FE" w:rsidP="00D927FE">
      <w:pPr>
        <w:tabs>
          <w:tab w:val="left" w:pos="1418"/>
        </w:tabs>
        <w:spacing w:line="400" w:lineRule="exact"/>
        <w:ind w:left="1418" w:hanging="141"/>
        <w:jc w:val="both"/>
        <w:rPr>
          <w:rFonts w:ascii="標楷體" w:eastAsia="標楷體" w:hAnsi="標楷體"/>
        </w:rPr>
      </w:pPr>
      <w:r w:rsidRPr="0014655B">
        <w:rPr>
          <w:rFonts w:ascii="標楷體" w:eastAsia="標楷體" w:hAnsi="標楷體"/>
          <w:color w:val="000000"/>
          <w:szCs w:val="24"/>
        </w:rPr>
        <w:t>IV.</w:t>
      </w:r>
      <w:r w:rsidRPr="0014655B">
        <w:rPr>
          <w:rFonts w:ascii="標楷體" w:eastAsia="標楷體" w:hAnsi="標楷體"/>
          <w:szCs w:val="24"/>
        </w:rPr>
        <w:t>使用於早期三陰性乳癌術後輔助治療時，須檢附於乳房和/或手術切除的淋巴結中發現有殘餘的侵襲性癌症(non-pCR)佐證。(114/6/1)</w:t>
      </w:r>
    </w:p>
    <w:p w:rsidR="00D927FE" w:rsidRPr="0014655B" w:rsidRDefault="00D927FE" w:rsidP="00D927FE">
      <w:pPr>
        <w:tabs>
          <w:tab w:val="left" w:pos="1418"/>
        </w:tabs>
        <w:spacing w:line="400" w:lineRule="exact"/>
        <w:ind w:left="1418" w:hanging="141"/>
        <w:jc w:val="both"/>
        <w:rPr>
          <w:rFonts w:ascii="標楷體" w:eastAsia="標楷體" w:hAnsi="標楷體"/>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其他佐證病歷資料。</w:t>
      </w:r>
    </w:p>
    <w:p w:rsidR="00D927FE" w:rsidRPr="0014655B" w:rsidRDefault="00D927FE" w:rsidP="00D927FE">
      <w:pPr>
        <w:tabs>
          <w:tab w:val="left" w:pos="710"/>
        </w:tabs>
        <w:spacing w:line="400" w:lineRule="exact"/>
        <w:ind w:leftChars="237" w:left="991" w:hangingChars="176" w:hanging="422"/>
        <w:rPr>
          <w:rFonts w:ascii="標楷體" w:eastAsia="標楷體" w:hAnsi="標楷體"/>
          <w:color w:val="000000"/>
        </w:rPr>
      </w:pPr>
      <w:r w:rsidRPr="0014655B">
        <w:rPr>
          <w:rFonts w:ascii="標楷體" w:eastAsia="標楷體" w:hAnsi="標楷體"/>
          <w:color w:val="000000"/>
        </w:rPr>
        <w:t>4.登錄與結案作業：(109/11/1、114/1/1）</w:t>
      </w:r>
    </w:p>
    <w:p w:rsidR="00D927FE" w:rsidRPr="0014655B"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(109/11/1、114/1/1)</w:t>
      </w:r>
    </w:p>
    <w:p w:rsidR="00B96EA0" w:rsidRDefault="00D927FE" w:rsidP="00D927FE">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(2)已結案者自結案日後不予支付藥費。</w:t>
      </w:r>
    </w:p>
    <w:p w:rsidR="00A15393" w:rsidRDefault="002F7398" w:rsidP="00A15393">
      <w:pPr>
        <w:spacing w:line="400" w:lineRule="exact"/>
        <w:ind w:left="283"/>
        <w:rPr>
          <w:rFonts w:ascii="標楷體" w:eastAsia="標楷體" w:hAnsi="標楷體"/>
          <w:color w:val="000000"/>
        </w:rPr>
      </w:pPr>
      <w:bookmarkStart w:id="28" w:name="_Hlk212113299"/>
      <w:r>
        <w:rPr>
          <w:rFonts w:ascii="標楷體" w:eastAsia="標楷體" w:hAnsi="標楷體"/>
          <w:color w:val="000000"/>
        </w:rPr>
        <w:t>9.70.</w:t>
      </w:r>
      <w:bookmarkEnd w:id="28"/>
      <w:r w:rsidR="00A15393" w:rsidRPr="00A15393">
        <w:rPr>
          <w:rFonts w:ascii="標楷體" w:eastAsia="標楷體" w:hAnsi="標楷體"/>
          <w:color w:val="000000"/>
        </w:rPr>
        <w:t xml:space="preserve"> </w:t>
      </w:r>
      <w:r w:rsidR="00A15393">
        <w:rPr>
          <w:rFonts w:ascii="標楷體" w:eastAsia="標楷體" w:hAnsi="標楷體"/>
          <w:color w:val="000000"/>
        </w:rPr>
        <w:t>Pertuzumab(如Perjeta)：(108/5/1、108/12/1、112/8/1、113/12/1、114/1/1、114/5/1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(1)使用於術前輔助治療，經外科手術後達病理上完全緩解者（pCR），得繼續使用至18個療程為上限。</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Ⅲ：pertuzumab與trastuzumab皮下注射複方製劑(如Phesgo)</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w:t>
      </w:r>
      <w:r>
        <w:rPr>
          <w:rFonts w:ascii="標楷體" w:eastAsia="標楷體" w:hAnsi="標楷體"/>
          <w:color w:val="000000"/>
        </w:rPr>
        <w:lastRenderedPageBreak/>
        <w:t>有惡化情形即不應再行申請。（113/12/1、114/5/1）</w:t>
      </w:r>
    </w:p>
    <w:p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(1)Pertuzumab與trastuzumab及docetaxel併用於治療轉移後未曾以抗HER2或化學療法治療之HER2過度表現(IHC3+或FISH+)轉移性乳癌病人。(108/12/1、112/8/1)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Ⅱ：pertuzumab與trastuzumab皮下注射複方製劑(如Phesgo)</w:t>
      </w:r>
    </w:p>
    <w:p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pertuzumab與trastuzumab併用或使用pertuzumab與trastuzumab皮下注射複方製劑(如Phesgo)者，不得再次申請pertuzumab與trastuzumab併用，惟於早期乳癌治療結束至首次疾病復發轉移時間超過12個月以上者得再次申請。(113/12/1)</w:t>
      </w:r>
    </w:p>
    <w:p w:rsidR="008B5474" w:rsidRPr="008E774D" w:rsidRDefault="008B5474" w:rsidP="008B5474">
      <w:pPr>
        <w:spacing w:line="400" w:lineRule="exact"/>
        <w:ind w:left="283"/>
      </w:pPr>
      <w:bookmarkStart w:id="29" w:name="_Hlk75424822"/>
      <w:bookmarkStart w:id="30" w:name="_Hlk204092271"/>
      <w:r w:rsidRPr="008E774D">
        <w:rPr>
          <w:rFonts w:ascii="標楷體" w:eastAsia="標楷體" w:hAnsi="標楷體"/>
          <w:color w:val="000000"/>
        </w:rPr>
        <w:t>9.71.</w:t>
      </w:r>
      <w:bookmarkEnd w:id="29"/>
      <w:r w:rsidRPr="008E774D">
        <w:t xml:space="preserve"> </w:t>
      </w:r>
      <w:r w:rsidRPr="008E774D">
        <w:rPr>
          <w:rFonts w:ascii="標楷體" w:eastAsia="標楷體" w:hAnsi="標楷體"/>
          <w:color w:val="000000"/>
        </w:rPr>
        <w:t>Venetoclax (如Venclexta)：(108/9/1、110/7/1、112/7/1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(如R-CVP、R-CHOP、rituximab加bendamustine等)的治療2個療程以上仍惡化或復發者。</w:t>
      </w:r>
    </w:p>
    <w:p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10.0gm/dL或PLT&lt;100K/uL，且無其他原因可以解釋。</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(3)需經事前審查核准後使用，每3個月需再次申請。再次申請時需檢附療效評估資料，若未達iwCLL(International Workshop on CLL)最新定義之partial remission或complete remission，則不予給付。</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缺失病人，v</w:t>
      </w:r>
      <w:r w:rsidRPr="008E774D">
        <w:rPr>
          <w:rFonts w:ascii="標楷體" w:eastAsia="標楷體" w:hAnsi="標楷體"/>
          <w:color w:val="000000"/>
        </w:rPr>
        <w:t>enetoclax、acalabrutinib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及z</w:t>
      </w:r>
      <w:r>
        <w:rPr>
          <w:rFonts w:ascii="標楷體" w:eastAsia="標楷體" w:hAnsi="標楷體"/>
          <w:color w:val="000000"/>
        </w:rPr>
        <w:t>anubrutinib</w:t>
      </w:r>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lastRenderedPageBreak/>
        <w:t>(5)每日至多處方4粒。</w:t>
      </w:r>
    </w:p>
    <w:p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併用低劑量cytarabine或azacitidine(除Winduza及Azacitidine Lyophilized Inj 100mg"GBC"以外)，使用於無法接受高強度化學治療之初診斷急性骨髓性白血病(AML)病人：(110/7/1、114/8/1)</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(1)需具有下列I.或Ⅱ.的條件之一：</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30"/>
    </w:p>
    <w:p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CDK4/6抑制劑 (如 ribociclib；palbociclib)：(108/10/1、108/12/1、109/4/1、109/10/1、110/5/1、110/10/1、113/1/1、113/3/1、114/7/1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Ⅲ.FSH及estradiol血液檢測值在停經後數值範圍內。</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lastRenderedPageBreak/>
        <w:t>(2)HER-2 檢測為陰性。</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限palbociclib與fulvestrant併用於治療曾接受過內分泌療法之局部晚期或轉移性乳癌病人，且須完全符合下列條件：(115/1/1)</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r w:rsidRPr="002E042D">
        <w:rPr>
          <w:rFonts w:ascii="標楷體" w:eastAsia="標楷體" w:hAnsi="標楷體"/>
          <w:color w:val="000000"/>
        </w:rPr>
        <w:t>ribociclib、palbociclib</w:t>
      </w:r>
      <w:r>
        <w:rPr>
          <w:rFonts w:ascii="標楷體" w:eastAsia="標楷體" w:hAnsi="標楷體"/>
          <w:color w:val="000000"/>
        </w:rPr>
        <w:t>。（110/10/1）</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(1)ribociclib 每日最多處方3粒。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ribociclib與palbociclib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(4)若先前於早期乳癌使用abemaciclib無效後，或於晚期乳癌使用ribociclib、palbociclib無效後，不得再申請ribociclib、palbociclib。(113/3/1、115/1/1)</w:t>
      </w:r>
    </w:p>
    <w:p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.若先前使用 everolimus 無效後，不得再申請本類藥品。(109/4/1)</w:t>
      </w:r>
    </w:p>
    <w:p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9.73.Inotuzumab ozogamicin (如Besponsa)：(108/11/1、112/12/1)</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4.不得與blinatumomab（如Blincyto）或酪胺酸激酶抑制劑(TKI)（如imatinib、dasatinib、ponatinib）等併用。</w:t>
      </w:r>
    </w:p>
    <w:p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w:t>
      </w:r>
      <w:r>
        <w:rPr>
          <w:rFonts w:ascii="標楷體" w:eastAsia="標楷體" w:hAnsi="標楷體"/>
          <w:szCs w:val="24"/>
        </w:rPr>
        <w:lastRenderedPageBreak/>
        <w:t>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不得申請給付inotuzumab ozogamicin。（112</w:t>
      </w:r>
      <w:r>
        <w:rPr>
          <w:rFonts w:ascii="標楷體" w:eastAsia="標楷體" w:hAnsi="標楷體"/>
          <w:bCs/>
          <w:szCs w:val="24"/>
        </w:rPr>
        <w:t>/12/1）</w:t>
      </w:r>
    </w:p>
    <w:p w:rsidR="00105765" w:rsidRPr="00105765" w:rsidRDefault="00105765" w:rsidP="00105765">
      <w:pPr>
        <w:spacing w:line="400" w:lineRule="exact"/>
        <w:ind w:left="284"/>
        <w:rPr>
          <w:rFonts w:ascii="標楷體" w:eastAsia="標楷體" w:hAnsi="標楷體"/>
          <w:color w:val="000000"/>
        </w:rPr>
      </w:pPr>
      <w:bookmarkStart w:id="31" w:name="_Hlk204092375"/>
      <w:r w:rsidRPr="00105765">
        <w:rPr>
          <w:rFonts w:ascii="標楷體" w:eastAsia="標楷體" w:hAnsi="標楷體"/>
          <w:color w:val="000000"/>
        </w:rPr>
        <w:t>9.74.Cabozantinib (如Cabometyx)： (108/12/1、110/12/1、</w:t>
      </w:r>
      <w:r w:rsidRPr="00105765">
        <w:rPr>
          <w:rFonts w:ascii="標楷體" w:eastAsia="標楷體" w:hAnsi="標楷體" w:hint="eastAsia"/>
          <w:color w:val="000000"/>
        </w:rPr>
        <w:t>114/8/1</w:t>
      </w:r>
      <w:r w:rsidRPr="00105765">
        <w:rPr>
          <w:rFonts w:ascii="標楷體" w:eastAsia="標楷體" w:hAnsi="標楷體"/>
          <w:color w:val="000000"/>
        </w:rPr>
        <w:t>)</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(1)適用於未曾接受過治療的中度/重度風險晚期腎細胞癌病人。（110/12/1）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無效後則不給付temsirolimus。</w:t>
      </w:r>
    </w:p>
    <w:p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1"/>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(如Kyprolis)：(109/2/1、112/4/1、113/4/1)</w:t>
      </w:r>
    </w:p>
    <w:p w:rsidR="00B96EA0" w:rsidRDefault="007D66B8" w:rsidP="005142EB">
      <w:pPr>
        <w:spacing w:line="400" w:lineRule="exact"/>
        <w:ind w:left="991" w:hanging="283"/>
      </w:pPr>
      <w:r>
        <w:rPr>
          <w:rFonts w:ascii="標楷體" w:eastAsia="標楷體" w:hAnsi="標楷體"/>
          <w:color w:val="000000"/>
        </w:rPr>
        <w:t xml:space="preserve">1.與dexamethasone合併使用於先前曾接受含bortezomib及lenalidomide兩種治療後無法耐受或惡化之病患，且須具有良好日常體能狀態(ECOG &lt; 2)及足夠腎功能(CrCl </w:t>
      </w:r>
      <w:r>
        <w:rPr>
          <w:rFonts w:ascii="Times New Roman" w:eastAsia="標楷體" w:hAnsi="Times New Roman"/>
          <w:sz w:val="28"/>
          <w:szCs w:val="28"/>
        </w:rPr>
        <w:t>≥</w:t>
      </w:r>
      <w:r>
        <w:rPr>
          <w:rFonts w:ascii="標楷體" w:eastAsia="標楷體" w:hAnsi="標楷體"/>
          <w:color w:val="000000"/>
        </w:rPr>
        <w:t>50 ml/minute)的多發性骨髓瘤成年患者。</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2.與isatuximab/dexamethasone併用，治療先前曾接受至少一種含bortezomib 或 lenalidomide 之療法治療失敗的多發性骨髓瘤成人患者，且須具有良好日常體能狀態 (ECOG &lt; 2) 者。（113/4/1）</w:t>
      </w:r>
    </w:p>
    <w:p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.Urine M-protein需增加≧0.2 gm/24Hr，且需較前一線治療中的最低值增</w:t>
      </w:r>
      <w:r>
        <w:rPr>
          <w:rFonts w:ascii="標楷體" w:eastAsia="標楷體" w:hAnsi="標楷體"/>
          <w:color w:val="000000"/>
        </w:rPr>
        <w:lastRenderedPageBreak/>
        <w:t>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rsidR="00F95F32" w:rsidRDefault="00F95F32" w:rsidP="00F95F32">
      <w:pPr>
        <w:spacing w:line="400" w:lineRule="exact"/>
        <w:rPr>
          <w:rFonts w:ascii="標楷體" w:eastAsia="標楷體" w:hAnsi="標楷體"/>
          <w:color w:val="000000"/>
        </w:rPr>
      </w:pPr>
      <w:bookmarkStart w:id="32" w:name="_Hlk209192170"/>
      <w:r>
        <w:rPr>
          <w:rFonts w:ascii="標楷體" w:eastAsia="標楷體" w:hAnsi="標楷體"/>
          <w:color w:val="000000"/>
        </w:rPr>
        <w:t>9.76.Midostaurin (如Rydapt)：(109/2/1、113/6/1、114/10/1)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6.本藥品與quizartinib僅得擇一使用，除因耐受性不良，不得互換。(114/10/1)</w:t>
      </w:r>
      <w:bookmarkEnd w:id="32"/>
    </w:p>
    <w:p w:rsidR="00B96EA0" w:rsidRDefault="007D66B8" w:rsidP="00F95F32">
      <w:pPr>
        <w:spacing w:line="400" w:lineRule="exact"/>
      </w:pPr>
      <w:r>
        <w:rPr>
          <w:rFonts w:ascii="標楷體" w:eastAsia="標楷體" w:hAnsi="標楷體"/>
          <w:color w:val="000000"/>
        </w:rPr>
        <w:t>9.77.</w:t>
      </w:r>
      <w:r>
        <w:t xml:space="preserve"> </w:t>
      </w:r>
      <w:r>
        <w:rPr>
          <w:rFonts w:ascii="標楷體" w:eastAsia="標楷體" w:hAnsi="標楷體"/>
          <w:color w:val="000000"/>
        </w:rPr>
        <w:t>Ixazomib (如Ninlaro)：(109/3/1、112/4/1)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lastRenderedPageBreak/>
        <w:t>1.與lenalidomide及dexamethasone合併使用於先前已接受至少一種治療失敗之多發性骨髓瘤病患，並符合下列條件之一：</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曾接受bortezomib治療失敗，但有嚴重心血管共病無法接受carfizomib 治療之病患。（109/3/1、112/4/1）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xml:space="preserve">.Urine M-protein需增加≧0.2 gm/24Hr，且需較前一線治療中的最低值增加≧25%。 </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w:t>
      </w:r>
      <w:r>
        <w:rPr>
          <w:rFonts w:ascii="標楷體" w:eastAsia="標楷體" w:hAnsi="標楷體"/>
          <w:color w:val="000000"/>
        </w:rPr>
        <w:lastRenderedPageBreak/>
        <w:t>免疫調節劑(immunomodulatory drugs)併用。（109/3/1、112/4/1）</w:t>
      </w:r>
    </w:p>
    <w:p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t>9.78.</w:t>
      </w:r>
      <w:r>
        <w:t xml:space="preserve"> </w:t>
      </w:r>
      <w:bookmarkStart w:id="33"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如Darzalex</w:t>
      </w:r>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具有下列任一疾病惡化的指標：病患開始治療前須在連續2次評估中均符合同一指標(但若為plamacytoma 體積增加，或是新產生的bone lesion(s)或新plasmacytoma，則僅需1次評估)：（112/4/1）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lastRenderedPageBreak/>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5.Daratumumab與isatuximab二者</w:t>
      </w:r>
      <w:r w:rsidRPr="00276A1A">
        <w:rPr>
          <w:rFonts w:ascii="標楷體" w:eastAsia="標楷體" w:hAnsi="標楷體" w:hint="eastAsia"/>
          <w:szCs w:val="24"/>
        </w:rPr>
        <w:t>僅能擇一使用，除因藥物耐受不良以外，不可以其他原因申請互換使用。（113/4/1）</w:t>
      </w:r>
      <w:bookmarkEnd w:id="33"/>
    </w:p>
    <w:p w:rsidR="00275C39" w:rsidRPr="00275C39" w:rsidRDefault="00275C39" w:rsidP="00275C39">
      <w:pPr>
        <w:spacing w:line="400" w:lineRule="exact"/>
        <w:ind w:left="672" w:hanging="386"/>
        <w:rPr>
          <w:rFonts w:ascii="標楷體" w:eastAsia="標楷體" w:hAnsi="標楷體"/>
          <w:color w:val="000000"/>
        </w:rPr>
      </w:pPr>
      <w:bookmarkStart w:id="34" w:name="_Hlk204089600"/>
      <w:r w:rsidRPr="00275C39">
        <w:rPr>
          <w:rFonts w:ascii="標楷體" w:eastAsia="標楷體" w:hAnsi="標楷體"/>
          <w:color w:val="000000"/>
        </w:rPr>
        <w:t>9.79.Obinutuzumab(如Gazyva)：（109/4/1、113/2/1</w:t>
      </w:r>
      <w:r w:rsidRPr="00275C39">
        <w:rPr>
          <w:rFonts w:ascii="標楷體" w:eastAsia="標楷體" w:hAnsi="標楷體" w:hint="eastAsia"/>
          <w:color w:val="000000"/>
        </w:rPr>
        <w:t>、114/8/1</w:t>
      </w:r>
      <w:r w:rsidRPr="00275C39">
        <w:rPr>
          <w:rFonts w:ascii="標楷體" w:eastAsia="標楷體" w:hAnsi="標楷體"/>
          <w:color w:val="000000"/>
        </w:rPr>
        <w:t>）</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rsidR="00275C39" w:rsidRPr="00275C39" w:rsidRDefault="00275C39" w:rsidP="00347CE0">
      <w:pPr>
        <w:spacing w:line="400" w:lineRule="exact"/>
        <w:ind w:left="1560" w:hanging="386"/>
        <w:rPr>
          <w:rFonts w:ascii="標楷體" w:eastAsia="標楷體" w:hAnsi="標楷體"/>
          <w:color w:val="000000"/>
        </w:rPr>
      </w:pPr>
      <w:bookmarkStart w:id="35" w:name="_Hlk206605286"/>
      <w:r w:rsidRPr="00275C39">
        <w:rPr>
          <w:rFonts w:ascii="標楷體" w:eastAsia="標楷體" w:hAnsi="標楷體"/>
          <w:color w:val="000000"/>
        </w:rPr>
        <w:t>Ⅰ.</w:t>
      </w:r>
      <w:bookmarkEnd w:id="35"/>
      <w:r w:rsidRPr="00275C39">
        <w:rPr>
          <w:rFonts w:ascii="標楷體" w:eastAsia="標楷體" w:hAnsi="標楷體"/>
          <w:color w:val="000000"/>
        </w:rPr>
        <w:t>首次申請限6個療程(共8次治療)，且需與bendamustine 併用。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remission病患可續申請obinutuzumab 單一藥物維持治療，每次申請最多12個月(6個療程)，每12個月須進行疾病評估，若病情惡化應即停止使用。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w:t>
      </w:r>
      <w:r w:rsidRPr="00275C39">
        <w:rPr>
          <w:rFonts w:ascii="標楷體" w:eastAsia="標楷體" w:hAnsi="標楷體"/>
          <w:color w:val="000000"/>
        </w:rPr>
        <w:lastRenderedPageBreak/>
        <w:t>(comorbidities)而不適合接受含 fludarabine治療的CD20陽性慢性淋巴球性白血病（CLL）患者。（113/2/1）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(1)Rai Stage Ⅲ/Ⅳ(或Binet C級)之CLL病人。若用於Rai StageⅠ/Ⅱ(或Binet A/B級)併有疾病相關免疫性症候(如自體免疫性溶血、免疫性血小板低下紫瘢症等)的病人時，需符合具有CD20陽性。</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限與zanubrutinib併用，治療先前曾接受至少兩線(每線至少4個療程)全身性治療無效或復發的濾泡性淋巴瘤成人病人。(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對vitalorgans造成擠壓者；</w:t>
      </w:r>
    </w:p>
    <w:p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Hb&lt;10gm/dL，或absolute neutrophil count&lt;1500/ mm3)。</w:t>
      </w:r>
    </w:p>
    <w:p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4.限以obinutuzumab 1,000mg作為glofitamab用於治療先前曾接受至少兩線全身治療之復發性或難治性瀰漫性大B細胞淋巴瘤 (DLBCL) 的成人病人之前置治療，需與glofitamab首次治療同時申請事前審查並經核准後使用。(114/8/1）</w:t>
      </w:r>
      <w:bookmarkEnd w:id="34"/>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(如Tagrisso)：(109/4/1、109/6/1、109/10/1、111/4/1、113/6/1、113/10/1)</w:t>
      </w:r>
    </w:p>
    <w:p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rsidR="00B96EA0" w:rsidRDefault="007D66B8" w:rsidP="005142EB">
      <w:pPr>
        <w:spacing w:line="400" w:lineRule="exact"/>
        <w:ind w:left="709"/>
      </w:pPr>
      <w:r>
        <w:rPr>
          <w:rFonts w:ascii="標楷體" w:eastAsia="標楷體" w:hAnsi="標楷體"/>
          <w:color w:val="000000"/>
        </w:rPr>
        <w:lastRenderedPageBreak/>
        <w:t>2.使用注意事項：(109/10/1</w:t>
      </w:r>
      <w:r>
        <w:rPr>
          <w:rFonts w:ascii="新細明體" w:hAnsi="新細明體"/>
          <w:color w:val="000000"/>
        </w:rPr>
        <w:t>、</w:t>
      </w:r>
      <w:r>
        <w:rPr>
          <w:rFonts w:ascii="標楷體" w:eastAsia="標楷體" w:hAnsi="標楷體"/>
          <w:color w:val="000000"/>
        </w:rPr>
        <w:t>111/4/1、113/6/1、113/10/1）</w:t>
      </w:r>
    </w:p>
    <w:p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II.初次申請時需檢具確實患有肺腺癌或非小細胞肺癌之病理或細胞檢查報告，及檢附EGFR基因檢測結果報告，且需符合全民健康保險藥品給付規定之通則十二。(113/6/1、113/10/1)</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rsidR="00B96EA0" w:rsidRDefault="007D66B8" w:rsidP="005142EB">
      <w:pPr>
        <w:spacing w:line="400" w:lineRule="exact"/>
        <w:ind w:left="709" w:hanging="283"/>
      </w:pPr>
      <w:r>
        <w:rPr>
          <w:rFonts w:ascii="標楷體" w:eastAsia="標楷體" w:hAnsi="標楷體"/>
          <w:color w:val="000000"/>
          <w:szCs w:val="28"/>
        </w:rPr>
        <w:t>(4)每日限用1粒。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(如Lorviqua)：(109/6/1、112/11/1、113/4/1、113/6/1)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(2)Lorlatinib與alectinib、ceritinib、crizotinib、brigatinib用於ALK陽性之晚期非小細胞肺癌第一線治療時，僅得擇一使用，除因病人使用後，發生嚴重不良反應或耐受不良之情形外，不得互換。</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2.適用於在ceritinib、alectinib或brigatinib治療中惡化之ALK陽性的晚期非小細胞肺癌患者。(109/6/1、112/11/1、113/4/1)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lastRenderedPageBreak/>
        <w:t>(2)每次申請事前審查之療程以三個月為限，每三個月需再次申請，再次申請時並需附上治療後相關臨床資料，若病情惡化即不得再次申請。</w:t>
      </w:r>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(如Alunbrig)：(109/8/1、111/8/1、112/11/1、113/6/1)</w:t>
      </w:r>
    </w:p>
    <w:p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於ALK陽性的晚期非小細胞肺癌第一線治療。（111/8/1、113/6/1)</w:t>
      </w:r>
    </w:p>
    <w:p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r>
        <w:rPr>
          <w:rFonts w:ascii="標楷體" w:eastAsia="標楷體" w:hAnsi="標楷體"/>
          <w:color w:val="000000"/>
        </w:rPr>
        <w:t>Brigatinib與alectinib、ceritinib、crizotinib、lorlatinib用於ALK陽性之晚期非小細胞肺癌第一線治療時，僅得擇一使用，除因病人使用後，發生嚴重不良反應或耐受不良之情形外，不得互換。(112/11/1)</w:t>
      </w:r>
    </w:p>
    <w:p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適用於在crizotinib治療中惡化之ALK陽性的晚期非小細胞肺癌患者。</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rsidR="00B96EA0" w:rsidRDefault="007D66B8" w:rsidP="005142EB">
      <w:pPr>
        <w:spacing w:line="400" w:lineRule="exact"/>
        <w:ind w:left="283"/>
        <w:rPr>
          <w:rFonts w:ascii="標楷體" w:eastAsia="標楷體" w:hAnsi="標楷體"/>
        </w:rPr>
      </w:pPr>
      <w:r>
        <w:rPr>
          <w:rFonts w:ascii="標楷體" w:eastAsia="標楷體" w:hAnsi="標楷體"/>
        </w:rPr>
        <w:t>9.83.Dacomitinib (如Vizimpro)：(109/10/1、111/9/1、113/6/1)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(non-CNS)之局部侵犯性或轉移性(即第ⅢB、ⅢC或第Ⅳ期)之肺腺癌病患之第一線治療，需檢附EGFR基因檢測結果報告，且需符合全民健康保險藥品給付規定之通則十二。</w:t>
      </w:r>
    </w:p>
    <w:p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腦轉移(non-CNS)之局部侵犯性或轉移性(即第ⅢB、ⅢC或第Ⅳ期)肺</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lastRenderedPageBreak/>
        <w:t xml:space="preserve">     (4)每日限用1粒。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(如Aliqopa）(刪除)：(109/11/1、113/6/1)</w:t>
      </w:r>
    </w:p>
    <w:p w:rsidR="007455F6" w:rsidRPr="00EA15AB" w:rsidRDefault="007455F6" w:rsidP="007455F6">
      <w:pPr>
        <w:spacing w:line="400" w:lineRule="exact"/>
        <w:ind w:left="849" w:hanging="566"/>
        <w:rPr>
          <w:rFonts w:ascii="標楷體" w:eastAsia="標楷體" w:hAnsi="標楷體"/>
        </w:rPr>
      </w:pPr>
      <w:bookmarkStart w:id="36" w:name="_Hlk209192735"/>
      <w:r w:rsidRPr="00EA15AB">
        <w:rPr>
          <w:rFonts w:ascii="標楷體" w:eastAsia="標楷體" w:hAnsi="標楷體"/>
          <w:color w:val="000000"/>
          <w:szCs w:val="24"/>
        </w:rPr>
        <w:t>9.85.PARP抑制劑(如olaparib、niraparib、talazoparib)：(109/11/1、111/6/1、111/8/1、112/1/1、112/11/1、113/3/1、113/6/1、113/9/1、114/3/1、114/6/1、114/8/1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1.卵巢、輸卵管或原發性腹膜癌(olaparib、niraparib)：(109/11/1、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(1)單獨使用olaparib於具下列所有條件的病人做為維持治療，限用兩年：</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Ⅲ.FIGO (International Federation of Gynecology and Obstetrics)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i.具germline or somatic BRCA 1/2 致病性或疑似致病性突變病人。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rsidR="007455F6" w:rsidRPr="00EA15AB" w:rsidRDefault="007455F6" w:rsidP="007455F6">
      <w:pPr>
        <w:tabs>
          <w:tab w:val="left" w:pos="5245"/>
        </w:tabs>
        <w:spacing w:line="400" w:lineRule="exact"/>
        <w:ind w:left="1701" w:hanging="425"/>
        <w:rPr>
          <w:rFonts w:ascii="標楷體" w:eastAsia="標楷體" w:hAnsi="標楷體"/>
          <w:color w:val="000000"/>
        </w:rPr>
      </w:pPr>
      <w:r w:rsidRPr="00EA15AB">
        <w:rPr>
          <w:rFonts w:ascii="標楷體" w:eastAsia="標楷體" w:hAnsi="標楷體"/>
          <w:color w:val="000000"/>
        </w:rPr>
        <w:t>Ⅲ.FIGO (International Federation of Gynecology and Obstetrics) Stage III or IV disease。</w:t>
      </w:r>
    </w:p>
    <w:p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(3)限olaparib併用 bevacizumab(限使用Alymsys、Abevmy、Vegzelma或</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Mvasi)，使用於具下列所有條件的成年病人做為維持治療，限用兩年：(114/6/1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i.致病性或疑似致病性BRCA突變。</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lastRenderedPageBreak/>
        <w:t>(5)用於具germline or somatic BRCA 1/2 致病性或疑似致病性突變時，olaparib與niraparib僅能擇一使用，除因耐受不良，不得互換。(112/1/1、114/6/1)</w:t>
      </w:r>
    </w:p>
    <w:p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(6)倘因併用bevacizumab耐受性不良，在維持性治療可再換成olaparib單獨使用，總療程數合併計算，限用兩年。(114/6/1)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niraparib使用時，體重大於(含)77公斤且基期血小板高於(含)15萬/uL，每日最多使用300mg；體重小於77公斤或基期血小板低於15萬/uL，每日最多使用200mg。(112/1/1)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2.三陰性乳癌(olaparib、talazoparib)：(109/11/1、111/6/1、111/8/1、112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(1)olaparib單獨使用於曾接受前導性、術後輔助性或轉移性化療，且具germline BRCA 1/2致病性或疑似致病性突變之三陰性(荷爾蒙接受體及 HER2受體皆為陰性)轉移性乳癌病人。(109/11/1、111/8/1、112/1/1)</w:t>
      </w:r>
    </w:p>
    <w:p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r w:rsidRPr="00EA15AB">
        <w:rPr>
          <w:rFonts w:ascii="標楷體" w:eastAsia="標楷體" w:hAnsi="標楷體"/>
          <w:color w:val="000000"/>
          <w:szCs w:val="24"/>
        </w:rPr>
        <w:t>talazoparib</w:t>
      </w:r>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Olaparib與talazoparib僅得擇一使用，除因耐受性不良，不得互換。（111/8/1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(mCRPC) (olaparib)：（112/11/1、113/6/1、114/6/1)</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lastRenderedPageBreak/>
        <w:t xml:space="preserve">(1)單獨使用於具germline or somatic BRCA 1/2致病性或疑似致病性突變且先前接受過新荷爾蒙藥物(novel hormonal agents)治療後惡化之成人病人。 </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(2) 併用abiraterone及prednisone或prednisolone，用於具germline或 somatic BRCA 1/2致病性或疑似致病性突變且尚未接受化學治療之成人病人：(114/6/1）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i.未曾使用新型荷爾蒙藥品(abiraterone、apalutamide、darolutamide和enzalutamide)治療前列腺癌。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ii.於mCRPC階段使用abiraterone治療未超過4個月且使用期間未惡化。</w:t>
      </w:r>
    </w:p>
    <w:p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Ⅱ.不論病人處於轉移或非轉移的狀態下，新型荷爾蒙藥品(abiraterone、apalutamide、darolutamide和enzalutamide) ，及olaparib 與 abiraterone併用，終生僅能接受一種治療，且除非出現嚴重不耐受反應導致必須永久停止治療，不得互換。</w:t>
      </w:r>
    </w:p>
    <w:p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IV.下降達最低值後之持續追蹤出現PSA較最低值上升50%以上且PSA≧2ng/ml，則需停藥，但影像學證據尚無疾病進展者，可以繼續使用。</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乳癌(olaparib)：(114/6/1)</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(2)病人須完成至少6個週期的前導性化療或術後輔助性化療，且化療處方須含有anthracyclines類藥物、taxane類藥物，或兩者的複方；亦允許含鉑化療。</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(3)病人須在最後一次治療(包括手術、化療或放療)完成後的12週內使用olaparib。</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i.針對曾接受前導性化療的病人，須符合於乳房和/或手術切除的淋巴結中發現有殘餘的侵襲性癌症(non-pCR)。</w:t>
      </w:r>
    </w:p>
    <w:p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lastRenderedPageBreak/>
        <w:t>Ⅱ.HR陽性且HER2陰性乳癌：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i.針對曾接受前導性化療的病人，須為non-pCR。</w:t>
      </w:r>
    </w:p>
    <w:p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用於術後輔助治療，olaparib與pembrolizumab僅能擇一給付。</w:t>
      </w:r>
    </w:p>
    <w:p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6"/>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(如Caprelsa)：(109/11/1)</w:t>
      </w:r>
    </w:p>
    <w:p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rsidR="00B96EA0" w:rsidRDefault="007D66B8" w:rsidP="00167FEB">
      <w:pPr>
        <w:numPr>
          <w:ilvl w:val="0"/>
          <w:numId w:val="6"/>
        </w:numPr>
        <w:spacing w:line="400" w:lineRule="exact"/>
        <w:ind w:left="922" w:hanging="284"/>
        <w:jc w:val="both"/>
      </w:pPr>
      <w:r>
        <w:rPr>
          <w:rFonts w:ascii="標楷體" w:eastAsia="標楷體" w:hAnsi="標楷體"/>
          <w:color w:val="000000"/>
          <w:szCs w:val="28"/>
        </w:rPr>
        <w:t>出現疾病惡化或無法忍受之藥物不良反應，應立即停用。</w:t>
      </w:r>
    </w:p>
    <w:p w:rsidR="00B96EA0" w:rsidRDefault="007D66B8" w:rsidP="005142EB">
      <w:pPr>
        <w:spacing w:line="400" w:lineRule="exact"/>
        <w:ind w:left="644"/>
        <w:jc w:val="both"/>
      </w:pPr>
      <w:r>
        <w:rPr>
          <w:rFonts w:ascii="標楷體" w:eastAsia="標楷體" w:hAnsi="標楷體"/>
          <w:color w:val="000000"/>
          <w:szCs w:val="28"/>
        </w:rPr>
        <w:t>4.每日最大劑量為300毫克。</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taxane藥物）和至少3個療程(9週)的trastuzumab術前輔助治療後，仍有殘留病灶的術後輔助治療，且需符合下列任一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w:t>
      </w:r>
      <w:r>
        <w:rPr>
          <w:rFonts w:ascii="標楷體" w:eastAsia="標楷體" w:hAnsi="標楷體"/>
          <w:color w:val="000000"/>
        </w:rPr>
        <w:lastRenderedPageBreak/>
        <w:t>本藥品，且本藥品與trastuzumab使用於早期乳癌手術前後的總療程合併計算，每位病人以全部18個療程為上限。</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(1)限單獨使用於先前未使用過本藥品且HER2過度表現(IHC3+或FISH+)之轉移性乳癌病人作為二線治療，並同時符合下列情形：</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I.之前分別接受過trastuzumab與一種taxane藥物治療，或其合併療法，或pertuzumab與trastuzumab與一種taxane藥物治療。</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(3)Trastuzumab emtansine、lapatinib和trastuzumab deruxtecan僅能擇一給付，不得互換。(114/2/1)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(如Ixempra)：(110/2/1)</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(1)對taxane有抗藥性且無法接受anthracycline治療者。</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(2)對taxane及anthracycline治療無效者。</w:t>
      </w:r>
    </w:p>
    <w:p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3.Ixabepilone與eribulin用於治療上述之轉移性乳癌患者時，僅得擇一使用，且不得互換(ixabepilone限用於未曾使用過eribulin之病患)。</w:t>
      </w:r>
    </w:p>
    <w:p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(如Erleada)：(110/3/1、110/11/1、111/3/1、112/9/1、113/8/1、114/6/1)</w:t>
      </w:r>
    </w:p>
    <w:p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1.治療高風險非轉移性去勢抗性前列腺癌(high risk nmCRPC)的成年男性。</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lastRenderedPageBreak/>
        <w:t>Ⅲ.第一個和最後一個PSA測量值間隔需≧8週，但≦12個月。</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 xml:space="preserve">(5)每3個月需再次申請，申請之療程以3個月為限。再次申請時，有PSA progression者，需檢附影像學報告，若影像學報告證實轉移，則需停藥;無PSA progression者，則每6個月需檢附影像學報告，若影像學報告證實轉移，則需停藥。（112/9/1） </w:t>
      </w:r>
    </w:p>
    <w:p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2.治療高風險轉移性的去勢敏感性前列腺癌(mCSPC)，總療程以36個月為上限。（110/3/1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骨骼掃描出現三個(含)以上病灶且至少其中一處以上為非脊柱及非骨盆腔轉移。（111/3/1、113/8/1）</w:t>
      </w:r>
    </w:p>
    <w:p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不論病人處於轉移或非轉移的狀態下，新型荷爾蒙藥品(abiraterone、apalutamide、darolutamide和enzalutamide) ，及olaparib 與 abiraterone併用，終生僅給付一種治療，且除非出現嚴重不耐受反應導致必須永久停止治療，不得互換。 (112/9/1、114/6/1)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(如Tafinlar)、Trametinib (如Mekinist)：(110/3/1、113/3/1、113/6/1)</w:t>
      </w:r>
    </w:p>
    <w:p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2且罹患無法切除(第ⅢC期)或轉移性(第Ⅳ期)黑色素瘤之病人：</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lastRenderedPageBreak/>
        <w:t>(2)限用1年。</w:t>
      </w:r>
    </w:p>
    <w:p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rsidR="00B96EA0" w:rsidRDefault="007D66B8" w:rsidP="005142EB">
      <w:pPr>
        <w:spacing w:line="400" w:lineRule="exact"/>
        <w:ind w:left="840" w:hanging="274"/>
      </w:pPr>
      <w:r>
        <w:t xml:space="preserve">4. </w:t>
      </w:r>
      <w:r>
        <w:rPr>
          <w:rFonts w:ascii="標楷體" w:eastAsia="標楷體" w:hAnsi="標楷體"/>
          <w:color w:val="000000"/>
        </w:rPr>
        <w:t>Dabrafenib與trametinib併用於治療BRAF V600E突變之轉移性(第IV期)非小細胞肺癌成人病人：(113/3/1、113/6/1)</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rsidR="00B96EA0" w:rsidRDefault="007D66B8" w:rsidP="005142EB">
      <w:pPr>
        <w:spacing w:line="400" w:lineRule="exact"/>
        <w:ind w:left="283"/>
        <w:rPr>
          <w:rFonts w:ascii="標楷體" w:eastAsia="標楷體" w:hAnsi="標楷體"/>
          <w:color w:val="000000"/>
        </w:rPr>
      </w:pPr>
      <w:bookmarkStart w:id="37" w:name="_Hlk70327755"/>
      <w:r>
        <w:rPr>
          <w:rFonts w:ascii="標楷體" w:eastAsia="標楷體" w:hAnsi="標楷體"/>
          <w:color w:val="000000"/>
        </w:rPr>
        <w:t>9.92. Ramucirumab (如Cyramza)：(110/5/1)</w:t>
      </w:r>
    </w:p>
    <w:p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3.Ramucirumab與regorafenib、nivolumab僅能擇一使用，不得互換。</w:t>
      </w:r>
      <w:bookmarkEnd w:id="37"/>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(如Rozlytrek)：(110/7/1、113/6/1)</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3.Entrectinib與crizotinib用於ROS-1陽性之晚期非小細胞肺癌時，僅得擇一使用，除因病人使用後，發生嚴重不良反應或耐受不良之情形外，不得互換。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rsidR="00B96EA0" w:rsidRDefault="007D66B8" w:rsidP="005142EB">
      <w:pPr>
        <w:spacing w:line="400" w:lineRule="exact"/>
        <w:ind w:left="567" w:hanging="245"/>
      </w:pPr>
      <w:bookmarkStart w:id="38" w:name="_Hlk198656405"/>
      <w:bookmarkStart w:id="39" w:name="_Hlk85807933"/>
      <w:r>
        <w:rPr>
          <w:rFonts w:ascii="標楷體" w:eastAsia="標楷體" w:hAnsi="標楷體"/>
          <w:color w:val="000000"/>
        </w:rPr>
        <w:t>9.94.</w:t>
      </w:r>
      <w:r>
        <w:t xml:space="preserve"> </w:t>
      </w:r>
      <w:r>
        <w:rPr>
          <w:rFonts w:ascii="標楷體" w:eastAsia="標楷體" w:hAnsi="標楷體"/>
          <w:color w:val="000000"/>
        </w:rPr>
        <w:t>Darolutamide(如Nubeqa)：(110/11/1、112/9/1、113/5/1、113/8/1)</w:t>
      </w:r>
    </w:p>
    <w:p w:rsidR="00B96EA0" w:rsidRDefault="007D66B8" w:rsidP="005142EB">
      <w:pPr>
        <w:spacing w:line="400" w:lineRule="exact"/>
        <w:ind w:left="811" w:hanging="245"/>
      </w:pPr>
      <w:r>
        <w:rPr>
          <w:rFonts w:ascii="標楷體" w:eastAsia="標楷體" w:hAnsi="標楷體"/>
          <w:color w:val="000000"/>
        </w:rPr>
        <w:t>1.與docetaxel併用於治療高風險轉移性的去勢敏感性前列腺癌(mCSPC)，總療程以24個月為上限。(113/5/1、114/6/1)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lastRenderedPageBreak/>
        <w:t>(2)每3個月需再次申請，再申請時若PSA值下降未超過治療前的50%以上，則需停藥。</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(3)下降達最低值後之持續追蹤出現PSA較最低值上升50%以上且PSA≧2ng/mL，則需停藥，但影像學證據尚無疾病進展者，可以繼續使用。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rsidR="00B96EA0" w:rsidRDefault="007D66B8" w:rsidP="005142EB">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V.Total bilirubin≦正常值上限。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2.治療高風險非轉移性去勢抗性前列腺癌(high risk nmCRPC)的成年男性。</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(2)初次申請時需檢附病理報告、使用雄性素去除療法紀錄，系列PSA和睪固酮數據，三個月內影像報告證明無遠端轉移。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(3)ECOG分數須≦1。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註：</w:t>
      </w:r>
    </w:p>
    <w:p w:rsidR="00B96EA0" w:rsidRDefault="007D66B8" w:rsidP="005142EB">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w:t>
      </w:r>
      <w:r>
        <w:rPr>
          <w:rFonts w:ascii="標楷體" w:eastAsia="標楷體" w:hAnsi="標楷體"/>
          <w:color w:val="000000"/>
        </w:rPr>
        <w:lastRenderedPageBreak/>
        <w:t>勢。</w:t>
      </w:r>
    </w:p>
    <w:p w:rsidR="00B96EA0" w:rsidRDefault="007D66B8" w:rsidP="005142EB">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不論病人處於轉移或非轉移的狀態下，新型荷爾蒙藥品(abiraterone、apalutamide、darolutamide和enzalutamide) ，及olaparib 與 abiraterone併用，終生僅給付一種治療，且除非出現嚴重不耐受反應導致必須永久停止治療，不得互換。(112/9/1、114/6/1)</w:t>
      </w:r>
      <w:bookmarkEnd w:id="38"/>
    </w:p>
    <w:bookmarkEnd w:id="39"/>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(如Vitrakvi)：(111/3/1、111/6/1、112/12/1、113/6/1)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腫瘤基因為原生型之晚期鱗狀非小細胞肺癌患者。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w:t>
      </w:r>
      <w:r>
        <w:rPr>
          <w:rFonts w:ascii="標楷體" w:eastAsia="標楷體" w:hAnsi="標楷體"/>
          <w:color w:val="000000"/>
        </w:rPr>
        <w:lastRenderedPageBreak/>
        <w:t>甲狀腺癌。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(6)惡性神經膠質瘤或退行性星狀細胞瘤:先前曾接受過標準放射線治療以及化學藥物治療失敗之高度惡性神經膠質瘤(WHO 第4級)或退行性星狀細胞瘤(WHO 第3-4 級)。</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(7)肝內膽管癌:先前曾接受過至少一次全身性治療失敗，又有疾病惡化，無法手術切除或晚期或復發之膽道癌(含肝內膽管)病患。</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rsidR="00B96EA0" w:rsidRDefault="007D66B8" w:rsidP="005142EB">
      <w:pPr>
        <w:spacing w:line="400" w:lineRule="exact"/>
        <w:ind w:left="567" w:hanging="245"/>
        <w:rPr>
          <w:rFonts w:ascii="標楷體" w:eastAsia="標楷體" w:hAnsi="標楷體"/>
          <w:color w:val="000000"/>
        </w:rPr>
      </w:pPr>
      <w:bookmarkStart w:id="40" w:name="_Hlk101789957"/>
      <w:r>
        <w:rPr>
          <w:rFonts w:ascii="標楷體" w:eastAsia="標楷體" w:hAnsi="標楷體"/>
          <w:color w:val="000000"/>
        </w:rPr>
        <w:t>9.96.Decitabine：(111/5/1)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40"/>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(如Ayvakit)：(111/6/1、113/6/1)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w:t>
      </w:r>
      <w:r>
        <w:rPr>
          <w:rFonts w:ascii="標楷體" w:eastAsia="標楷體" w:hAnsi="標楷體"/>
          <w:color w:val="000000"/>
        </w:rPr>
        <w:lastRenderedPageBreak/>
        <w:t>(PDGFRA)D842V突變檢測報告，且需符合全民健康保險藥品給付規定之通則十二。(111/6/1、113/6/1)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(如Pemazyre)：(112/5/1、113/6/1)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9.99.Gilteritinib(如Xospata)：(112/6/1、113/6/1)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(2)完整之造血幹細胞移植計畫，並詳細記載確認捐贈者名單及移植前調適治療等資料。需由具訓練血液及骨髓移植醫師能力之醫院申請，並由完成血液及骨髓移植訓練之醫師確認移植計畫。</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3.每次申請為二個療程；續申請次二個療程時須檢附達到PR、CRi 或CR的證明方可續用。申請劑量以每日120mg為上限。</w:t>
      </w:r>
    </w:p>
    <w:p w:rsidR="007155BC" w:rsidRDefault="007155BC" w:rsidP="007155BC">
      <w:pPr>
        <w:spacing w:line="400" w:lineRule="exact"/>
        <w:ind w:left="610" w:hanging="245"/>
        <w:rPr>
          <w:rFonts w:ascii="標楷體" w:eastAsia="標楷體" w:hAnsi="標楷體"/>
          <w:color w:val="000000"/>
        </w:rPr>
      </w:pPr>
      <w:bookmarkStart w:id="41" w:name="_Hlk209191918"/>
      <w:r>
        <w:rPr>
          <w:rFonts w:ascii="標楷體" w:eastAsia="標楷體" w:hAnsi="標楷體"/>
          <w:color w:val="000000"/>
        </w:rPr>
        <w:t>9.100.Acalabrutinib(如Calquence)：(112/7/1、112/12/1</w:t>
      </w:r>
      <w:r>
        <w:rPr>
          <w:rFonts w:ascii="標楷體" w:eastAsia="標楷體" w:hAnsi="標楷體" w:hint="eastAsia"/>
          <w:color w:val="000000"/>
        </w:rPr>
        <w:t>、114/10/1</w:t>
      </w:r>
      <w:r>
        <w:rPr>
          <w:rFonts w:ascii="標楷體" w:eastAsia="標楷體" w:hAnsi="標楷體"/>
          <w:color w:val="000000"/>
        </w:rPr>
        <w:t>)</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1.單獨使用於先前接受過至少一種化學或標靶治療方式無效或復發的被套細胞淋巴瘤成年病人。</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需經事前審查核准後使用。首次申請事前審查之療程以4個月為限，之後每3個月需再次申請，再次申請時應檢附前次治療結果評估資料，如影像學檢查報告。</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若疾病進展，則必須停止使用。</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lastRenderedPageBreak/>
        <w:t>每位病人限給付20個月。</w:t>
      </w:r>
    </w:p>
    <w:p w:rsidR="007155BC"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color w:val="000000"/>
        </w:rPr>
        <w:t>每日至多處方2粒。</w:t>
      </w:r>
    </w:p>
    <w:p w:rsidR="007155BC" w:rsidRPr="005C0189" w:rsidRDefault="007155BC" w:rsidP="00167FEB">
      <w:pPr>
        <w:pStyle w:val="a9"/>
        <w:numPr>
          <w:ilvl w:val="0"/>
          <w:numId w:val="26"/>
        </w:numPr>
        <w:spacing w:line="400" w:lineRule="exact"/>
        <w:rPr>
          <w:rFonts w:ascii="標楷體" w:eastAsia="標楷體" w:hAnsi="標楷體"/>
          <w:color w:val="000000"/>
        </w:rPr>
      </w:pPr>
      <w:r w:rsidRPr="005C0189">
        <w:rPr>
          <w:rFonts w:ascii="標楷體" w:eastAsia="標楷體" w:hAnsi="標楷體"/>
        </w:rPr>
        <w:t>zanubrutinib、i</w:t>
      </w:r>
      <w:r w:rsidRPr="005C0189">
        <w:rPr>
          <w:rFonts w:ascii="標楷體" w:eastAsia="標楷體" w:hAnsi="標楷體"/>
          <w:color w:val="000000"/>
        </w:rPr>
        <w:t>brutinib及acalabrutinib僅能擇一使用，唯有在出現無法忍受其副作用時方可互換。三者使用總療程合併計算，以全部20個月為上限。(112/12/1)</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2.單獨使用於慢性淋巴球性白血病(CLL)成年</w:t>
      </w:r>
      <w:r>
        <w:rPr>
          <w:rFonts w:ascii="標楷體" w:eastAsia="標楷體" w:hAnsi="標楷體" w:hint="eastAsia"/>
          <w:color w:val="000000"/>
        </w:rPr>
        <w:t>病人</w:t>
      </w:r>
      <w:r>
        <w:rPr>
          <w:rFonts w:ascii="標楷體" w:eastAsia="標楷體" w:hAnsi="標楷體"/>
          <w:color w:val="000000"/>
        </w:rPr>
        <w:t>。</w:t>
      </w:r>
      <w:r w:rsidRPr="005C0189">
        <w:rPr>
          <w:rFonts w:ascii="標楷體" w:eastAsia="標楷體" w:hAnsi="標楷體" w:hint="eastAsia"/>
          <w:color w:val="000000"/>
        </w:rPr>
        <w:t>(112/7/1、112/12/1、114/10/1)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ECOG 分數須≦2。</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需符合下列任一情況：</w:t>
      </w:r>
    </w:p>
    <w:p w:rsidR="007155BC" w:rsidRPr="005C0189"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7155BC" w:rsidRDefault="007155BC" w:rsidP="00167FEB">
      <w:pPr>
        <w:pStyle w:val="a9"/>
        <w:numPr>
          <w:ilvl w:val="0"/>
          <w:numId w:val="28"/>
        </w:numPr>
        <w:spacing w:line="400" w:lineRule="exact"/>
        <w:rPr>
          <w:rFonts w:ascii="標楷體" w:eastAsia="標楷體" w:hAnsi="標楷體"/>
          <w:color w:val="000000"/>
        </w:rPr>
      </w:pPr>
      <w:r w:rsidRPr="005C0189">
        <w:rPr>
          <w:rFonts w:ascii="標楷體" w:eastAsia="標楷體" w:hAnsi="標楷體" w:hint="eastAsia"/>
          <w:color w:val="000000"/>
        </w:rPr>
        <w:t>非IGHV突變且曾接受至少1種包括alkylating agent與anti-CD20(如R-CVP、RCHOP、rituximab加bendamustine等)的治療2個療程以上仍惡化或復發者</w:t>
      </w:r>
      <w:r>
        <w:rPr>
          <w:rFonts w:ascii="標楷體" w:eastAsia="標楷體" w:hAnsi="標楷體" w:hint="eastAsia"/>
          <w:color w:val="000000"/>
        </w:rPr>
        <w:t>。</w:t>
      </w:r>
      <w:r w:rsidR="00086754" w:rsidRPr="005C0189">
        <w:rPr>
          <w:rFonts w:ascii="標楷體" w:eastAsia="標楷體" w:hAnsi="標楷體" w:hint="eastAsia"/>
          <w:color w:val="000000"/>
        </w:rPr>
        <w:t>(114/10/1)</w:t>
      </w:r>
    </w:p>
    <w:p w:rsidR="007155BC" w:rsidRDefault="007155BC" w:rsidP="00167FEB">
      <w:pPr>
        <w:pStyle w:val="a9"/>
        <w:numPr>
          <w:ilvl w:val="0"/>
          <w:numId w:val="28"/>
        </w:numPr>
        <w:spacing w:line="400" w:lineRule="exact"/>
        <w:rPr>
          <w:rFonts w:ascii="標楷體" w:eastAsia="標楷體" w:hAnsi="標楷體"/>
          <w:color w:val="000000"/>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開始使用前之疾病狀態需出現下列任一情形：</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7155BC" w:rsidRPr="005C0189" w:rsidRDefault="007155BC" w:rsidP="00167FEB">
      <w:pPr>
        <w:pStyle w:val="a9"/>
        <w:numPr>
          <w:ilvl w:val="0"/>
          <w:numId w:val="29"/>
        </w:numPr>
        <w:spacing w:line="400" w:lineRule="exact"/>
        <w:rPr>
          <w:rFonts w:ascii="標楷體" w:eastAsia="標楷體" w:hAnsi="標楷體"/>
          <w:color w:val="000000"/>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7155BC"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7155BC" w:rsidRPr="005C0189" w:rsidRDefault="007155BC" w:rsidP="00167FEB">
      <w:pPr>
        <w:pStyle w:val="a9"/>
        <w:numPr>
          <w:ilvl w:val="0"/>
          <w:numId w:val="2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需經事前審查核准後使用，每3個月需再次申請。再次申請時需檢附療效評估資料，若未達iwCLL (International Workshop on CLL)最新定義之partial remission或complete remission，則不予給付。</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在具有17缺失病人，acalabrutinib、ibrutinib、venetoclax與zanubrutinib四者僅能擇一使用，唯有在出現無法忍受其副作用時方可互換。四者使用總療程合併計算，以全部24個月為上限。</w:t>
      </w:r>
      <w:r w:rsidR="00086754" w:rsidRPr="005C0189">
        <w:rPr>
          <w:rFonts w:ascii="標楷體" w:eastAsia="標楷體" w:hAnsi="標楷體" w:hint="eastAsia"/>
          <w:color w:val="000000"/>
        </w:rPr>
        <w:t>(</w:t>
      </w:r>
      <w:r w:rsidR="00086754">
        <w:rPr>
          <w:rFonts w:ascii="標楷體" w:eastAsia="標楷體" w:hAnsi="標楷體" w:hint="eastAsia"/>
          <w:color w:val="000000"/>
        </w:rPr>
        <w:t>112/7/1、</w:t>
      </w:r>
      <w:r w:rsidR="00086754" w:rsidRPr="005C0189">
        <w:rPr>
          <w:rFonts w:ascii="標楷體" w:eastAsia="標楷體" w:hAnsi="標楷體" w:hint="eastAsia"/>
          <w:color w:val="000000"/>
        </w:rPr>
        <w:t>114/10/1)</w:t>
      </w:r>
    </w:p>
    <w:p w:rsidR="007155BC"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在非IGHV突變二線以上病人及CLL三線以上病人，acalabrutinib與zanubrutinib二者僅能擇一使用，唯有在出現無法忍受其副作用時方可互換。二者使用總療程合併計算，以全部24個月為上限。</w:t>
      </w:r>
      <w:r w:rsidR="00086754" w:rsidRPr="005C0189">
        <w:rPr>
          <w:rFonts w:ascii="標楷體" w:eastAsia="標楷體" w:hAnsi="標楷體" w:hint="eastAsia"/>
          <w:color w:val="000000"/>
        </w:rPr>
        <w:t>(114/10/1)</w:t>
      </w:r>
    </w:p>
    <w:p w:rsidR="00B96EA0" w:rsidRPr="00471506" w:rsidRDefault="007155BC" w:rsidP="00167FEB">
      <w:pPr>
        <w:pStyle w:val="a9"/>
        <w:numPr>
          <w:ilvl w:val="0"/>
          <w:numId w:val="27"/>
        </w:numPr>
        <w:spacing w:line="400" w:lineRule="exact"/>
        <w:rPr>
          <w:rFonts w:ascii="標楷體" w:eastAsia="標楷體" w:hAnsi="標楷體"/>
          <w:color w:val="000000"/>
        </w:rPr>
      </w:pPr>
      <w:r w:rsidRPr="005C0189">
        <w:rPr>
          <w:rFonts w:ascii="標楷體" w:eastAsia="標楷體" w:hAnsi="標楷體" w:hint="eastAsia"/>
          <w:color w:val="000000"/>
        </w:rPr>
        <w:t>每日至多處方</w:t>
      </w:r>
      <w:r>
        <w:rPr>
          <w:rFonts w:ascii="標楷體" w:eastAsia="標楷體" w:hAnsi="標楷體" w:hint="eastAsia"/>
          <w:color w:val="000000"/>
        </w:rPr>
        <w:t>2</w:t>
      </w:r>
      <w:r w:rsidRPr="005C0189">
        <w:rPr>
          <w:rFonts w:ascii="標楷體" w:eastAsia="標楷體" w:hAnsi="標楷體" w:hint="eastAsia"/>
          <w:color w:val="000000"/>
        </w:rPr>
        <w:t>粒。</w:t>
      </w:r>
      <w:bookmarkEnd w:id="41"/>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(如Tepmetko):(112/7/1、113/6/1)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lastRenderedPageBreak/>
        <w:t>1.適用於治療轉移性非小細胞肺癌的成人病人，其腫瘤帶有導致間質上皮轉化因子外顯子14 跳讀式突變(MET exon 14 skipping mutation)。</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(1)初次申請時需檢具確實患有非小細胞肺癌之病理或細胞檢查報告,以及符合診斷之間質上皮轉化因子外顯子14跳讀式突變(MET exon 14 skipping mutation)檢測報告，且需符合全民健康保險藥品給付規定之通則十二。</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(如Qarziba)：(112/8/1)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rsidR="006E56D0" w:rsidRPr="006E56D0" w:rsidRDefault="006E56D0" w:rsidP="006E56D0">
      <w:pPr>
        <w:spacing w:line="400" w:lineRule="exact"/>
        <w:ind w:left="992" w:hanging="706"/>
        <w:rPr>
          <w:rFonts w:ascii="標楷體" w:eastAsia="標楷體" w:hAnsi="標楷體"/>
          <w:color w:val="000000"/>
        </w:rPr>
      </w:pPr>
      <w:bookmarkStart w:id="42"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lastRenderedPageBreak/>
        <w:t>Ⅴ.</w:t>
      </w:r>
      <w:r w:rsidRPr="006E56D0">
        <w:rPr>
          <w:rFonts w:ascii="標楷體" w:eastAsia="標楷體" w:hAnsi="標楷體"/>
          <w:color w:val="000000"/>
        </w:rPr>
        <w:t>肺功能:血氧 &gt; 92% on room air (需有兩次以上的醫療紀錄)。</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經自體造血幹細胞移植後疾病復發或惡化（不論其後續治療處於完全緩解、部分緩解或疾病惡化）。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(2)或需經過具有骨髓移植訓練的骨髓移植專科醫師確認無法進行造血幹細胞移植者，無法進行造血幹細胞移植之定義，符合以下五個條件之一：(112/11/1、114/8/1)</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t xml:space="preserve">Extranodal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ANC≧1000/uL、ALC≧100/uL、Hb≧8.0 g/dL; Plt≧50000/uL。</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w:t>
      </w:r>
      <w:r w:rsidRPr="006E56D0">
        <w:rPr>
          <w:rFonts w:ascii="標楷體" w:eastAsia="標楷體" w:hAnsi="標楷體"/>
          <w:color w:val="000000"/>
        </w:rPr>
        <w:lastRenderedPageBreak/>
        <w:t>輸注 CAR-T時需為viral load undetectable)。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CAR-T多專科團隊，包含醫師、護理師、藥師、醫檢師、細胞蒐集專門技術人員，經團隊討論後同意治療，並須於事前審查時，檢附會議紀錄。</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2"/>
    </w:p>
    <w:p w:rsidR="000838F4" w:rsidRPr="005363DB" w:rsidRDefault="000838F4" w:rsidP="000838F4">
      <w:pPr>
        <w:suppressAutoHyphens w:val="0"/>
        <w:autoSpaceDN/>
        <w:spacing w:line="400" w:lineRule="exact"/>
        <w:ind w:left="566" w:hangingChars="236" w:hanging="566"/>
        <w:textAlignment w:val="auto"/>
        <w:rPr>
          <w:rFonts w:ascii="標楷體" w:eastAsia="標楷體" w:hAnsi="標楷體" w:cstheme="minorBidi"/>
          <w:kern w:val="2"/>
          <w:szCs w:val="24"/>
          <w:u w:val="single"/>
        </w:rPr>
      </w:pPr>
      <w:bookmarkStart w:id="43" w:name="_Hlk204090064"/>
      <w:bookmarkStart w:id="44" w:name="_Hlk209191978"/>
      <w:r w:rsidRPr="005363DB">
        <w:rPr>
          <w:rFonts w:ascii="標楷體" w:eastAsia="標楷體" w:hAnsi="標楷體" w:cstheme="minorBidi" w:hint="eastAsia"/>
          <w:kern w:val="2"/>
          <w:szCs w:val="24"/>
        </w:rPr>
        <w:t>9.104.</w:t>
      </w:r>
      <w:bookmarkEnd w:id="43"/>
      <w:r w:rsidRPr="00DF1029">
        <w:rPr>
          <w:rFonts w:ascii="標楷體" w:eastAsia="標楷體" w:hAnsi="標楷體" w:cstheme="minorBidi" w:hint="eastAsia"/>
          <w:kern w:val="2"/>
          <w:szCs w:val="24"/>
        </w:rPr>
        <w:t xml:space="preserve"> </w:t>
      </w:r>
      <w:r w:rsidRPr="005363DB">
        <w:rPr>
          <w:rFonts w:ascii="標楷體" w:eastAsia="標楷體" w:hAnsi="標楷體" w:cstheme="minorBidi" w:hint="eastAsia"/>
          <w:kern w:val="2"/>
          <w:szCs w:val="24"/>
        </w:rPr>
        <w:t>Zanubrutinib(如Brukinsa)：(112/12/1、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單獨使用於先前接受過至少一種化學或標靶治療方式無效或復發的被套細胞淋巴瘤成年病人。(112/12/1、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需經事前審查核准後使用(事審代碼：C83N2)。首次申請事前審查之療程以4個月</w:t>
      </w:r>
      <w:r w:rsidRPr="005363DB">
        <w:rPr>
          <w:rFonts w:ascii="標楷體" w:eastAsia="標楷體" w:hAnsi="標楷體" w:cstheme="minorBidi" w:hint="eastAsia"/>
          <w:kern w:val="2"/>
          <w:szCs w:val="24"/>
        </w:rPr>
        <w:lastRenderedPageBreak/>
        <w:t>為限，之後每3個月需再次申請，再次申請時應檢附前次治療結果評估資料，如影像學檢查報告。</w:t>
      </w:r>
      <w:r w:rsidRPr="005363DB">
        <w:rPr>
          <w:rFonts w:ascii="標楷體" w:eastAsia="標楷體" w:hAnsi="標楷體" w:cs="BiauKai" w:hint="eastAsia"/>
          <w:kern w:val="2"/>
          <w:szCs w:val="24"/>
        </w:rPr>
        <w:t>(</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170338"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7"/>
        </w:numPr>
        <w:suppressAutoHyphens w:val="0"/>
        <w:autoSpaceDN/>
        <w:spacing w:line="400" w:lineRule="exact"/>
        <w:ind w:left="993" w:hanging="469"/>
        <w:textAlignment w:val="auto"/>
        <w:rPr>
          <w:rFonts w:ascii="標楷體" w:eastAsia="標楷體" w:hAnsi="標楷體" w:cstheme="minorBidi"/>
          <w:kern w:val="2"/>
          <w:szCs w:val="24"/>
        </w:rPr>
      </w:pPr>
      <w:r>
        <w:rPr>
          <w:rFonts w:ascii="標楷體" w:eastAsia="標楷體" w:hAnsi="標楷體" w:cstheme="minorBidi" w:hint="eastAsia"/>
          <w:kern w:val="2"/>
          <w:szCs w:val="24"/>
        </w:rPr>
        <w:t>Z</w:t>
      </w:r>
      <w:r w:rsidRPr="005363DB">
        <w:rPr>
          <w:rFonts w:ascii="標楷體" w:eastAsia="標楷體" w:hAnsi="標楷體" w:cstheme="minorBidi" w:hint="eastAsia"/>
          <w:kern w:val="2"/>
          <w:szCs w:val="24"/>
        </w:rPr>
        <w:t>anubrutinib、ibrutinib及acalabrutinib僅能擇一使用，</w:t>
      </w:r>
      <w:r>
        <w:rPr>
          <w:rFonts w:ascii="標楷體" w:eastAsia="標楷體" w:hAnsi="標楷體" w:cstheme="minorBidi" w:hint="eastAsia"/>
          <w:kern w:val="2"/>
          <w:szCs w:val="24"/>
        </w:rPr>
        <w:t>使用z</w:t>
      </w:r>
      <w:r>
        <w:rPr>
          <w:rFonts w:ascii="標楷體" w:eastAsia="標楷體" w:hAnsi="標楷體" w:cstheme="minorBidi"/>
          <w:kern w:val="2"/>
          <w:szCs w:val="24"/>
        </w:rPr>
        <w:t>anubrutinib</w:t>
      </w:r>
      <w:r>
        <w:rPr>
          <w:rFonts w:ascii="標楷體" w:eastAsia="標楷體" w:hAnsi="標楷體" w:cstheme="minorBidi" w:hint="eastAsia"/>
          <w:kern w:val="2"/>
          <w:szCs w:val="24"/>
        </w:rPr>
        <w:t>者無疾病惡化，可繼續使用，唯出現無法忍受其副作用時，與i</w:t>
      </w:r>
      <w:r>
        <w:rPr>
          <w:rFonts w:ascii="標楷體" w:eastAsia="標楷體" w:hAnsi="標楷體" w:cstheme="minorBidi"/>
          <w:kern w:val="2"/>
          <w:szCs w:val="24"/>
        </w:rPr>
        <w:t>brutinib</w:t>
      </w:r>
      <w:r>
        <w:rPr>
          <w:rFonts w:ascii="標楷體" w:eastAsia="標楷體" w:hAnsi="標楷體" w:cstheme="minorBidi" w:hint="eastAsia"/>
          <w:kern w:val="2"/>
          <w:szCs w:val="24"/>
        </w:rPr>
        <w:t>及a</w:t>
      </w:r>
      <w:r>
        <w:rPr>
          <w:rFonts w:ascii="標楷體" w:eastAsia="標楷體" w:hAnsi="標楷體" w:cstheme="minorBidi"/>
          <w:kern w:val="2"/>
          <w:szCs w:val="24"/>
        </w:rPr>
        <w:t>calabrutinib</w:t>
      </w:r>
      <w:r>
        <w:rPr>
          <w:rFonts w:ascii="標楷體" w:eastAsia="標楷體" w:hAnsi="標楷體" w:cstheme="minorBidi" w:hint="eastAsia"/>
          <w:kern w:val="2"/>
          <w:szCs w:val="24"/>
        </w:rPr>
        <w:t>互換時限使用20個月，</w:t>
      </w:r>
      <w:r w:rsidRPr="005363DB">
        <w:rPr>
          <w:rFonts w:ascii="標楷體" w:eastAsia="標楷體" w:hAnsi="標楷體" w:cstheme="minorBidi" w:hint="eastAsia"/>
          <w:kern w:val="2"/>
          <w:szCs w:val="24"/>
        </w:rPr>
        <w:t>三者使用總療程合併計算</w:t>
      </w:r>
      <w:r>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(112/12/1、</w:t>
      </w:r>
      <w:r w:rsidRPr="005363DB">
        <w:rPr>
          <w:rFonts w:ascii="標楷體" w:eastAsia="標楷體" w:hAnsi="標楷體" w:hint="eastAsia"/>
          <w:kern w:val="2"/>
          <w:szCs w:val="24"/>
        </w:rPr>
        <w:t>114/</w:t>
      </w:r>
      <w:r>
        <w:rPr>
          <w:rFonts w:ascii="標楷體" w:eastAsia="標楷體" w:hAnsi="標楷體"/>
          <w:kern w:val="2"/>
          <w:szCs w:val="24"/>
        </w:rPr>
        <w:t>10</w:t>
      </w:r>
      <w:r w:rsidRPr="005363DB">
        <w:rPr>
          <w:rFonts w:ascii="標楷體" w:eastAsia="標楷體" w:hAnsi="標楷體" w:hint="eastAsia"/>
          <w:kern w:val="2"/>
          <w:szCs w:val="24"/>
        </w:rPr>
        <w:t>/1</w:t>
      </w:r>
      <w:r w:rsidRPr="005363DB">
        <w:rPr>
          <w:rFonts w:ascii="標楷體" w:eastAsia="標楷體" w:hAnsi="標楷體" w:cstheme="minorBidi" w:hint="eastAsia"/>
          <w:kern w:val="2"/>
          <w:szCs w:val="24"/>
        </w:rPr>
        <w:t>)</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單獨使用於曾接受含一種單株抗體及一種靜脈注射之alkylating agent之chemoimmunotherapy至少4個療程以上後復發者的華氏巨球蛋白血症成年病人。(112/12/1、114/8/1)。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病患須具下列至少3種條件：</w:t>
      </w:r>
    </w:p>
    <w:p w:rsidR="000838F4" w:rsidRPr="005363DB" w:rsidRDefault="000838F4" w:rsidP="00167FEB">
      <w:pPr>
        <w:numPr>
          <w:ilvl w:val="0"/>
          <w:numId w:val="9"/>
        </w:numPr>
        <w:suppressAutoHyphens w:val="0"/>
        <w:autoSpaceDN/>
        <w:spacing w:line="400" w:lineRule="exact"/>
        <w:ind w:left="1418" w:hanging="219"/>
        <w:textAlignment w:val="auto"/>
        <w:rPr>
          <w:rFonts w:ascii="標楷體" w:eastAsia="標楷體" w:hAnsi="標楷體" w:cs="BiauKai"/>
          <w:kern w:val="2"/>
          <w:szCs w:val="24"/>
        </w:rPr>
      </w:pPr>
      <w:r w:rsidRPr="005363DB">
        <w:rPr>
          <w:rFonts w:ascii="標楷體" w:eastAsia="標楷體" w:hAnsi="標楷體" w:cs="BiauKai" w:hint="eastAsia"/>
          <w:kern w:val="2"/>
          <w:szCs w:val="24"/>
        </w:rPr>
        <w:t>年齡＞65歲。</w:t>
      </w:r>
    </w:p>
    <w:p w:rsidR="000838F4" w:rsidRPr="005363DB" w:rsidRDefault="000838F4" w:rsidP="00167FEB">
      <w:pPr>
        <w:numPr>
          <w:ilvl w:val="0"/>
          <w:numId w:val="9"/>
        </w:numPr>
        <w:suppressAutoHyphens w:val="0"/>
        <w:autoSpaceDN/>
        <w:spacing w:line="400" w:lineRule="exact"/>
        <w:ind w:leftChars="474" w:left="1560" w:hangingChars="176" w:hanging="422"/>
        <w:textAlignment w:val="auto"/>
        <w:rPr>
          <w:rFonts w:ascii="標楷體" w:eastAsia="標楷體" w:hAnsi="標楷體" w:cs="BiauKai"/>
          <w:kern w:val="2"/>
          <w:szCs w:val="24"/>
        </w:rPr>
      </w:pPr>
      <w:r w:rsidRPr="005363DB">
        <w:rPr>
          <w:rFonts w:ascii="標楷體" w:eastAsia="標楷體" w:hAnsi="標楷體" w:cs="BiauKai" w:hint="eastAsia"/>
          <w:kern w:val="2"/>
          <w:szCs w:val="24"/>
        </w:rPr>
        <w:t>血紅素計數≦11g/dL。</w:t>
      </w:r>
    </w:p>
    <w:p w:rsidR="000838F4" w:rsidRPr="005363DB" w:rsidRDefault="000838F4" w:rsidP="00167FEB">
      <w:pPr>
        <w:numPr>
          <w:ilvl w:val="0"/>
          <w:numId w:val="9"/>
        </w:numPr>
        <w:suppressAutoHyphens w:val="0"/>
        <w:autoSpaceDN/>
        <w:spacing w:line="400" w:lineRule="exact"/>
        <w:ind w:leftChars="415" w:left="1560"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血小板計數≦100×109/L。</w:t>
      </w:r>
    </w:p>
    <w:p w:rsidR="000838F4" w:rsidRPr="005363DB" w:rsidRDefault="000838F4" w:rsidP="00167FEB">
      <w:pPr>
        <w:numPr>
          <w:ilvl w:val="0"/>
          <w:numId w:val="9"/>
        </w:numPr>
        <w:suppressAutoHyphens w:val="0"/>
        <w:autoSpaceDN/>
        <w:spacing w:line="400" w:lineRule="exact"/>
        <w:ind w:leftChars="472" w:left="1558" w:hangingChars="177"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β2-microglobulin&gt;3mg/L。</w:t>
      </w:r>
    </w:p>
    <w:p w:rsidR="000838F4" w:rsidRPr="005363DB" w:rsidRDefault="000838F4" w:rsidP="00167FEB">
      <w:pPr>
        <w:numPr>
          <w:ilvl w:val="0"/>
          <w:numId w:val="9"/>
        </w:numPr>
        <w:suppressAutoHyphens w:val="0"/>
        <w:autoSpaceDN/>
        <w:spacing w:line="400" w:lineRule="exact"/>
        <w:ind w:leftChars="531" w:left="1557" w:hangingChars="118"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免疫球蛋白IgM&gt;7g/dL。</w:t>
      </w:r>
    </w:p>
    <w:p w:rsidR="000838F4" w:rsidRPr="00347CE0"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需經事前審查核准後使用(事審代碼：C88N3)。首次申請事前審查之療程以4個月為限，之後每3個月需再次申請，再次申請時應檢附前次治療結果評估資料，如影像學檢查報告。</w:t>
      </w:r>
      <w:r w:rsidRPr="00347CE0">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114/8/1)</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每位病人限給付20個月。</w:t>
      </w:r>
    </w:p>
    <w:p w:rsidR="000838F4" w:rsidRPr="005363DB" w:rsidRDefault="000838F4" w:rsidP="00167FEB">
      <w:pPr>
        <w:numPr>
          <w:ilvl w:val="0"/>
          <w:numId w:val="8"/>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與</w:t>
      </w:r>
      <w:r w:rsidRPr="00347CE0">
        <w:rPr>
          <w:rFonts w:ascii="標楷體" w:eastAsia="標楷體" w:hAnsi="標楷體" w:cstheme="minorBidi" w:hint="eastAsia"/>
          <w:kern w:val="2"/>
          <w:szCs w:val="24"/>
        </w:rPr>
        <w:t>obinutuzumab</w:t>
      </w:r>
      <w:r w:rsidRPr="005363DB">
        <w:rPr>
          <w:rFonts w:ascii="標楷體" w:eastAsia="標楷體" w:hAnsi="標楷體" w:cs="BiauKai" w:hint="eastAsia"/>
          <w:kern w:val="2"/>
          <w:szCs w:val="24"/>
        </w:rPr>
        <w:t>併用，治療先前曾接受至少兩線(每線至少4個療程)全身性治療無效或復發的濾泡性淋巴瘤成人病人。(</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需曾接受過至少一種anti-CD20 monoclonal antibody及一種靜脈注射型之alkylating agent治療。</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需符合WHO 淋巴瘤分類為I、II或IIIa期的診斷。</w:t>
      </w:r>
    </w:p>
    <w:p w:rsidR="000838F4" w:rsidRPr="005363DB" w:rsidRDefault="000838F4" w:rsidP="00167FEB">
      <w:pPr>
        <w:numPr>
          <w:ilvl w:val="1"/>
          <w:numId w:val="11"/>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開始使用前之疾病狀態需出現下列任一情形：</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有單一腫瘤直徑7公分以上者；</w:t>
      </w:r>
    </w:p>
    <w:p w:rsidR="000838F4" w:rsidRPr="005363DB" w:rsidRDefault="000838F4" w:rsidP="00167FEB">
      <w:pPr>
        <w:numPr>
          <w:ilvl w:val="0"/>
          <w:numId w:val="10"/>
        </w:numPr>
        <w:suppressAutoHyphens w:val="0"/>
        <w:autoSpaceDN/>
        <w:spacing w:line="400" w:lineRule="exact"/>
        <w:ind w:left="1560" w:hanging="502"/>
        <w:textAlignment w:val="auto"/>
        <w:rPr>
          <w:rFonts w:ascii="標楷體" w:eastAsia="標楷體" w:hAnsi="標楷體" w:cs="BiauKai"/>
          <w:kern w:val="2"/>
          <w:szCs w:val="24"/>
        </w:rPr>
      </w:pPr>
      <w:r w:rsidRPr="005363DB">
        <w:rPr>
          <w:rFonts w:ascii="標楷體" w:eastAsia="標楷體" w:hAnsi="標楷體" w:cs="BiauKai" w:hint="eastAsia"/>
          <w:kern w:val="2"/>
          <w:szCs w:val="24"/>
        </w:rPr>
        <w:t>有</w:t>
      </w:r>
      <w:r w:rsidRPr="005363DB">
        <w:rPr>
          <w:rFonts w:ascii="標楷體" w:eastAsia="標楷體" w:hAnsi="標楷體" w:cs="BiauKai" w:hint="eastAsia"/>
          <w:kern w:val="2"/>
        </w:rPr>
        <w:t>三顆以上之腫瘤其直徑大於3公分以上者</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Chars="413" w:left="1555"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脾臟腫大，其長度16公分以上者；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對vitalorgans造成擠壓者；</w:t>
      </w:r>
    </w:p>
    <w:p w:rsidR="000838F4" w:rsidRPr="005363DB" w:rsidRDefault="000838F4" w:rsidP="00167FEB">
      <w:pPr>
        <w:numPr>
          <w:ilvl w:val="0"/>
          <w:numId w:val="10"/>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周邊血中出現淋巴球增生超過5000/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者；</w:t>
      </w:r>
    </w:p>
    <w:p w:rsidR="000838F4" w:rsidRPr="005363DB" w:rsidRDefault="000838F4" w:rsidP="00167FEB">
      <w:pPr>
        <w:numPr>
          <w:ilvl w:val="0"/>
          <w:numId w:val="10"/>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出現任一系列血球低下者（platelet&lt;100,000/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，或 Hb&lt;10gm/dL，或absolute neutrophil count&lt;1500/mm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w:t>
      </w:r>
    </w:p>
    <w:p w:rsidR="000838F4" w:rsidRPr="005363DB" w:rsidRDefault="000838F4" w:rsidP="00167FEB">
      <w:pPr>
        <w:numPr>
          <w:ilvl w:val="0"/>
          <w:numId w:val="10"/>
        </w:numPr>
        <w:suppressAutoHyphens w:val="0"/>
        <w:autoSpaceDN/>
        <w:spacing w:line="400" w:lineRule="exact"/>
        <w:ind w:left="1560" w:hanging="567"/>
        <w:textAlignment w:val="auto"/>
        <w:rPr>
          <w:rFonts w:ascii="標楷體" w:eastAsia="標楷體" w:hAnsi="標楷體" w:cs="BiauKai"/>
          <w:kern w:val="2"/>
          <w:szCs w:val="24"/>
        </w:rPr>
      </w:pPr>
      <w:r w:rsidRPr="005363DB">
        <w:rPr>
          <w:rFonts w:ascii="標楷體" w:eastAsia="標楷體" w:hAnsi="標楷體" w:cs="BiauKai" w:hint="eastAsia"/>
          <w:kern w:val="2"/>
          <w:szCs w:val="24"/>
        </w:rPr>
        <w:lastRenderedPageBreak/>
        <w:t>B symptoms。</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需經事前審查核准後使用</w:t>
      </w:r>
      <w:r w:rsidRPr="005363DB">
        <w:rPr>
          <w:rFonts w:ascii="標楷體" w:eastAsia="標楷體" w:hAnsi="標楷體" w:cstheme="minorBidi" w:hint="eastAsia"/>
          <w:kern w:val="2"/>
          <w:szCs w:val="24"/>
        </w:rPr>
        <w:t>(事審代碼：C82N</w:t>
      </w:r>
      <w:r>
        <w:rPr>
          <w:rFonts w:ascii="標楷體" w:eastAsia="標楷體" w:hAnsi="標楷體" w:cstheme="minorBidi" w:hint="eastAsia"/>
          <w:kern w:val="2"/>
          <w:szCs w:val="24"/>
        </w:rPr>
        <w:t>3</w:t>
      </w:r>
      <w:r w:rsidRPr="005363DB">
        <w:rPr>
          <w:rFonts w:ascii="標楷體" w:eastAsia="標楷體" w:hAnsi="標楷體" w:cstheme="minorBidi" w:hint="eastAsia"/>
          <w:kern w:val="2"/>
          <w:szCs w:val="24"/>
        </w:rPr>
        <w:t>)</w:t>
      </w:r>
      <w:r w:rsidRPr="005363DB">
        <w:rPr>
          <w:rFonts w:ascii="標楷體" w:eastAsia="標楷體" w:hAnsi="標楷體" w:cs="BiauKai" w:hint="eastAsia"/>
          <w:kern w:val="2"/>
          <w:szCs w:val="24"/>
        </w:rPr>
        <w:t>，每3個月需再次申請，再次申請時需檢附療效評估資料，若未達partial remission或 complete remission，則不予給付。</w:t>
      </w:r>
    </w:p>
    <w:p w:rsidR="000838F4" w:rsidRDefault="000838F4" w:rsidP="00167FEB">
      <w:pPr>
        <w:numPr>
          <w:ilvl w:val="1"/>
          <w:numId w:val="11"/>
        </w:numPr>
        <w:suppressAutoHyphens w:val="0"/>
        <w:autoSpaceDN/>
        <w:spacing w:line="400" w:lineRule="exact"/>
        <w:ind w:left="1276" w:hanging="425"/>
        <w:textAlignment w:val="auto"/>
        <w:rPr>
          <w:rFonts w:ascii="標楷體" w:eastAsia="標楷體" w:hAnsi="標楷體" w:cs="BiauKai"/>
          <w:kern w:val="2"/>
          <w:szCs w:val="24"/>
        </w:rPr>
      </w:pPr>
      <w:r w:rsidRPr="0074474A">
        <w:rPr>
          <w:rFonts w:ascii="標楷體" w:eastAsia="標楷體" w:hAnsi="標楷體" w:cs="BiauKai" w:hint="eastAsia"/>
          <w:kern w:val="2"/>
          <w:szCs w:val="24"/>
        </w:rPr>
        <w:t>總療程以全部24個月為上限。Zanubrutinib每日至多處方4粒。</w:t>
      </w:r>
    </w:p>
    <w:p w:rsidR="000838F4" w:rsidRDefault="000838F4" w:rsidP="00167FEB">
      <w:pPr>
        <w:numPr>
          <w:ilvl w:val="0"/>
          <w:numId w:val="30"/>
        </w:numPr>
        <w:suppressAutoHyphens w:val="0"/>
        <w:autoSpaceDN/>
        <w:spacing w:line="400" w:lineRule="exact"/>
        <w:ind w:left="567" w:hanging="283"/>
        <w:textAlignment w:val="auto"/>
        <w:rPr>
          <w:rFonts w:ascii="標楷體" w:eastAsia="標楷體" w:hAnsi="標楷體" w:cs="BiauKai"/>
          <w:kern w:val="2"/>
          <w:szCs w:val="24"/>
        </w:rPr>
      </w:pPr>
      <w:r w:rsidRPr="00170338">
        <w:rPr>
          <w:rFonts w:ascii="標楷體" w:eastAsia="標楷體" w:hAnsi="標楷體" w:cs="BiauKai" w:hint="eastAsia"/>
          <w:kern w:val="2"/>
          <w:szCs w:val="24"/>
        </w:rPr>
        <w:t>單獨使用於慢性淋巴球性白血病(CLL)成人病人。(114/10/1)</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170338">
        <w:rPr>
          <w:rFonts w:ascii="標楷體" w:eastAsia="標楷體" w:hAnsi="標楷體" w:cs="BiauKai" w:hint="eastAsia"/>
          <w:kern w:val="2"/>
          <w:szCs w:val="24"/>
        </w:rPr>
        <w:t>ECOG 分數須≦2。</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需符合下列任一情況：</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0838F4"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非IGHV突變且曾接受至少1種包括alkylating agent與anti-CD20(如R-CVP、RCHOP、rituximab加bendamustine等)的治療2個療程以上仍惡化或復發者</w:t>
      </w:r>
      <w:r>
        <w:rPr>
          <w:rFonts w:ascii="標楷體" w:eastAsia="標楷體" w:hAnsi="標楷體" w:cs="BiauKai" w:hint="eastAsia"/>
          <w:kern w:val="2"/>
        </w:rPr>
        <w:t>。</w:t>
      </w:r>
    </w:p>
    <w:p w:rsidR="000838F4" w:rsidRPr="006915F1" w:rsidRDefault="000838F4" w:rsidP="00167FEB">
      <w:pPr>
        <w:pStyle w:val="a9"/>
        <w:numPr>
          <w:ilvl w:val="0"/>
          <w:numId w:val="33"/>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開始使用前之疾病狀態需出現下列任一情形：</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0838F4"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0838F4" w:rsidRPr="006915F1" w:rsidRDefault="000838F4" w:rsidP="00167FEB">
      <w:pPr>
        <w:pStyle w:val="a9"/>
        <w:numPr>
          <w:ilvl w:val="0"/>
          <w:numId w:val="32"/>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需經事前審查核准後使用(事審代碼：C91N1)，每3個月需再次申請。再次申請時需檢附療效評估資料，若未達iwCLL (International Workshop on CLL)最新定義之partial remission或complete remission，則不予給付</w:t>
      </w:r>
      <w:r>
        <w:rPr>
          <w:rFonts w:ascii="標楷體" w:eastAsia="標楷體" w:hAnsi="標楷體" w:cs="BiauKai" w:hint="eastAsia"/>
          <w:kern w:val="2"/>
          <w:szCs w:val="24"/>
        </w:rPr>
        <w:t>。</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在具有17缺失病人，acalabrutinib、ibrutinib、venetoclax與zanubrutinib四者僅能擇一使用，唯有在出現無法忍受其副作用時方可互換。四者使用總療程合併計算，以全部24個月為上限。</w:t>
      </w:r>
    </w:p>
    <w:p w:rsidR="000838F4"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在非IGHV突變二線以上病人及CLL三線以上病人，acalabrutinib與zanubrutinib二者僅能擇一使用，唯有在出現無法忍受其副作用時方可互換。二者使用總療程合併計算，以全部24個月為上限。</w:t>
      </w:r>
    </w:p>
    <w:p w:rsidR="005363DB" w:rsidRPr="0074474A" w:rsidRDefault="000838F4" w:rsidP="00167FEB">
      <w:pPr>
        <w:numPr>
          <w:ilvl w:val="0"/>
          <w:numId w:val="31"/>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每日至多處方4粒</w:t>
      </w:r>
      <w:r>
        <w:rPr>
          <w:rFonts w:ascii="標楷體" w:eastAsia="標楷體" w:hAnsi="標楷體" w:cs="BiauKai" w:hint="eastAsia"/>
          <w:kern w:val="2"/>
          <w:szCs w:val="24"/>
        </w:rPr>
        <w:t>。</w:t>
      </w:r>
      <w:bookmarkEnd w:id="44"/>
    </w:p>
    <w:p w:rsidR="00517C45" w:rsidRPr="00803B45" w:rsidRDefault="00517C45" w:rsidP="00517C45">
      <w:pPr>
        <w:spacing w:line="400" w:lineRule="exact"/>
        <w:ind w:left="142"/>
        <w:rPr>
          <w:rFonts w:ascii="標楷體" w:eastAsia="標楷體" w:hAnsi="標楷體"/>
          <w:szCs w:val="24"/>
        </w:rPr>
      </w:pPr>
      <w:bookmarkStart w:id="45" w:name="_Hlk204085052"/>
      <w:r w:rsidRPr="00803B45">
        <w:rPr>
          <w:rFonts w:ascii="標楷體" w:eastAsia="標楷體" w:hAnsi="標楷體"/>
          <w:szCs w:val="24"/>
        </w:rPr>
        <w:t>9.105.Polatuzumab vedotin (如Polivy)：(113/2/1</w:t>
      </w:r>
      <w:r w:rsidRPr="00803B45">
        <w:rPr>
          <w:rFonts w:ascii="標楷體" w:eastAsia="標楷體" w:hAnsi="標楷體" w:hint="eastAsia"/>
        </w:rPr>
        <w:t>、114/8/1</w:t>
      </w:r>
      <w:r w:rsidRPr="00803B45">
        <w:rPr>
          <w:rFonts w:ascii="標楷體" w:eastAsia="標楷體" w:hAnsi="標楷體"/>
          <w:szCs w:val="24"/>
        </w:rPr>
        <w:t>)</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lastRenderedPageBreak/>
        <w:t>1.限與bendamustine和rituximab併用，適用於第三線治療復發型（relapsed）或難治型（refractory）且未曾接受及不適合接受造血幹細胞移植的瀰漫性大型B細胞淋巴瘤（DLBCL）成年病人，並須完全符合下列條件：</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(2)未曾接受幹細胞移植且需先經兩位曾接受血液及骨髓移植訓練並合格之醫師評估為不適合接受移植之病人並滿足下列條件之一：</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Ⅱ.年齡在65歲以下，符合HCT-CI≧3分，且使用過的第二線治療含鉑類藥物（cisplatin、oxaliplatin、carboplatin）後，以影像學檢查證實疾病惡化中。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病人接受本藥物治療後，不給付造血幹細胞移植。(113/2/1、114/8/1)</w:t>
      </w:r>
    </w:p>
    <w:p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本藥品、glofitamab及epcoritamab僅得擇一給付，治療失敗後不得互換。(114/8/1)</w:t>
      </w:r>
      <w:bookmarkEnd w:id="45"/>
    </w:p>
    <w:p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9.106.Sacituzumab govitecan (如Trodelvy）：(113/2/1、114/2/1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r w:rsidRPr="00204759">
        <w:rPr>
          <w:rFonts w:ascii="標楷體" w:eastAsia="標楷體" w:hAnsi="標楷體"/>
          <w:szCs w:val="24"/>
        </w:rPr>
        <w:t>taxane</w:t>
      </w:r>
      <w:r w:rsidRPr="00204759">
        <w:rPr>
          <w:rFonts w:ascii="標楷體" w:eastAsia="標楷體" w:hAnsi="標楷體" w:hint="eastAsia"/>
          <w:szCs w:val="24"/>
        </w:rPr>
        <w:t>類藥物至少1個療程。</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Ⅲ.先前未接受過trastuzumab deruxtecan治療。(114/2/1)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lastRenderedPageBreak/>
        <w:t>(4)</w:t>
      </w:r>
      <w:r w:rsidRPr="00204759">
        <w:rPr>
          <w:rFonts w:ascii="標楷體" w:eastAsia="標楷體" w:hAnsi="標楷體"/>
          <w:szCs w:val="24"/>
        </w:rPr>
        <w:t>Sacituzumab govitecan和trastuzumab deruxtecan僅能擇一給付，不得互換。(114/2/1)</w:t>
      </w:r>
      <w:r w:rsidRPr="00204759">
        <w:rPr>
          <w:rFonts w:ascii="標楷體" w:eastAsia="標楷體" w:hAnsi="標楷體" w:hint="eastAsia"/>
          <w:szCs w:val="24"/>
        </w:rPr>
        <w:t>。</w:t>
      </w:r>
    </w:p>
    <w:p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(如Verzenio)：(113/3/1、113/6/1)</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rsidR="00B96EA0" w:rsidRDefault="007D66B8" w:rsidP="005142EB">
      <w:pPr>
        <w:spacing w:line="400" w:lineRule="exact"/>
        <w:ind w:left="1332" w:hanging="566"/>
      </w:pPr>
      <w:r>
        <w:rPr>
          <w:rFonts w:ascii="標楷體" w:eastAsia="標楷體" w:hAnsi="標楷體"/>
          <w:color w:val="000000"/>
        </w:rPr>
        <w:t xml:space="preserve">(1)pALN (positive axillary lymph nodes，陽性腋下淋巴結) </w:t>
      </w:r>
      <w:r>
        <w:rPr>
          <w:rFonts w:eastAsia="標楷體"/>
          <w:color w:val="000000"/>
        </w:rPr>
        <w:t>≥</w:t>
      </w:r>
      <w:r>
        <w:rPr>
          <w:rFonts w:ascii="標楷體" w:eastAsia="標楷體" w:hAnsi="標楷體"/>
          <w:color w:val="000000"/>
        </w:rPr>
        <w:t>4。</w:t>
      </w:r>
    </w:p>
    <w:p w:rsidR="00B96EA0" w:rsidRDefault="007D66B8" w:rsidP="005142EB">
      <w:pPr>
        <w:spacing w:line="400" w:lineRule="exact"/>
        <w:ind w:left="1332" w:hanging="566"/>
      </w:pPr>
      <w:r>
        <w:rPr>
          <w:rFonts w:ascii="標楷體" w:eastAsia="標楷體" w:hAnsi="標楷體"/>
          <w:color w:val="000000"/>
        </w:rPr>
        <w:t>(2)pALN (陽性腋下淋巴結)為1-3 且腫瘤大小</w:t>
      </w:r>
      <w:r>
        <w:rPr>
          <w:rFonts w:eastAsia="標楷體"/>
          <w:color w:val="000000"/>
        </w:rPr>
        <w:t>≥</w:t>
      </w:r>
      <w:r>
        <w:rPr>
          <w:rFonts w:ascii="標楷體" w:eastAsia="標楷體" w:hAnsi="標楷體"/>
          <w:color w:val="000000"/>
        </w:rPr>
        <w:t>5 cm。</w:t>
      </w:r>
    </w:p>
    <w:p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(3)pALN (陽性腋下淋巴結)為1-3 且腫瘤細胞分化第3級。</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3.使用前，僅能接受最多12週的內分泌治療，且應於手術切除後16個月內接受本品治療。</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r w:rsidR="00941523" w:rsidRPr="00276A1A">
        <w:rPr>
          <w:rFonts w:ascii="標楷體" w:eastAsia="標楷體" w:hAnsi="標楷體"/>
          <w:szCs w:val="24"/>
        </w:rPr>
        <w:t>Isatuximab(如</w:t>
      </w:r>
      <w:bookmarkStart w:id="46" w:name="_Hlk173438635"/>
      <w:r w:rsidR="00941523" w:rsidRPr="00276A1A">
        <w:rPr>
          <w:rFonts w:ascii="標楷體" w:eastAsia="標楷體" w:hAnsi="標楷體"/>
          <w:szCs w:val="24"/>
        </w:rPr>
        <w:t>Sarclisa</w:t>
      </w:r>
      <w:bookmarkEnd w:id="46"/>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Ⅱ.具有下列任一疾病惡化的指標： 病患開始治療前須在連續2次評估中均符合同一指標 (但若為plamacytoma 體積增加，或是新產生的bone lesion(s)或新</w:t>
      </w:r>
      <w:r w:rsidRPr="00276A1A">
        <w:rPr>
          <w:rFonts w:ascii="標楷體" w:eastAsia="標楷體" w:hAnsi="標楷體"/>
          <w:szCs w:val="24"/>
        </w:rPr>
        <w:lastRenderedPageBreak/>
        <w:t xml:space="preserve">plasmacytoma，則僅需1次評估)： </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5.Isatuximab與daratumumab二者僅能擇一使用，除因藥物耐受不良以外，不可以其他原因申請互換使用。</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9.109.Enfortumab vedotin(如</w:t>
      </w:r>
      <w:bookmarkStart w:id="47" w:name="_Hlk141697711"/>
      <w:r>
        <w:rPr>
          <w:rFonts w:ascii="標楷體" w:eastAsia="標楷體" w:hAnsi="標楷體"/>
          <w:color w:val="000000"/>
        </w:rPr>
        <w:t>Padcev</w:t>
      </w:r>
      <w:bookmarkEnd w:id="47"/>
      <w:r>
        <w:rPr>
          <w:rFonts w:ascii="標楷體" w:eastAsia="標楷體" w:hAnsi="標楷體"/>
          <w:color w:val="000000"/>
        </w:rPr>
        <w:t>）：(113/5/1)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lastRenderedPageBreak/>
        <w:t>(4)需排除病情控制不佳的糖尿病患者（HbA1c≧8%）。</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(2)病人12週內之疾病影像檢查及報告(如胸部X光、電腦斷層或其他可作為評估的影像)，此影像證明以可測量(measurable)的病灶為優先，如沒有可以測量的病灶，則可評估(evaluable)的病灶亦可採用。</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(如Velexbru）：(113/6/1)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(如Empliciti)：(113/9/1)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1.與pomalidomide及dexamethasone併用，治療之前曾接受過至少兩種療法（包括lenalidomide和蛋白酶體抑制劑）的多發性骨髓瘤成年病人，且完全符合下列條件：</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Ⅰ.具有下列任一疾病惡化的指標： 病人開始治療前須在連續2次評估中均符合同一指標 (但若為plamacytoma 體積增加，或是新產生的bone lesion(s)或新plasmacytoma，則僅需1次評估)：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rsidR="00B96EA0" w:rsidRDefault="007D66B8" w:rsidP="005142EB">
      <w:pPr>
        <w:spacing w:line="400" w:lineRule="exact"/>
        <w:ind w:left="1800" w:hanging="360"/>
      </w:pPr>
      <w:r>
        <w:rPr>
          <w:rFonts w:ascii="新細明體" w:hAnsi="新細明體" w:cs="新細明體"/>
          <w:szCs w:val="24"/>
        </w:rPr>
        <w:lastRenderedPageBreak/>
        <w:t>ⅱ</w:t>
      </w:r>
      <w:r>
        <w:rPr>
          <w:rFonts w:ascii="標楷體" w:eastAsia="標楷體" w:hAnsi="標楷體"/>
          <w:szCs w:val="24"/>
        </w:rPr>
        <w:t>.Urine M-protein需增加≧0.2 gm/24Hr，且需較前一線治療中的最低值增加≧25%。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v.Plasmacytoma體積增加≧50%。</w:t>
      </w:r>
    </w:p>
    <w:p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cells/μL。</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rsidR="00B96EA0" w:rsidRDefault="007D66B8" w:rsidP="005142EB">
      <w:pPr>
        <w:spacing w:line="400" w:lineRule="exact"/>
        <w:ind w:left="1800" w:hanging="360"/>
      </w:pPr>
      <w:r>
        <w:rPr>
          <w:rFonts w:ascii="新細明體" w:hAnsi="新細明體" w:cs="新細明體"/>
          <w:szCs w:val="24"/>
        </w:rPr>
        <w:t>ⅱ</w:t>
      </w:r>
      <w:r>
        <w:rPr>
          <w:rFonts w:ascii="標楷體" w:eastAsia="標楷體" w:hAnsi="標楷體"/>
          <w:szCs w:val="24"/>
        </w:rPr>
        <w:t>.Plasmacytoma 體積增加≧50%。</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9.112.Pertuzumab與trastuzumab皮下注射複方製劑(如Phesgo):(113/12/1、114/5/1)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(1)使用於術前輔助治療，經外科手術後達病理上完全緩解者（pCR），得繼續使用至18個療程為上限。</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Ⅲ：pertuzumab與trastuzumab併用</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w:t>
      </w:r>
      <w:r>
        <w:rPr>
          <w:rFonts w:ascii="標楷體" w:eastAsia="標楷體" w:hAnsi="標楷體"/>
          <w:szCs w:val="24"/>
        </w:rPr>
        <w:lastRenderedPageBreak/>
        <w:t>(IHC3+或FISH+)轉移性乳癌病人。</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Ⅱ：pertuzumab與trastuzumab併用</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(4)先前於早期乳癌已使用過本藥品或pertuzumab與trastuzumab併用者，不得再次申請本藥品，惟於早期乳癌治療結束至首次疾病復發轉移時間超過12個月以上者得再次申請。(113/12/1)</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9.113.Gemtuzumab ozogamicin(如Mylotarg)：(114/1/1)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除急性前骨髓性細胞白血病(acute promyelocytic leukemia,APL)病人。</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3.若病患疾病達到完全緩解(即CR 或 CRi)，可續申請使用於鞏固治療期，每次申請以1個療程為限(1次輸注)，並最多給付2個鞏固治療療程(即2次輸注)。申請時需檢附前次治療結果評估資料證實無疾病惡化。</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rsidR="00557419" w:rsidRPr="00AA26C9" w:rsidRDefault="00557419" w:rsidP="00557419">
      <w:pPr>
        <w:spacing w:line="400" w:lineRule="exact"/>
        <w:ind w:left="677" w:hangingChars="282" w:hanging="677"/>
        <w:rPr>
          <w:rFonts w:ascii="標楷體" w:eastAsia="標楷體" w:hAnsi="標楷體"/>
          <w:szCs w:val="24"/>
        </w:rPr>
      </w:pPr>
      <w:bookmarkStart w:id="48" w:name="_Hlk196225396"/>
      <w:r w:rsidRPr="00AA26C9">
        <w:rPr>
          <w:rFonts w:ascii="標楷體" w:eastAsia="標楷體" w:hAnsi="標楷體"/>
          <w:szCs w:val="24"/>
        </w:rPr>
        <w:t>9.114.Fedratinib (</w:t>
      </w:r>
      <w:r w:rsidRPr="00AA26C9">
        <w:rPr>
          <w:rFonts w:ascii="標楷體" w:eastAsia="標楷體" w:hAnsi="標楷體" w:hint="eastAsia"/>
          <w:szCs w:val="24"/>
        </w:rPr>
        <w:t>如</w:t>
      </w:r>
      <w:r w:rsidRPr="00AA26C9">
        <w:rPr>
          <w:rFonts w:ascii="標楷體" w:eastAsia="標楷體" w:hAnsi="標楷體"/>
          <w:szCs w:val="24"/>
        </w:rPr>
        <w:t>Inrebic)</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8"/>
    <w:p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r w:rsidRPr="00AA26C9">
        <w:rPr>
          <w:rFonts w:ascii="標楷體" w:eastAsia="標楷體" w:hAnsi="標楷體"/>
          <w:szCs w:val="24"/>
        </w:rPr>
        <w:t xml:space="preserve">ruxolitinib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AML tranformation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w:t>
      </w:r>
      <w:r w:rsidRPr="00AA26C9">
        <w:rPr>
          <w:rFonts w:ascii="標楷體" w:eastAsia="標楷體" w:hAnsi="標楷體" w:hint="eastAsia"/>
          <w:szCs w:val="24"/>
        </w:rPr>
        <w:lastRenderedPageBreak/>
        <w:t>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r w:rsidRPr="00AA26C9">
        <w:rPr>
          <w:rFonts w:ascii="標楷體" w:eastAsia="標楷體" w:hAnsi="標楷體"/>
          <w:szCs w:val="24"/>
        </w:rPr>
        <w:t>ruxolitinib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用於中度風險或高風險之骨髓纖維化治療時，僅得擇一給付。r</w:t>
      </w:r>
      <w:r w:rsidRPr="00AA26C9">
        <w:rPr>
          <w:rFonts w:ascii="標楷體" w:eastAsia="標楷體" w:hAnsi="標楷體"/>
          <w:szCs w:val="24"/>
        </w:rPr>
        <w:t>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rsidR="00B96EA0" w:rsidRDefault="007D66B8" w:rsidP="005142EB">
      <w:pPr>
        <w:spacing w:line="400" w:lineRule="exact"/>
        <w:rPr>
          <w:rFonts w:ascii="標楷體" w:eastAsia="標楷體" w:hAnsi="標楷體"/>
          <w:szCs w:val="28"/>
        </w:rPr>
      </w:pPr>
      <w:r>
        <w:rPr>
          <w:rFonts w:ascii="標楷體" w:eastAsia="標楷體" w:hAnsi="標楷體"/>
          <w:szCs w:val="28"/>
        </w:rPr>
        <w:t>9.115.Trastuzumab deruxtecan (如Enhertu)：(114/2/1)</w:t>
      </w:r>
    </w:p>
    <w:p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與一種taxane 藥物治療，或其合併療法，或pertuzumab 與trastuzumab 與一種taxane藥物治療。</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(5)Trastuzumab deruxtecan、trastuzumab emtansine 和lapatinib 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(5)Trastuzumab deruxtecan和sacituzumab govitecan僅能擇一給付，不得互換。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rsidR="00B96EA0" w:rsidRDefault="007D66B8" w:rsidP="005142EB">
      <w:pPr>
        <w:spacing w:line="400" w:lineRule="exact"/>
      </w:pPr>
      <w:r>
        <w:rPr>
          <w:rFonts w:ascii="標楷體" w:eastAsia="標楷體" w:hAnsi="標楷體"/>
          <w:szCs w:val="28"/>
        </w:rPr>
        <w:t>9.116.Selumetinib (如Koselugo)：(114/2/1)</w:t>
      </w:r>
    </w:p>
    <w:p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w:t>
      </w:r>
      <w:r>
        <w:rPr>
          <w:rFonts w:ascii="標楷體" w:eastAsia="標楷體" w:hAnsi="標楷體"/>
          <w:szCs w:val="24"/>
        </w:rPr>
        <w:lastRenderedPageBreak/>
        <w:t>叢狀神經纖維瘤（plexiform neurofibroma，PN）之兒童病人，且同時符合下列情形：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9.117.Selinexor(如Xpovio)：(114/3/1)</w:t>
      </w:r>
    </w:p>
    <w:p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下列任一疾病惡化的指標：病患開始治療前須在連續2次評估中均符合同一指標(但若為plamacytoma體積增加，或是新產生的bone lesion(s)或新plasmacytoma，則僅需1次評估)：</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lastRenderedPageBreak/>
        <w:t>i.若前一線治療中M component最低值≧5g/dL，血清M蛋白需增加≧1g/dL；若前一線治療中M component最低值＜5g/dL，血清M蛋白需增加≧0.5g/dL。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ii.Urine M-protein需增加≧0.2gm/24Hr，且需較前一線治療中的最低值增加≧25%。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myeloma病患，骨髓漿細胞(plasmacells)之比例絕對值增加≧10%，且需較前一線治療中的最低值增加≧25%。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iii.高血鈣(corrected serumcalcium＞11.0mg/dL或2.75mmol/L)。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rsidR="000C7C60" w:rsidRDefault="000C7C60" w:rsidP="000C7C60">
      <w:pPr>
        <w:spacing w:line="400" w:lineRule="exact"/>
        <w:ind w:left="280" w:hanging="280"/>
        <w:rPr>
          <w:rFonts w:ascii="標楷體" w:eastAsia="標楷體" w:hAnsi="標楷體"/>
          <w:szCs w:val="24"/>
        </w:rPr>
      </w:pPr>
      <w:bookmarkStart w:id="49"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(如Elrexfio)：(114/5/1</w:t>
      </w:r>
      <w:r w:rsidRPr="000C7C60">
        <w:rPr>
          <w:rFonts w:ascii="標楷體" w:eastAsia="標楷體" w:hAnsi="標楷體" w:hint="eastAsia"/>
          <w:szCs w:val="24"/>
        </w:rPr>
        <w:t>、114/8/1</w:t>
      </w:r>
      <w:r w:rsidRPr="000C7C60">
        <w:rPr>
          <w:rFonts w:ascii="標楷體" w:eastAsia="標楷體" w:hAnsi="標楷體"/>
          <w:szCs w:val="24"/>
        </w:rPr>
        <w:t>)</w:t>
      </w:r>
    </w:p>
    <w:p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(但若為plamacytoma 體積增加，或是新產生的bone lesion(s)或新plasmacytoma，則僅需1次評估)：</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i.若前一線治療中M component 最低值≧5 g/dL，血清M蛋白需增加≧1 g/dL；若前一線治療中M component 最低值＜5 g/dL，血清M蛋白需增加≧0.5g/dL。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ii.Urine M-protein需增加≧0.2 gm/24Hr，且需較前一線治療中的最低值增加≧25%。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lastRenderedPageBreak/>
        <w:t>iii.在non-secretary myeloma病人，骨髓漿細胞 (plasma cells)之比例絕對值增加≧10%，且需較前一線治療中的最低值增加≧25%。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v.Plasmacytoma體積增加≧50%。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vi.周邊血液中漿細胞比例≧20%或漿細胞絕對值≧2000 cells/μL。</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ii.Plasmacytoma 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rsidR="00B96EA0" w:rsidRDefault="000C7C60" w:rsidP="00617D60">
      <w:pPr>
        <w:spacing w:line="400" w:lineRule="exact"/>
        <w:ind w:left="567" w:hanging="283"/>
      </w:pPr>
      <w:r w:rsidRPr="000C7C60">
        <w:rPr>
          <w:rFonts w:ascii="標楷體" w:eastAsia="標楷體" w:hAnsi="標楷體"/>
          <w:szCs w:val="24"/>
        </w:rPr>
        <w:t>5.Elranatamab與teclistamab僅能擇一給付，除因耐受性不良，不得互換。二者使用總療程合併計算，以全部39次輸注為上限。</w:t>
      </w:r>
    </w:p>
    <w:bookmarkEnd w:id="49"/>
    <w:p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9.119. Teclistamab (如Tecvayli) ：(114/5/1</w:t>
      </w:r>
      <w:r w:rsidRPr="00EA4516">
        <w:rPr>
          <w:rFonts w:ascii="標楷體" w:eastAsia="標楷體" w:hAnsi="標楷體" w:hint="eastAsia"/>
          <w:szCs w:val="24"/>
        </w:rPr>
        <w:t>、114/8/1</w:t>
      </w:r>
      <w:r w:rsidRPr="00EA4516">
        <w:rPr>
          <w:rFonts w:ascii="標楷體" w:eastAsia="標楷體" w:hAnsi="標楷體"/>
          <w:szCs w:val="24"/>
        </w:rPr>
        <w:t>)</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(但若為plamacytoma 體積增加，或是新產生的bone lesion(s)或新plasmacytoma，則僅需1次評估)：</w:t>
      </w:r>
    </w:p>
    <w:p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lastRenderedPageBreak/>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cells/μL。</w:t>
      </w:r>
    </w:p>
    <w:p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rsidR="00B96EA0" w:rsidRPr="00EA4516" w:rsidRDefault="00EA4516" w:rsidP="00EA4516">
      <w:pPr>
        <w:tabs>
          <w:tab w:val="left" w:pos="1418"/>
        </w:tabs>
        <w:spacing w:line="400" w:lineRule="exact"/>
        <w:ind w:left="1274" w:firstLine="2"/>
        <w:jc w:val="both"/>
        <w:rPr>
          <w:rFonts w:ascii="標楷體" w:eastAsia="標楷體" w:hAnsi="標楷體"/>
          <w:color w:val="000000"/>
        </w:rPr>
      </w:pPr>
      <w:r w:rsidRPr="00EA4516">
        <w:rPr>
          <w:rFonts w:ascii="標楷體" w:eastAsia="標楷體" w:hAnsi="標楷體"/>
          <w:szCs w:val="24"/>
        </w:rPr>
        <w:t>Teclistamab與elranatamab僅能擇一給付，除因耐受性不良，不得互換。二者使用總療程合併計算，以全部39次輸注為上限。</w:t>
      </w:r>
    </w:p>
    <w:p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9.120.Glofitamab（如Columvi）：（114/8/1)</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lastRenderedPageBreak/>
        <w:t>(4)</w:t>
      </w:r>
      <w:r w:rsidRPr="00DA176D">
        <w:rPr>
          <w:rFonts w:ascii="標楷體" w:eastAsia="標楷體" w:hAnsi="標楷體" w:hint="eastAsia"/>
          <w:color w:val="000000"/>
        </w:rPr>
        <w:tab/>
        <w:t>ECOG為0或1。</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限以obinutuzumab 1,000mg作為療程之前置治療，僅用以降低療程中誘導細胞激素釋放症候群(CRS)的風險。</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本藥品、polatuzumab vedotin及 epcoritamab僅得擇一給付，治療失敗後不得互換。</w:t>
      </w:r>
    </w:p>
    <w:p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r w:rsidRPr="004C2511">
        <w:rPr>
          <w:rFonts w:ascii="標楷體" w:eastAsia="標楷體" w:hAnsi="標楷體"/>
          <w:kern w:val="0"/>
          <w:szCs w:val="24"/>
        </w:rPr>
        <w:t>Epkinly)</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lastRenderedPageBreak/>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血液病或造血幹細胞移植專科醫師且須完成血液病或造血幹細胞移植的相關照護訓練。</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本藥品、glofitamab、polatuzumab vedotin，三者僅得擇一給付，治療失敗後不得互換。</w:t>
      </w:r>
    </w:p>
    <w:p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(如Scemblix)：(</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9.123.Ripretinib(如Qinlock）：(114/9/1)</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rsidR="0020695F" w:rsidRPr="00133CA0" w:rsidRDefault="0020695F" w:rsidP="0020695F">
      <w:pPr>
        <w:spacing w:line="400" w:lineRule="exact"/>
        <w:jc w:val="both"/>
        <w:rPr>
          <w:rFonts w:ascii="標楷體" w:eastAsia="標楷體" w:hAnsi="標楷體"/>
          <w:szCs w:val="24"/>
        </w:rPr>
      </w:pPr>
      <w:bookmarkStart w:id="50" w:name="_Hlk209193042"/>
      <w:r w:rsidRPr="00133CA0">
        <w:rPr>
          <w:rFonts w:ascii="標楷體" w:eastAsia="標楷體" w:hAnsi="標楷體"/>
          <w:szCs w:val="24"/>
        </w:rPr>
        <w:t>9.</w:t>
      </w:r>
      <w:r w:rsidRPr="00133CA0">
        <w:rPr>
          <w:rFonts w:ascii="標楷體" w:eastAsia="標楷體" w:hAnsi="標楷體" w:hint="eastAsia"/>
          <w:szCs w:val="24"/>
        </w:rPr>
        <w:t>124</w:t>
      </w:r>
      <w:r w:rsidRPr="00133CA0">
        <w:rPr>
          <w:rFonts w:ascii="標楷體" w:eastAsia="標楷體" w:hAnsi="標楷體"/>
          <w:szCs w:val="24"/>
        </w:rPr>
        <w:t>.</w:t>
      </w:r>
      <w:r w:rsidRPr="00133CA0">
        <w:rPr>
          <w:rFonts w:ascii="標楷體" w:eastAsia="標楷體" w:hAnsi="標楷體" w:hint="eastAsia"/>
          <w:szCs w:val="24"/>
        </w:rPr>
        <w:t>T</w:t>
      </w:r>
      <w:r w:rsidRPr="00133CA0">
        <w:rPr>
          <w:rFonts w:ascii="標楷體" w:eastAsia="標楷體" w:hAnsi="標楷體"/>
          <w:szCs w:val="24"/>
        </w:rPr>
        <w:t>afasitamab（如Minjuvi</w:t>
      </w:r>
      <w:r w:rsidRPr="00133CA0">
        <w:rPr>
          <w:rFonts w:ascii="標楷體" w:eastAsia="標楷體" w:hAnsi="標楷體" w:hint="eastAsia"/>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r w:rsidRPr="00133CA0">
        <w:rPr>
          <w:rFonts w:ascii="標楷體" w:eastAsia="標楷體" w:hAnsi="標楷體" w:hint="eastAsia"/>
          <w:szCs w:val="24"/>
        </w:rPr>
        <w:t>）</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1.限與</w:t>
      </w:r>
      <w:r w:rsidRPr="00133CA0">
        <w:rPr>
          <w:rFonts w:ascii="標楷體" w:eastAsia="標楷體" w:hAnsi="標楷體"/>
          <w:szCs w:val="24"/>
        </w:rPr>
        <w:t>lenalidomide</w:t>
      </w:r>
      <w:r w:rsidRPr="00133CA0">
        <w:rPr>
          <w:rFonts w:ascii="標楷體" w:eastAsia="標楷體" w:hAnsi="標楷體" w:hint="eastAsia"/>
          <w:szCs w:val="24"/>
        </w:rPr>
        <w:t>併用，適</w:t>
      </w:r>
      <w:bookmarkStart w:id="51" w:name="_Hlk202951206"/>
      <w:r w:rsidRPr="00133CA0">
        <w:rPr>
          <w:rFonts w:ascii="標楷體" w:eastAsia="標楷體" w:hAnsi="標楷體" w:hint="eastAsia"/>
          <w:szCs w:val="24"/>
        </w:rPr>
        <w:t>用於經一線全身治療含</w:t>
      </w:r>
      <w:r w:rsidRPr="00133CA0">
        <w:rPr>
          <w:rFonts w:ascii="標楷體" w:eastAsia="標楷體" w:hAnsi="標楷體"/>
          <w:szCs w:val="24"/>
        </w:rPr>
        <w:t>rituximab</w:t>
      </w:r>
      <w:r w:rsidRPr="00133CA0">
        <w:rPr>
          <w:rFonts w:ascii="標楷體" w:eastAsia="標楷體" w:hAnsi="標楷體" w:hint="eastAsia"/>
          <w:szCs w:val="24"/>
        </w:rPr>
        <w:t>治療復發型，不適合接受造血幹細胞移植瀰漫性大型</w:t>
      </w:r>
      <w:r w:rsidRPr="00133CA0">
        <w:rPr>
          <w:rFonts w:ascii="標楷體" w:eastAsia="標楷體" w:hAnsi="標楷體"/>
          <w:szCs w:val="24"/>
        </w:rPr>
        <w:t>B</w:t>
      </w:r>
      <w:r w:rsidRPr="00133CA0">
        <w:rPr>
          <w:rFonts w:ascii="標楷體" w:eastAsia="標楷體" w:hAnsi="標楷體" w:hint="eastAsia"/>
          <w:szCs w:val="24"/>
        </w:rPr>
        <w:t>細胞淋巴瘤</w:t>
      </w:r>
      <w:r w:rsidRPr="00133CA0">
        <w:rPr>
          <w:rFonts w:ascii="標楷體" w:eastAsia="標楷體" w:hAnsi="標楷體"/>
          <w:szCs w:val="24"/>
        </w:rPr>
        <w:t>(DLBCL)</w:t>
      </w:r>
      <w:r w:rsidRPr="00133CA0">
        <w:rPr>
          <w:rFonts w:ascii="標楷體" w:eastAsia="標楷體" w:hAnsi="標楷體" w:hint="eastAsia"/>
          <w:szCs w:val="24"/>
        </w:rPr>
        <w:t>成人病人</w:t>
      </w:r>
      <w:bookmarkEnd w:id="51"/>
      <w:r w:rsidRPr="00133CA0">
        <w:rPr>
          <w:rFonts w:ascii="標楷體" w:eastAsia="標楷體" w:hAnsi="標楷體" w:hint="eastAsia"/>
          <w:szCs w:val="24"/>
        </w:rPr>
        <w:t>，且須完全符合以下條件：</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(1)具</w:t>
      </w:r>
      <w:r w:rsidRPr="00133CA0">
        <w:rPr>
          <w:rFonts w:ascii="標楷體" w:eastAsia="標楷體" w:hAnsi="標楷體"/>
          <w:szCs w:val="24"/>
        </w:rPr>
        <w:t>CD19</w:t>
      </w:r>
      <w:r w:rsidRPr="00133CA0">
        <w:rPr>
          <w:rFonts w:ascii="標楷體" w:eastAsia="標楷體" w:hAnsi="標楷體" w:hint="eastAsia"/>
          <w:szCs w:val="24"/>
        </w:rPr>
        <w:t>抗原陽性。</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(2)一線曾接受</w:t>
      </w:r>
      <w:r w:rsidRPr="00133CA0">
        <w:rPr>
          <w:rFonts w:ascii="標楷體" w:eastAsia="標楷體" w:hAnsi="標楷體"/>
          <w:szCs w:val="24"/>
        </w:rPr>
        <w:t>rituximab</w:t>
      </w:r>
      <w:r w:rsidRPr="00133CA0">
        <w:rPr>
          <w:rFonts w:ascii="標楷體" w:eastAsia="標楷體" w:hAnsi="標楷體" w:hint="eastAsia"/>
          <w:szCs w:val="24"/>
        </w:rPr>
        <w:t>合併化學治療</w:t>
      </w:r>
      <w:r w:rsidRPr="00133CA0">
        <w:rPr>
          <w:rFonts w:ascii="標楷體" w:eastAsia="標楷體" w:hAnsi="標楷體"/>
          <w:szCs w:val="24"/>
        </w:rPr>
        <w:t>(</w:t>
      </w:r>
      <w:r w:rsidRPr="00133CA0">
        <w:rPr>
          <w:rFonts w:ascii="標楷體" w:eastAsia="標楷體" w:hAnsi="標楷體" w:hint="eastAsia"/>
          <w:szCs w:val="24"/>
        </w:rPr>
        <w:t>包含</w:t>
      </w:r>
      <w:r w:rsidRPr="00133CA0">
        <w:rPr>
          <w:rFonts w:ascii="標楷體" w:eastAsia="標楷體" w:hAnsi="標楷體"/>
          <w:szCs w:val="24"/>
        </w:rPr>
        <w:t>CD20)</w:t>
      </w:r>
      <w:r w:rsidRPr="00133CA0">
        <w:rPr>
          <w:rFonts w:ascii="標楷體" w:eastAsia="標楷體" w:hAnsi="標楷體" w:hint="eastAsia"/>
          <w:szCs w:val="24"/>
        </w:rPr>
        <w:t>，及含有</w:t>
      </w:r>
      <w:r w:rsidRPr="00133CA0">
        <w:rPr>
          <w:rFonts w:ascii="標楷體" w:eastAsia="標楷體" w:hAnsi="標楷體"/>
          <w:szCs w:val="24"/>
        </w:rPr>
        <w:t>anthracycline</w:t>
      </w:r>
      <w:r w:rsidRPr="00133CA0">
        <w:rPr>
          <w:rFonts w:ascii="標楷體" w:eastAsia="標楷體" w:hAnsi="標楷體" w:hint="eastAsia"/>
          <w:szCs w:val="24"/>
        </w:rPr>
        <w:t>類藥物的治療，治療四個療程以上並於1</w:t>
      </w:r>
      <w:r w:rsidRPr="00133CA0">
        <w:rPr>
          <w:rFonts w:ascii="標楷體" w:eastAsia="標楷體" w:hAnsi="標楷體"/>
          <w:szCs w:val="24"/>
        </w:rPr>
        <w:t>2</w:t>
      </w:r>
      <w:r w:rsidRPr="00133CA0">
        <w:rPr>
          <w:rFonts w:ascii="標楷體" w:eastAsia="標楷體" w:hAnsi="標楷體" w:hint="eastAsia"/>
          <w:szCs w:val="24"/>
        </w:rPr>
        <w:t>個月內復發者。</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(3)</w:t>
      </w:r>
      <w:r w:rsidRPr="00133CA0">
        <w:rPr>
          <w:rFonts w:ascii="標楷體" w:eastAsia="標楷體" w:hAnsi="標楷體"/>
          <w:szCs w:val="24"/>
        </w:rPr>
        <w:t>ECOG</w:t>
      </w:r>
      <w:r w:rsidRPr="00133CA0">
        <w:rPr>
          <w:rFonts w:ascii="標楷體" w:eastAsia="標楷體" w:hAnsi="標楷體" w:hint="eastAsia"/>
          <w:szCs w:val="24"/>
        </w:rPr>
        <w:t>為</w:t>
      </w:r>
      <w:r w:rsidRPr="00133CA0">
        <w:rPr>
          <w:rFonts w:ascii="標楷體" w:eastAsia="標楷體" w:hAnsi="標楷體"/>
          <w:szCs w:val="24"/>
        </w:rPr>
        <w:t>0</w:t>
      </w:r>
      <w:r w:rsidRPr="00133CA0">
        <w:rPr>
          <w:rFonts w:ascii="標楷體" w:eastAsia="標楷體" w:hAnsi="標楷體" w:hint="eastAsia"/>
          <w:szCs w:val="24"/>
        </w:rPr>
        <w:t>或</w:t>
      </w:r>
      <w:r w:rsidRPr="00133CA0">
        <w:rPr>
          <w:rFonts w:ascii="標楷體" w:eastAsia="標楷體" w:hAnsi="標楷體"/>
          <w:szCs w:val="24"/>
        </w:rPr>
        <w:t>1</w:t>
      </w:r>
      <w:r w:rsidRPr="00133CA0">
        <w:rPr>
          <w:rFonts w:ascii="標楷體" w:eastAsia="標楷體" w:hAnsi="標楷體" w:hint="eastAsia"/>
          <w:szCs w:val="24"/>
        </w:rPr>
        <w:t>。</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(4)病人不得有以下任一疾病</w:t>
      </w:r>
      <w:r w:rsidRPr="00133CA0">
        <w:rPr>
          <w:rFonts w:ascii="標楷體" w:eastAsia="標楷體" w:hAnsi="標楷體"/>
          <w:szCs w:val="24"/>
        </w:rPr>
        <w:t>:</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Ⅰ.中樞神經系統淋巴瘤或中樞神經疾病。</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Ⅱ.嚴重的心血管疾病，如</w:t>
      </w:r>
      <w:r w:rsidRPr="00133CA0">
        <w:rPr>
          <w:rFonts w:ascii="標楷體" w:eastAsia="標楷體" w:hAnsi="標楷體"/>
          <w:szCs w:val="24"/>
        </w:rPr>
        <w:t xml:space="preserve">NYHA (New York Heart Association) Class </w:t>
      </w:r>
      <w:r w:rsidRPr="00133CA0">
        <w:rPr>
          <w:rFonts w:ascii="標楷體" w:eastAsia="標楷體" w:hAnsi="標楷體" w:hint="eastAsia"/>
          <w:szCs w:val="24"/>
        </w:rPr>
        <w:t>Ⅲ或Ⅳ。</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Ⅲ.自體免疫疾病正積極治療者。</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2.須經事前審查核准以使用，每次申請事前審查以</w:t>
      </w:r>
      <w:r w:rsidRPr="00133CA0">
        <w:rPr>
          <w:rFonts w:ascii="標楷體" w:eastAsia="標楷體" w:hAnsi="標楷體"/>
          <w:szCs w:val="24"/>
        </w:rPr>
        <w:t>3</w:t>
      </w:r>
      <w:r w:rsidRPr="00133CA0">
        <w:rPr>
          <w:rFonts w:ascii="標楷體" w:eastAsia="標楷體" w:hAnsi="標楷體" w:hint="eastAsia"/>
          <w:szCs w:val="24"/>
        </w:rPr>
        <w:t>個療程為限，首次再申請須檢附達到</w:t>
      </w:r>
      <w:r w:rsidRPr="00133CA0">
        <w:rPr>
          <w:rFonts w:ascii="標楷體" w:eastAsia="標楷體" w:hAnsi="標楷體"/>
          <w:szCs w:val="24"/>
        </w:rPr>
        <w:t>CR</w:t>
      </w:r>
      <w:r w:rsidRPr="00133CA0">
        <w:rPr>
          <w:rFonts w:ascii="標楷體" w:eastAsia="標楷體" w:hAnsi="標楷體" w:hint="eastAsia"/>
          <w:szCs w:val="24"/>
        </w:rPr>
        <w:t>或</w:t>
      </w:r>
      <w:r w:rsidRPr="00133CA0">
        <w:rPr>
          <w:rFonts w:ascii="標楷體" w:eastAsia="標楷體" w:hAnsi="標楷體"/>
          <w:szCs w:val="24"/>
        </w:rPr>
        <w:t>PR</w:t>
      </w:r>
      <w:r w:rsidRPr="00133CA0">
        <w:rPr>
          <w:rFonts w:ascii="標楷體" w:eastAsia="標楷體" w:hAnsi="標楷體" w:hint="eastAsia"/>
          <w:szCs w:val="24"/>
        </w:rPr>
        <w:t>的證明方可續用；其後續申請須證明疾病無惡化方可續用。若病情惡化即須停</w:t>
      </w:r>
      <w:r w:rsidRPr="00133CA0">
        <w:rPr>
          <w:rFonts w:ascii="標楷體" w:eastAsia="標楷體" w:hAnsi="標楷體" w:hint="eastAsia"/>
          <w:szCs w:val="24"/>
        </w:rPr>
        <w:lastRenderedPageBreak/>
        <w:t>用。</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3.總療程以</w:t>
      </w:r>
      <w:r w:rsidRPr="00133CA0">
        <w:rPr>
          <w:rFonts w:ascii="標楷體" w:eastAsia="標楷體" w:hAnsi="標楷體"/>
          <w:szCs w:val="24"/>
        </w:rPr>
        <w:t>12</w:t>
      </w:r>
      <w:r w:rsidRPr="00133CA0">
        <w:rPr>
          <w:rFonts w:ascii="標楷體" w:eastAsia="標楷體" w:hAnsi="標楷體" w:hint="eastAsia"/>
          <w:szCs w:val="24"/>
        </w:rPr>
        <w:t>個療程為上限；每位病人一生限用一次</w:t>
      </w:r>
      <w:r w:rsidRPr="00133CA0">
        <w:rPr>
          <w:rFonts w:ascii="標楷體" w:eastAsia="標楷體" w:hAnsi="標楷體"/>
          <w:szCs w:val="24"/>
        </w:rPr>
        <w:t xml:space="preserve"> (12</w:t>
      </w:r>
      <w:r w:rsidRPr="00133CA0">
        <w:rPr>
          <w:rFonts w:ascii="標楷體" w:eastAsia="標楷體" w:hAnsi="標楷體" w:hint="eastAsia"/>
          <w:szCs w:val="24"/>
        </w:rPr>
        <w:t>個療程</w:t>
      </w:r>
      <w:r w:rsidRPr="00133CA0">
        <w:rPr>
          <w:rFonts w:ascii="標楷體" w:eastAsia="標楷體" w:hAnsi="標楷體"/>
          <w:szCs w:val="24"/>
        </w:rPr>
        <w:t>)</w:t>
      </w:r>
      <w:r w:rsidRPr="00133CA0">
        <w:rPr>
          <w:rFonts w:ascii="標楷體" w:eastAsia="標楷體" w:hAnsi="標楷體" w:hint="eastAsia"/>
          <w:szCs w:val="24"/>
        </w:rPr>
        <w:t>，不得重複申請。</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4.執行醫師須為血液病或造血幹細胞移植專科醫師且須完成血液病或造血幹細胞移植的相關照護訓練。</w:t>
      </w:r>
    </w:p>
    <w:p w:rsidR="00D4365C" w:rsidRDefault="0020695F" w:rsidP="00B60500">
      <w:pPr>
        <w:spacing w:line="400" w:lineRule="exact"/>
        <w:ind w:leftChars="118" w:left="283"/>
        <w:jc w:val="both"/>
        <w:rPr>
          <w:rFonts w:ascii="標楷體" w:eastAsia="標楷體" w:hAnsi="標楷體"/>
          <w:szCs w:val="24"/>
        </w:rPr>
      </w:pPr>
      <w:r w:rsidRPr="00133CA0">
        <w:rPr>
          <w:rFonts w:ascii="標楷體" w:eastAsia="標楷體" w:hAnsi="標楷體" w:hint="eastAsia"/>
          <w:szCs w:val="24"/>
        </w:rPr>
        <w:t>5.病人接受本藥物治療後，不給付造血幹細胞移植。</w:t>
      </w:r>
    </w:p>
    <w:p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9.125.Quizartinib（如Vanflyta）：（114/10/1)</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和anthracycline)與鞏固性化療(cytarabine)時合併使用，及於維持治療時單獨使用。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前導治療與鞏固治療限與midostaurin僅得擇一使用，除因耐受性不良，不得互換。</w:t>
      </w:r>
    </w:p>
    <w:p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如Rybrevant)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(如Omjjara)：(114/10/1)</w:t>
      </w:r>
    </w:p>
    <w:p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r w:rsidRPr="00AB5B6D">
        <w:rPr>
          <w:rFonts w:ascii="標楷體" w:eastAsia="標楷體" w:hAnsi="標楷體"/>
          <w:szCs w:val="24"/>
        </w:rPr>
        <w:t>ruxolitinib</w:t>
      </w:r>
      <w:r w:rsidRPr="00AB5B6D">
        <w:rPr>
          <w:rFonts w:ascii="標楷體" w:eastAsia="標楷體" w:hAnsi="標楷體" w:hint="eastAsia"/>
          <w:szCs w:val="24"/>
        </w:rPr>
        <w:t>、</w:t>
      </w:r>
      <w:r w:rsidRPr="00AB5B6D">
        <w:rPr>
          <w:rFonts w:ascii="標楷體" w:eastAsia="標楷體" w:hAnsi="標楷體"/>
          <w:szCs w:val="24"/>
        </w:rPr>
        <w:t>fedratinib</w:t>
      </w:r>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w:t>
      </w:r>
      <w:r w:rsidRPr="00AB5B6D">
        <w:rPr>
          <w:rFonts w:ascii="標楷體" w:eastAsia="標楷體" w:hAnsi="標楷體" w:hint="eastAsia"/>
          <w:szCs w:val="24"/>
        </w:rPr>
        <w:lastRenderedPageBreak/>
        <w:t>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(1)需經事前審查核准後使用，每次申請之療程以6個月為限，送審時需檢送影像資料及症狀改善之病歷紀錄，每6個月評估一次。</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(2)用藥後第一次評估時，需達到症狀反應(symptom response)或脾臟體積無惡化兩者之一，且同時無AML tranformation，方得以繼續使用。分別定義如下：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2.本藥品與ruxolitinib、fedratinib用於中度風險或高風險之骨髓纖維化治療時，僅得擇一給付。Ruxolitinib、fedratinib治療後如疾病惡化不得換用本藥品。</w:t>
      </w:r>
      <w:bookmarkEnd w:id="50"/>
    </w:p>
    <w:p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(如K</w:t>
      </w:r>
      <w:r w:rsidRPr="00D32053">
        <w:rPr>
          <w:rFonts w:ascii="標楷體" w:eastAsia="標楷體" w:hAnsi="標楷體"/>
        </w:rPr>
        <w:t>epida</w:t>
      </w:r>
      <w:r w:rsidRPr="00D32053">
        <w:rPr>
          <w:rFonts w:ascii="標楷體" w:eastAsia="標楷體" w:hAnsi="標楷體" w:hint="eastAsia"/>
        </w:rPr>
        <w:t>)：(114/12/1)</w:t>
      </w:r>
    </w:p>
    <w:p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r w:rsidRPr="00D32053">
        <w:rPr>
          <w:rFonts w:ascii="標楷體" w:eastAsia="標楷體" w:hAnsi="標楷體"/>
        </w:rPr>
        <w:t>everolimus</w:t>
      </w:r>
      <w:r w:rsidRPr="00D32053">
        <w:rPr>
          <w:rFonts w:ascii="標楷體" w:eastAsia="標楷體" w:hAnsi="標楷體" w:hint="eastAsia"/>
        </w:rPr>
        <w:t>僅得擇一使用，除因耐受性不良，不得互換。</w:t>
      </w:r>
    </w:p>
    <w:p w:rsidR="00EC69A8" w:rsidRPr="001B3700" w:rsidRDefault="00EC69A8" w:rsidP="00EC69A8">
      <w:pPr>
        <w:spacing w:line="400" w:lineRule="exact"/>
        <w:ind w:left="709" w:hanging="451"/>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9.</w:t>
      </w:r>
      <w:r w:rsidRPr="00EC69A8">
        <w:rPr>
          <w:rFonts w:ascii="標楷體" w:eastAsia="標楷體" w:hAnsi="標楷體" w:hint="eastAsia"/>
        </w:rPr>
        <w:t>129</w:t>
      </w:r>
      <w:r w:rsidRPr="001B3700">
        <w:rPr>
          <w:rFonts w:ascii="標楷體" w:eastAsia="標楷體" w:hAnsi="標楷體" w:cs="標楷體" w:hint="eastAsia"/>
          <w:color w:val="000000"/>
          <w:kern w:val="0"/>
          <w:szCs w:val="24"/>
        </w:rPr>
        <w:t>.A</w:t>
      </w:r>
      <w:r w:rsidRPr="001B3700">
        <w:rPr>
          <w:rFonts w:ascii="標楷體" w:eastAsia="標楷體" w:hAnsi="標楷體" w:cs="標楷體"/>
          <w:color w:val="000000"/>
          <w:kern w:val="0"/>
          <w:szCs w:val="24"/>
        </w:rPr>
        <w:t xml:space="preserve">lpelisib </w:t>
      </w:r>
      <w:r w:rsidRPr="001B3700">
        <w:rPr>
          <w:rFonts w:ascii="標楷體" w:eastAsia="標楷體" w:hAnsi="標楷體" w:cs="標楷體" w:hint="eastAsia"/>
          <w:color w:val="000000"/>
          <w:kern w:val="0"/>
          <w:szCs w:val="24"/>
        </w:rPr>
        <w:t>(如Pi</w:t>
      </w:r>
      <w:r w:rsidRPr="001B3700">
        <w:rPr>
          <w:rFonts w:ascii="標楷體" w:eastAsia="標楷體" w:hAnsi="標楷體" w:cs="標楷體"/>
          <w:color w:val="000000"/>
          <w:kern w:val="0"/>
          <w:szCs w:val="24"/>
        </w:rPr>
        <w:t>qray</w:t>
      </w:r>
      <w:r w:rsidRPr="001B3700">
        <w:rPr>
          <w:rFonts w:ascii="標楷體" w:eastAsia="標楷體" w:hAnsi="標楷體" w:cs="標楷體" w:hint="eastAsia"/>
          <w:color w:val="000000"/>
          <w:kern w:val="0"/>
          <w:szCs w:val="24"/>
        </w:rPr>
        <w:t>）：(115/1/1)</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1.與</w:t>
      </w:r>
      <w:r w:rsidRPr="00EC69A8">
        <w:rPr>
          <w:rFonts w:ascii="標楷體" w:eastAsia="標楷體" w:hAnsi="標楷體" w:hint="eastAsia"/>
        </w:rPr>
        <w:t>fulvestrant</w:t>
      </w:r>
      <w:r w:rsidRPr="001B3700">
        <w:rPr>
          <w:rFonts w:ascii="標楷體" w:eastAsia="標楷體" w:hAnsi="標楷體" w:cs="標楷體" w:hint="eastAsia"/>
          <w:color w:val="000000"/>
          <w:kern w:val="0"/>
          <w:szCs w:val="24"/>
        </w:rPr>
        <w:t>併用於曾接受CDK4/6抑制劑治療但疾病惡化的停經後轉移性乳癌病人，且須完全符合下列條件：</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1B3700">
        <w:rPr>
          <w:rFonts w:ascii="標楷體" w:eastAsia="標楷體" w:hAnsi="標楷體" w:cs="標楷體" w:hint="eastAsia"/>
          <w:color w:val="000000"/>
          <w:kern w:val="0"/>
          <w:szCs w:val="24"/>
        </w:rPr>
        <w:t>(1)荷爾</w:t>
      </w:r>
      <w:r w:rsidRPr="00EC69A8">
        <w:rPr>
          <w:rFonts w:ascii="標楷體" w:eastAsia="標楷體" w:hAnsi="標楷體" w:hint="eastAsia"/>
          <w:szCs w:val="24"/>
        </w:rPr>
        <w:t>蒙受體為：ER或PR＞30%。</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EC69A8">
        <w:rPr>
          <w:rFonts w:ascii="標楷體" w:eastAsia="標楷體" w:hAnsi="標楷體" w:hint="eastAsia"/>
          <w:szCs w:val="24"/>
        </w:rPr>
        <w:t>(2)HER-2 檢測為陰性。</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EC69A8">
        <w:rPr>
          <w:rFonts w:ascii="標楷體" w:eastAsia="標楷體" w:hAnsi="標楷體" w:hint="eastAsia"/>
          <w:szCs w:val="24"/>
        </w:rPr>
        <w:lastRenderedPageBreak/>
        <w:t>(</w:t>
      </w:r>
      <w:r w:rsidRPr="00EC69A8">
        <w:rPr>
          <w:rFonts w:ascii="標楷體" w:eastAsia="標楷體" w:hAnsi="標楷體"/>
          <w:szCs w:val="24"/>
        </w:rPr>
        <w:t>3)</w:t>
      </w:r>
      <w:r w:rsidRPr="00EC69A8">
        <w:rPr>
          <w:rFonts w:ascii="標楷體" w:eastAsia="標楷體" w:hAnsi="標楷體" w:hint="eastAsia"/>
          <w:szCs w:val="24"/>
        </w:rPr>
        <w:t>具有</w:t>
      </w:r>
      <w:r w:rsidRPr="001B3700">
        <w:rPr>
          <w:rFonts w:ascii="標楷體" w:eastAsia="標楷體" w:hAnsi="標楷體" w:cs="標楷體" w:hint="eastAsia"/>
          <w:color w:val="000000"/>
          <w:kern w:val="0"/>
          <w:szCs w:val="24"/>
        </w:rPr>
        <w:t>PIK3CA基因突變。</w:t>
      </w:r>
    </w:p>
    <w:p w:rsidR="00EC69A8" w:rsidRPr="001B3700" w:rsidRDefault="00EC69A8" w:rsidP="00EC69A8">
      <w:pPr>
        <w:spacing w:line="400" w:lineRule="exact"/>
        <w:ind w:leftChars="236" w:left="849" w:hangingChars="118" w:hanging="283"/>
        <w:rPr>
          <w:rFonts w:ascii="標楷體" w:eastAsia="標楷體" w:hAnsi="標楷體"/>
          <w:szCs w:val="24"/>
        </w:rPr>
      </w:pPr>
      <w:r w:rsidRPr="001B3700">
        <w:rPr>
          <w:rFonts w:ascii="標楷體" w:eastAsia="標楷體" w:hAnsi="標楷體" w:hint="eastAsia"/>
          <w:szCs w:val="24"/>
        </w:rPr>
        <w:t>2.需經事前審查核准後使用：</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(1)初次申請需檢附</w:t>
      </w:r>
      <w:r w:rsidRPr="001B3700">
        <w:rPr>
          <w:rFonts w:ascii="標楷體" w:eastAsia="標楷體" w:hAnsi="標楷體" w:cs="標楷體" w:hint="eastAsia"/>
          <w:color w:val="000000"/>
          <w:kern w:val="0"/>
          <w:szCs w:val="24"/>
        </w:rPr>
        <w:t>PIK3CA基因突變檢測報告，且需符合全民健康保險藥品給付規定之通則十二。</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(2)</w:t>
      </w:r>
      <w:r w:rsidRPr="001B3700">
        <w:rPr>
          <w:rFonts w:ascii="標楷體" w:eastAsia="標楷體" w:hAnsi="標楷體" w:cs="標楷體" w:hint="eastAsia"/>
          <w:color w:val="000000"/>
          <w:kern w:val="0"/>
          <w:szCs w:val="24"/>
        </w:rPr>
        <w:t>核准後每12週需檢附療效</w:t>
      </w:r>
      <w:r w:rsidRPr="00EC69A8">
        <w:rPr>
          <w:rFonts w:ascii="標楷體" w:eastAsia="標楷體" w:hAnsi="標楷體" w:hint="eastAsia"/>
          <w:szCs w:val="24"/>
        </w:rPr>
        <w:t>評估</w:t>
      </w:r>
      <w:r w:rsidRPr="001B3700">
        <w:rPr>
          <w:rFonts w:ascii="標楷體" w:eastAsia="標楷體" w:hAnsi="標楷體" w:cs="標楷體" w:hint="eastAsia"/>
          <w:color w:val="000000"/>
          <w:kern w:val="0"/>
          <w:szCs w:val="24"/>
        </w:rPr>
        <w:t>資料再次申請，若疾病惡化及必須停止使用。</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hint="eastAsia"/>
          <w:szCs w:val="24"/>
        </w:rPr>
        <w:t>3.每日最多處方2粒。</w:t>
      </w:r>
    </w:p>
    <w:p w:rsidR="003B14A6" w:rsidRPr="00567D1F" w:rsidRDefault="003B14A6" w:rsidP="003B14A6">
      <w:pPr>
        <w:spacing w:line="400" w:lineRule="exact"/>
        <w:ind w:left="709" w:hanging="451"/>
        <w:rPr>
          <w:rFonts w:ascii="標楷體" w:eastAsia="標楷體" w:hAnsi="標楷體"/>
          <w:color w:val="000000"/>
        </w:rPr>
      </w:pPr>
      <w:r w:rsidRPr="00567D1F">
        <w:rPr>
          <w:rFonts w:ascii="標楷體" w:eastAsia="標楷體" w:hAnsi="標楷體"/>
          <w:color w:val="000000"/>
        </w:rPr>
        <w:t>9.130.</w:t>
      </w:r>
      <w:r w:rsidRPr="003B14A6">
        <w:rPr>
          <w:rFonts w:ascii="標楷體" w:eastAsia="標楷體" w:hAnsi="標楷體"/>
        </w:rPr>
        <w:t>Fulvestrant</w:t>
      </w:r>
      <w:r w:rsidRPr="00567D1F">
        <w:rPr>
          <w:rFonts w:ascii="標楷體" w:eastAsia="標楷體" w:hAnsi="標楷體"/>
          <w:color w:val="000000"/>
        </w:rPr>
        <w:t>(如 Fustron)：(115/1/1)</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567D1F">
        <w:rPr>
          <w:rFonts w:ascii="標楷體" w:eastAsia="標楷體" w:hAnsi="標楷體"/>
          <w:color w:val="000000"/>
        </w:rPr>
        <w:t>1.單獨使用</w:t>
      </w:r>
      <w:r w:rsidRPr="003B14A6">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3B14A6">
        <w:rPr>
          <w:rFonts w:ascii="標楷體" w:eastAsia="標楷體" w:hAnsi="標楷體" w:cs="標楷體"/>
          <w:color w:val="000000"/>
          <w:kern w:val="0"/>
          <w:szCs w:val="24"/>
        </w:rPr>
        <w:t>2.與alpelisib併用於曾接受CDK4/6抑制劑治療但疾病惡化的停經後轉移性乳癌病人，且須符合alpelisib之藥品給付規定。</w:t>
      </w:r>
    </w:p>
    <w:p w:rsidR="003B14A6" w:rsidRPr="00567D1F" w:rsidRDefault="003B14A6" w:rsidP="003B14A6">
      <w:pPr>
        <w:spacing w:line="400" w:lineRule="exact"/>
        <w:ind w:leftChars="236" w:left="849" w:hangingChars="118" w:hanging="283"/>
        <w:rPr>
          <w:rFonts w:ascii="標楷體" w:eastAsia="標楷體" w:hAnsi="標楷體"/>
          <w:color w:val="000000"/>
        </w:rPr>
      </w:pPr>
      <w:r w:rsidRPr="003B14A6">
        <w:rPr>
          <w:rFonts w:ascii="標楷體" w:eastAsia="標楷體" w:hAnsi="標楷體" w:cs="標楷體"/>
          <w:color w:val="000000"/>
          <w:kern w:val="0"/>
          <w:szCs w:val="24"/>
        </w:rPr>
        <w:t>3.與CDK4/6抑制劑(限使用palbociclib)併用於曾接受過內分泌療法之局部晚期或轉移性乳癌病人</w:t>
      </w:r>
      <w:r w:rsidRPr="00567D1F">
        <w:rPr>
          <w:rFonts w:ascii="標楷體" w:eastAsia="標楷體" w:hAnsi="標楷體"/>
          <w:color w:val="000000"/>
        </w:rPr>
        <w:t>，且須符合CDK4/6抑制劑之藥品給付規定。</w:t>
      </w:r>
    </w:p>
    <w:p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9.131.Repotrectinib(如Augtyro)：(115/2/1)</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1.單獨給付於在crizotinib或entrectinib治療中惡化之ROS1陽性之局部晚期或轉移性非小細胞肺癌的成人病人。</w:t>
      </w:r>
    </w:p>
    <w:p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4週後，需追蹤胸部X光或電腦斷層等影像檢查評估療效，往後每4週做胸部X光檢查，每隔8週需追蹤其作為評估藥效的影像(如胸部X光或電腦斷層)，若病情惡化即不得再次申請。</w:t>
      </w:r>
    </w:p>
    <w:p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osutinib(如Bostini)：(</w:t>
      </w:r>
      <w:r>
        <w:rPr>
          <w:rFonts w:ascii="標楷體" w:eastAsia="標楷體" w:hAnsi="標楷體" w:hint="eastAsia"/>
          <w:color w:val="000000"/>
        </w:rPr>
        <w:t>115/2/1</w:t>
      </w:r>
      <w:r>
        <w:rPr>
          <w:rFonts w:ascii="標楷體" w:eastAsia="標楷體" w:hAnsi="標楷體"/>
          <w:color w:val="000000"/>
        </w:rPr>
        <w:t>)</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w:t>
      </w:r>
      <w:r w:rsidRPr="005958A1">
        <w:rPr>
          <w:rFonts w:ascii="標楷體" w:eastAsia="標楷體" w:hAnsi="標楷體" w:hint="eastAsia"/>
          <w:color w:val="000000"/>
        </w:rPr>
        <w:lastRenderedPageBreak/>
        <w:t>品給付規定之通則十二。</w:t>
      </w:r>
    </w:p>
    <w:p w:rsidR="00C61D18" w:rsidRPr="003B14A6" w:rsidRDefault="00C61D18" w:rsidP="00C61D18">
      <w:pPr>
        <w:snapToGrid w:val="0"/>
        <w:spacing w:line="400" w:lineRule="exact"/>
        <w:ind w:left="1134" w:hanging="283"/>
        <w:jc w:val="both"/>
      </w:pPr>
      <w:r w:rsidRPr="005958A1">
        <w:rPr>
          <w:rFonts w:ascii="標楷體" w:eastAsia="標楷體" w:hAnsi="標楷體" w:hint="eastAsia"/>
          <w:color w:val="000000"/>
        </w:rPr>
        <w:t>4.Bosutinib、nilotinib與dasatinib不得合併使用。</w:t>
      </w:r>
    </w:p>
    <w:sectPr w:rsidR="00C61D18" w:rsidRPr="003B14A6">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5C5D" w:rsidRDefault="00D65C5D">
      <w:r>
        <w:separator/>
      </w:r>
    </w:p>
  </w:endnote>
  <w:endnote w:type="continuationSeparator" w:id="0">
    <w:p w:rsidR="00D65C5D" w:rsidRDefault="00D65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altName w:val="Malgun Gothic Semilight"/>
    <w:panose1 w:val="020B0604020202020204"/>
    <w:charset w:val="88"/>
    <w:family w:val="swiss"/>
    <w:pitch w:val="variable"/>
  </w:font>
  <w:font w:name="Cambria">
    <w:panose1 w:val="02040503050406030204"/>
    <w:charset w:val="00"/>
    <w:family w:val="roman"/>
    <w:pitch w:val="variable"/>
    <w:sig w:usb0="E00006FF" w:usb1="420024FF" w:usb2="02000000" w:usb3="00000000" w:csb0="0000019F" w:csb1="00000000"/>
  </w:font>
  <w:font w:name="標楷體.鬁...">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5C5D" w:rsidRDefault="00D65C5D">
      <w:r>
        <w:rPr>
          <w:color w:val="000000"/>
        </w:rPr>
        <w:separator/>
      </w:r>
    </w:p>
  </w:footnote>
  <w:footnote w:type="continuationSeparator" w:id="0">
    <w:p w:rsidR="00D65C5D" w:rsidRDefault="00D65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3"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6"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7"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8"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1"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2"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13"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16"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8"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20"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23"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25"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6"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7"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6"/>
  </w:num>
  <w:num w:numId="2">
    <w:abstractNumId w:val="18"/>
  </w:num>
  <w:num w:numId="3">
    <w:abstractNumId w:val="13"/>
  </w:num>
  <w:num w:numId="4">
    <w:abstractNumId w:val="27"/>
  </w:num>
  <w:num w:numId="5">
    <w:abstractNumId w:val="7"/>
  </w:num>
  <w:num w:numId="6">
    <w:abstractNumId w:val="17"/>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0"/>
  </w:num>
  <w:num w:numId="13">
    <w:abstractNumId w:val="2"/>
  </w:num>
  <w:num w:numId="14">
    <w:abstractNumId w:val="21"/>
  </w:num>
  <w:num w:numId="15">
    <w:abstractNumId w:val="26"/>
  </w:num>
  <w:num w:numId="16">
    <w:abstractNumId w:val="4"/>
  </w:num>
  <w:num w:numId="17">
    <w:abstractNumId w:val="12"/>
  </w:num>
  <w:num w:numId="18">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abstractNumId w:val="11"/>
  </w:num>
  <w:num w:numId="22">
    <w:abstractNumId w:val="3"/>
  </w:num>
  <w:num w:numId="23">
    <w:abstractNumId w:val="23"/>
  </w:num>
  <w:num w:numId="24">
    <w:abstractNumId w:val="14"/>
  </w:num>
  <w:num w:numId="25">
    <w:abstractNumId w:val="20"/>
  </w:num>
  <w:num w:numId="26">
    <w:abstractNumId w:val="24"/>
  </w:num>
  <w:num w:numId="27">
    <w:abstractNumId w:val="22"/>
  </w:num>
  <w:num w:numId="28">
    <w:abstractNumId w:val="5"/>
  </w:num>
  <w:num w:numId="29">
    <w:abstractNumId w:val="10"/>
  </w:num>
  <w:num w:numId="30">
    <w:abstractNumId w:val="29"/>
  </w:num>
  <w:num w:numId="31">
    <w:abstractNumId w:val="9"/>
  </w:num>
  <w:num w:numId="32">
    <w:abstractNumId w:val="6"/>
  </w:num>
  <w:num w:numId="33">
    <w:abstractNumId w:val="19"/>
  </w:num>
  <w:num w:numId="34">
    <w:abstractNumId w:val="2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7073E"/>
    <w:rsid w:val="000838F4"/>
    <w:rsid w:val="00086754"/>
    <w:rsid w:val="000A3CBC"/>
    <w:rsid w:val="000B6373"/>
    <w:rsid w:val="000C7C60"/>
    <w:rsid w:val="00105765"/>
    <w:rsid w:val="0011658A"/>
    <w:rsid w:val="00126115"/>
    <w:rsid w:val="001314F6"/>
    <w:rsid w:val="0014655B"/>
    <w:rsid w:val="00167FEB"/>
    <w:rsid w:val="001A740D"/>
    <w:rsid w:val="001D5020"/>
    <w:rsid w:val="0020695F"/>
    <w:rsid w:val="002203D3"/>
    <w:rsid w:val="00222ABC"/>
    <w:rsid w:val="002402D8"/>
    <w:rsid w:val="002465F4"/>
    <w:rsid w:val="00270EF3"/>
    <w:rsid w:val="00275C39"/>
    <w:rsid w:val="00282D48"/>
    <w:rsid w:val="00290448"/>
    <w:rsid w:val="002A2E0D"/>
    <w:rsid w:val="002D6760"/>
    <w:rsid w:val="002D7958"/>
    <w:rsid w:val="002F2B55"/>
    <w:rsid w:val="002F7398"/>
    <w:rsid w:val="00301C39"/>
    <w:rsid w:val="00321E4B"/>
    <w:rsid w:val="003225F7"/>
    <w:rsid w:val="00336F3D"/>
    <w:rsid w:val="00347CE0"/>
    <w:rsid w:val="003B14A6"/>
    <w:rsid w:val="003D22FC"/>
    <w:rsid w:val="003F1643"/>
    <w:rsid w:val="003F2C2F"/>
    <w:rsid w:val="00417740"/>
    <w:rsid w:val="00420032"/>
    <w:rsid w:val="00427424"/>
    <w:rsid w:val="00471506"/>
    <w:rsid w:val="004C2511"/>
    <w:rsid w:val="004C3CC5"/>
    <w:rsid w:val="004F2A2C"/>
    <w:rsid w:val="0050401E"/>
    <w:rsid w:val="0051373F"/>
    <w:rsid w:val="005142EB"/>
    <w:rsid w:val="00517C45"/>
    <w:rsid w:val="005363DB"/>
    <w:rsid w:val="00557419"/>
    <w:rsid w:val="00616C7C"/>
    <w:rsid w:val="00617D60"/>
    <w:rsid w:val="00642BBE"/>
    <w:rsid w:val="0065421D"/>
    <w:rsid w:val="00660DD4"/>
    <w:rsid w:val="006B3E51"/>
    <w:rsid w:val="006D79D1"/>
    <w:rsid w:val="006D7F5B"/>
    <w:rsid w:val="006E2BB4"/>
    <w:rsid w:val="006E56D0"/>
    <w:rsid w:val="006F7671"/>
    <w:rsid w:val="00702020"/>
    <w:rsid w:val="007155BC"/>
    <w:rsid w:val="0074474A"/>
    <w:rsid w:val="007455F6"/>
    <w:rsid w:val="007D66B8"/>
    <w:rsid w:val="007F71E0"/>
    <w:rsid w:val="00800DDB"/>
    <w:rsid w:val="008859E6"/>
    <w:rsid w:val="00892228"/>
    <w:rsid w:val="008A162B"/>
    <w:rsid w:val="008B0582"/>
    <w:rsid w:val="008B4C4B"/>
    <w:rsid w:val="008B5474"/>
    <w:rsid w:val="008B6712"/>
    <w:rsid w:val="008E774D"/>
    <w:rsid w:val="008F6DA3"/>
    <w:rsid w:val="00926D01"/>
    <w:rsid w:val="00941523"/>
    <w:rsid w:val="00957AD9"/>
    <w:rsid w:val="00997F73"/>
    <w:rsid w:val="009C41ED"/>
    <w:rsid w:val="009D436C"/>
    <w:rsid w:val="00A15393"/>
    <w:rsid w:val="00A3054C"/>
    <w:rsid w:val="00A33F1B"/>
    <w:rsid w:val="00A61FF2"/>
    <w:rsid w:val="00B07C9A"/>
    <w:rsid w:val="00B252D1"/>
    <w:rsid w:val="00B355DB"/>
    <w:rsid w:val="00B57732"/>
    <w:rsid w:val="00B60500"/>
    <w:rsid w:val="00B74E3A"/>
    <w:rsid w:val="00B815D8"/>
    <w:rsid w:val="00B96EA0"/>
    <w:rsid w:val="00C26383"/>
    <w:rsid w:val="00C46EAE"/>
    <w:rsid w:val="00C51017"/>
    <w:rsid w:val="00C61D18"/>
    <w:rsid w:val="00CD4BD4"/>
    <w:rsid w:val="00CD573D"/>
    <w:rsid w:val="00CF183E"/>
    <w:rsid w:val="00D103A2"/>
    <w:rsid w:val="00D250AB"/>
    <w:rsid w:val="00D3675A"/>
    <w:rsid w:val="00D4365C"/>
    <w:rsid w:val="00D65C5D"/>
    <w:rsid w:val="00D91496"/>
    <w:rsid w:val="00D927FE"/>
    <w:rsid w:val="00DA176D"/>
    <w:rsid w:val="00DC6D1C"/>
    <w:rsid w:val="00DD0CAE"/>
    <w:rsid w:val="00DD360F"/>
    <w:rsid w:val="00DF1029"/>
    <w:rsid w:val="00E821CC"/>
    <w:rsid w:val="00E9187D"/>
    <w:rsid w:val="00EA15AB"/>
    <w:rsid w:val="00EA4516"/>
    <w:rsid w:val="00EA6AFB"/>
    <w:rsid w:val="00EB5347"/>
    <w:rsid w:val="00EC69A8"/>
    <w:rsid w:val="00F95F32"/>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0BA30"/>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
    <w:basedOn w:val="a"/>
    <w:uiPriority w:val="34"/>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96</Pages>
  <Words>17180</Words>
  <Characters>97931</Characters>
  <Application>Microsoft Office Word</Application>
  <DocSecurity>0</DocSecurity>
  <Lines>816</Lines>
  <Paragraphs>229</Paragraphs>
  <ScaleCrop>false</ScaleCrop>
  <Company/>
  <LinksUpToDate>false</LinksUpToDate>
  <CharactersWithSpaces>114882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鄧梅潔</cp:lastModifiedBy>
  <cp:revision>31</cp:revision>
  <cp:lastPrinted>2025-02-24T03:34:00Z</cp:lastPrinted>
  <dcterms:created xsi:type="dcterms:W3CDTF">2025-11-20T07:27:00Z</dcterms:created>
  <dcterms:modified xsi:type="dcterms:W3CDTF">2026-01-22T01:50:00Z</dcterms:modified>
</cp:coreProperties>
</file>