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562E0" w14:textId="77777777"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14:paraId="204F1E51" w14:textId="77777777" w:rsidR="00B96EA0" w:rsidRDefault="00B96EA0" w:rsidP="005142EB">
      <w:pPr>
        <w:spacing w:line="400" w:lineRule="exact"/>
        <w:jc w:val="center"/>
        <w:rPr>
          <w:rFonts w:ascii="標楷體" w:eastAsia="標楷體" w:hAnsi="標楷體"/>
          <w:b/>
          <w:bCs/>
          <w:color w:val="000000"/>
          <w:sz w:val="32"/>
          <w:szCs w:val="32"/>
        </w:rPr>
      </w:pPr>
    </w:p>
    <w:p w14:paraId="164AD555"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9.1.Aromatase Inhibitors</w:t>
      </w:r>
    </w:p>
    <w:p w14:paraId="4FE6D16E" w14:textId="77777777" w:rsidR="00B96EA0" w:rsidRDefault="007D66B8" w:rsidP="005142EB">
      <w:pPr>
        <w:spacing w:line="400" w:lineRule="exact"/>
        <w:ind w:left="992" w:hanging="706"/>
        <w:rPr>
          <w:rFonts w:ascii="標楷體" w:eastAsia="標楷體" w:hAnsi="標楷體"/>
          <w:color w:val="000000"/>
        </w:rPr>
      </w:pPr>
      <w:r>
        <w:rPr>
          <w:rFonts w:ascii="標楷體" w:eastAsia="標楷體" w:hAnsi="標楷體"/>
          <w:color w:val="000000"/>
        </w:rPr>
        <w:t>9.1.1.Exemestane(如</w:t>
      </w:r>
      <w:proofErr w:type="spellStart"/>
      <w:r>
        <w:rPr>
          <w:rFonts w:ascii="標楷體" w:eastAsia="標楷體" w:hAnsi="標楷體"/>
          <w:color w:val="000000"/>
        </w:rPr>
        <w:t>Aromasin</w:t>
      </w:r>
      <w:proofErr w:type="spellEnd"/>
      <w:r>
        <w:rPr>
          <w:rFonts w:ascii="標楷體" w:eastAsia="標楷體" w:hAnsi="標楷體"/>
          <w:color w:val="000000"/>
        </w:rPr>
        <w:t xml:space="preserve"> Sugar Coated Tablets)：（88/11/1、90/10/1、99/6/1、105/8/1)</w:t>
      </w:r>
    </w:p>
    <w:p w14:paraId="64FD419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14:paraId="62CA8636"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inhibitor併用。使用時需同時符合下列規定：(105/8/1)</w:t>
      </w:r>
    </w:p>
    <w:p w14:paraId="0E8BBA9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14:paraId="2181AE5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14:paraId="070ADD29"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14:paraId="46D32A4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14:paraId="2E0A1BC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14:paraId="54D91C7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3.停經後婦女罹患早期侵犯性乳癌，經外科手術切除後且雌激素接受器為陽性，且有血栓栓塞症或子宮內膜異常增生的高危險群，而無法使用tamoxifen治療者。(93/6/1)</w:t>
      </w:r>
    </w:p>
    <w:p w14:paraId="28256296" w14:textId="77777777"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備註：療程期間以不超過五年為原則。血栓栓塞症或子宮內膜異常增生的高危險群需符合下列情形之一：</w:t>
      </w:r>
    </w:p>
    <w:p w14:paraId="3D43E32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14:paraId="706EB7D1"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14:paraId="628ECCE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14:paraId="1B579D0D"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9.1.3.Letrozole：（88/11/1、90/10/1、92/3/1、97/11/1、98/11/1、99/9/1、102/8/1)</w:t>
      </w:r>
    </w:p>
    <w:p w14:paraId="0B30BB1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14:paraId="678714A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2.停經後且荷爾蒙接受體呈陽性，有淋巴結轉移之乳癌病人，作為tamoxifen治療五年後的延伸治療，且不得與其他aromatase inhibitor併用。使用時需同時符合下列規定：（97/11/1）</w:t>
      </w:r>
    </w:p>
    <w:p w14:paraId="442F878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14:paraId="6E6F4FD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14:paraId="3F56A00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3.停經後且荷爾蒙接受體呈陽性之早期乳癌病人，經外科手術切除後之輔助治療，且不得與tamoxifen或其他aromatase inhibitor併用。使用時需同時符合下列規定：(98/11/1、99/9/1、102/8/1)</w:t>
      </w:r>
    </w:p>
    <w:p w14:paraId="7945297E"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14:paraId="6D55AC8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(2)若由tamoxifen轉換使用本品，則使用期限合計不得超過5年。</w:t>
      </w:r>
    </w:p>
    <w:p w14:paraId="0AC8844C" w14:textId="77777777"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14:paraId="1A41F273" w14:textId="77777777" w:rsidR="000532A7" w:rsidRDefault="000532A7" w:rsidP="000532A7">
      <w:pPr>
        <w:spacing w:line="400" w:lineRule="exact"/>
        <w:ind w:left="142"/>
        <w:jc w:val="both"/>
        <w:rPr>
          <w:rFonts w:ascii="標楷體" w:eastAsia="標楷體" w:hAnsi="標楷體"/>
          <w:szCs w:val="24"/>
        </w:rPr>
      </w:pPr>
      <w:bookmarkStart w:id="0" w:name="_Hlk230360516"/>
      <w:r>
        <w:rPr>
          <w:rFonts w:ascii="標楷體" w:eastAsia="標楷體" w:hAnsi="標楷體"/>
          <w:szCs w:val="24"/>
        </w:rPr>
        <w:t>9.2.Carboplatin(如</w:t>
      </w:r>
      <w:proofErr w:type="spellStart"/>
      <w:r>
        <w:rPr>
          <w:rFonts w:ascii="標楷體" w:eastAsia="標楷體" w:hAnsi="標楷體"/>
          <w:szCs w:val="24"/>
        </w:rPr>
        <w:t>Paraplatin</w:t>
      </w:r>
      <w:proofErr w:type="spellEnd"/>
      <w:r>
        <w:rPr>
          <w:rFonts w:ascii="標楷體" w:eastAsia="標楷體" w:hAnsi="標楷體"/>
          <w:szCs w:val="24"/>
        </w:rPr>
        <w:t xml:space="preserve">；Carboplatin </w:t>
      </w:r>
      <w:proofErr w:type="spellStart"/>
      <w:r>
        <w:rPr>
          <w:rFonts w:ascii="標楷體" w:eastAsia="標楷體" w:hAnsi="標楷體"/>
          <w:szCs w:val="24"/>
        </w:rPr>
        <w:t>inj</w:t>
      </w:r>
      <w:proofErr w:type="spellEnd"/>
      <w:r>
        <w:rPr>
          <w:rFonts w:ascii="標楷體" w:eastAsia="標楷體" w:hAnsi="標楷體"/>
          <w:szCs w:val="24"/>
        </w:rPr>
        <w:t>)：(112/12/1、114/2/1、114/6/1、114/8/1、114</w:t>
      </w:r>
      <w:r w:rsidRPr="000532A7">
        <w:rPr>
          <w:rFonts w:ascii="標楷體" w:eastAsia="標楷體" w:hAnsi="標楷體"/>
          <w:szCs w:val="24"/>
        </w:rPr>
        <w:t>/10/1</w:t>
      </w:r>
      <w:r w:rsidRPr="000532A7">
        <w:rPr>
          <w:rFonts w:ascii="標楷體" w:eastAsia="標楷體" w:hAnsi="標楷體" w:hint="eastAsia"/>
          <w:szCs w:val="24"/>
        </w:rPr>
        <w:t>、</w:t>
      </w:r>
      <w:r w:rsidRPr="000532A7">
        <w:rPr>
          <w:rFonts w:ascii="標楷體" w:eastAsia="標楷體" w:hAnsi="標楷體" w:hint="eastAsia"/>
          <w:kern w:val="0"/>
          <w:szCs w:val="24"/>
        </w:rPr>
        <w:t>115/6/1</w:t>
      </w:r>
      <w:r w:rsidRPr="000532A7">
        <w:rPr>
          <w:rFonts w:ascii="標楷體" w:eastAsia="標楷體" w:hAnsi="標楷體"/>
          <w:szCs w:val="24"/>
        </w:rPr>
        <w:t>)</w:t>
      </w:r>
    </w:p>
    <w:p w14:paraId="6EFEDAAD" w14:textId="77777777" w:rsidR="000532A7" w:rsidRDefault="000532A7" w:rsidP="000532A7">
      <w:pPr>
        <w:spacing w:line="400" w:lineRule="exact"/>
        <w:ind w:left="33" w:hanging="1"/>
        <w:jc w:val="both"/>
      </w:pPr>
      <w:r>
        <w:rPr>
          <w:rFonts w:ascii="標楷體" w:eastAsia="標楷體" w:hAnsi="標楷體"/>
        </w:rPr>
        <w:t xml:space="preserve">   </w:t>
      </w:r>
      <w:r>
        <w:rPr>
          <w:rFonts w:ascii="標楷體" w:eastAsia="標楷體" w:hAnsi="標楷體"/>
          <w:szCs w:val="24"/>
        </w:rPr>
        <w:t>限</w:t>
      </w:r>
    </w:p>
    <w:p w14:paraId="421801D4" w14:textId="77777777" w:rsidR="000532A7" w:rsidRDefault="000532A7" w:rsidP="000532A7">
      <w:pPr>
        <w:pStyle w:val="a9"/>
        <w:spacing w:line="400" w:lineRule="exact"/>
        <w:ind w:left="283" w:firstLine="142"/>
        <w:jc w:val="both"/>
        <w:rPr>
          <w:rFonts w:ascii="標楷體" w:eastAsia="標楷體" w:hAnsi="標楷體"/>
        </w:rPr>
      </w:pPr>
      <w:r>
        <w:rPr>
          <w:rFonts w:ascii="標楷體" w:eastAsia="標楷體" w:hAnsi="標楷體"/>
        </w:rPr>
        <w:t>1.卵巢癌患者。</w:t>
      </w:r>
    </w:p>
    <w:p w14:paraId="2E0AF9E8" w14:textId="77777777" w:rsidR="000532A7" w:rsidRDefault="000532A7" w:rsidP="000532A7">
      <w:pPr>
        <w:pStyle w:val="a9"/>
        <w:spacing w:line="400" w:lineRule="exact"/>
        <w:ind w:left="283" w:firstLine="142"/>
        <w:jc w:val="both"/>
        <w:rPr>
          <w:rFonts w:ascii="標楷體" w:eastAsia="標楷體" w:hAnsi="標楷體"/>
        </w:rPr>
      </w:pPr>
      <w:r>
        <w:rPr>
          <w:rFonts w:ascii="標楷體" w:eastAsia="標楷體" w:hAnsi="標楷體"/>
        </w:rPr>
        <w:t>2.腎功能不佳(</w:t>
      </w:r>
      <w:proofErr w:type="spellStart"/>
      <w:r>
        <w:rPr>
          <w:rFonts w:ascii="標楷體" w:eastAsia="標楷體" w:hAnsi="標楷體"/>
        </w:rPr>
        <w:t>CCr</w:t>
      </w:r>
      <w:proofErr w:type="spellEnd"/>
      <w:r>
        <w:rPr>
          <w:rFonts w:ascii="標楷體" w:eastAsia="標楷體" w:hAnsi="標楷體"/>
        </w:rPr>
        <w:t>&lt;60)或曾作單側或以上腎切除之惡性腫瘤患者使用。</w:t>
      </w:r>
    </w:p>
    <w:p w14:paraId="76221597"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3.與pembrolizumab及paclitaxel併用於轉移性鱗狀非小細胞肺癌的第一線治療，患者需符合免疫檢查點抑制劑之藥品給付規定。(112/12/1)</w:t>
      </w:r>
    </w:p>
    <w:p w14:paraId="14A339AB"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4.與atezolizumab及etoposide併用，或與durvalumab及etoposide併用於擴散期(extensive stage)小細胞肺癌成人患者時，患者需符合免疫檢查點抑制劑之藥品給付規定。(112/12/1、114/2/1)</w:t>
      </w:r>
    </w:p>
    <w:p w14:paraId="54E819AE" w14:textId="77777777" w:rsidR="000532A7" w:rsidRDefault="000532A7" w:rsidP="000532A7">
      <w:pPr>
        <w:pStyle w:val="a9"/>
        <w:spacing w:line="400" w:lineRule="exact"/>
        <w:ind w:left="566" w:hanging="139"/>
        <w:jc w:val="both"/>
        <w:rPr>
          <w:rFonts w:ascii="標楷體" w:eastAsia="標楷體" w:hAnsi="標楷體"/>
        </w:rPr>
      </w:pPr>
      <w:r>
        <w:rPr>
          <w:rFonts w:ascii="標楷體" w:eastAsia="標楷體" w:hAnsi="標楷體"/>
        </w:rPr>
        <w:t>5.與pembrolizumab及pemetrexed(限使用</w:t>
      </w:r>
      <w:proofErr w:type="spellStart"/>
      <w:r>
        <w:rPr>
          <w:rFonts w:ascii="標楷體" w:eastAsia="標楷體" w:hAnsi="標楷體"/>
        </w:rPr>
        <w:t>Pexeda</w:t>
      </w:r>
      <w:proofErr w:type="spellEnd"/>
      <w:r>
        <w:rPr>
          <w:rFonts w:ascii="標楷體" w:eastAsia="標楷體" w:hAnsi="標楷體"/>
        </w:rPr>
        <w:t>、</w:t>
      </w:r>
      <w:proofErr w:type="spellStart"/>
      <w:r>
        <w:rPr>
          <w:rFonts w:ascii="標楷體" w:eastAsia="標楷體" w:hAnsi="標楷體"/>
        </w:rPr>
        <w:t>Apeta</w:t>
      </w:r>
      <w:proofErr w:type="spellEnd"/>
      <w:r>
        <w:rPr>
          <w:rFonts w:ascii="標楷體" w:eastAsia="標楷體" w:hAnsi="標楷體"/>
        </w:rPr>
        <w:t>或Pemetrexed Sandoz)併用，或與atezolizumab及bevacizumab(限使用</w:t>
      </w:r>
      <w:proofErr w:type="spellStart"/>
      <w:r>
        <w:rPr>
          <w:rFonts w:ascii="標楷體" w:eastAsia="標楷體" w:hAnsi="標楷體"/>
        </w:rPr>
        <w:t>Alymsys</w:t>
      </w:r>
      <w:proofErr w:type="spellEnd"/>
      <w:r>
        <w:rPr>
          <w:rFonts w:ascii="標楷體" w:eastAsia="標楷體" w:hAnsi="標楷體"/>
        </w:rPr>
        <w:t>、Avastin、</w:t>
      </w:r>
      <w:proofErr w:type="spellStart"/>
      <w:r>
        <w:rPr>
          <w:rFonts w:ascii="標楷體" w:eastAsia="標楷體" w:hAnsi="標楷體"/>
        </w:rPr>
        <w:t>Abevmy</w:t>
      </w:r>
      <w:proofErr w:type="spellEnd"/>
      <w:r>
        <w:rPr>
          <w:rFonts w:ascii="標楷體" w:eastAsia="標楷體" w:hAnsi="標楷體"/>
        </w:rPr>
        <w:t>、</w:t>
      </w:r>
      <w:proofErr w:type="spellStart"/>
      <w:r>
        <w:rPr>
          <w:rFonts w:ascii="標楷體" w:eastAsia="標楷體" w:hAnsi="標楷體"/>
        </w:rPr>
        <w:t>Vegzelma</w:t>
      </w:r>
      <w:proofErr w:type="spellEnd"/>
      <w:r>
        <w:rPr>
          <w:rFonts w:ascii="標楷體" w:eastAsia="標楷體" w:hAnsi="標楷體"/>
        </w:rPr>
        <w:t>或</w:t>
      </w:r>
      <w:proofErr w:type="spellStart"/>
      <w:r>
        <w:rPr>
          <w:rFonts w:ascii="標楷體" w:eastAsia="標楷體" w:hAnsi="標楷體"/>
        </w:rPr>
        <w:t>Mvasi</w:t>
      </w:r>
      <w:proofErr w:type="spellEnd"/>
      <w:r>
        <w:rPr>
          <w:rFonts w:ascii="標楷體" w:eastAsia="標楷體" w:hAnsi="標楷體"/>
        </w:rPr>
        <w:t>)、paclitaxel併用，做為轉移性且不具有EGFR/ALK/ROS-1腫瘤基因異常的非鱗狀非小細胞肺癌的第一線治療，患者需符合免疫檢查點抑制劑之藥品給付規定。(114/6/1、114/8/1)</w:t>
      </w:r>
    </w:p>
    <w:p w14:paraId="672E09C4"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6.與pembrolizumab及paclitaxel併用於早期三陰性乳癌(第II期至第</w:t>
      </w:r>
      <w:proofErr w:type="spellStart"/>
      <w:r>
        <w:rPr>
          <w:rFonts w:ascii="標楷體" w:eastAsia="標楷體" w:hAnsi="標楷體"/>
        </w:rPr>
        <w:t>IIIb</w:t>
      </w:r>
      <w:proofErr w:type="spellEnd"/>
      <w:r>
        <w:rPr>
          <w:rFonts w:ascii="標楷體" w:eastAsia="標楷體" w:hAnsi="標楷體"/>
        </w:rPr>
        <w:t>期，cT1c N1-2或T2-4 N0-2)病人的術前前導性治療用藥，病人需符合免疫檢查點抑制劑之藥品給付規定。(114/6/1)</w:t>
      </w:r>
    </w:p>
    <w:p w14:paraId="6C399112"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7.與</w:t>
      </w:r>
      <w:proofErr w:type="spellStart"/>
      <w:r>
        <w:rPr>
          <w:rFonts w:ascii="標楷體" w:eastAsia="標楷體" w:hAnsi="標楷體"/>
        </w:rPr>
        <w:t>amivantamab</w:t>
      </w:r>
      <w:proofErr w:type="spellEnd"/>
      <w:r>
        <w:rPr>
          <w:rFonts w:ascii="標楷體" w:eastAsia="標楷體" w:hAnsi="標楷體"/>
        </w:rPr>
        <w:t xml:space="preserve"> 及pemetrexed 併用於罹患帶有表皮生長因子受體(EGFR) exon 20 插入突變之局部晚期或轉移性非小細胞肺癌(NSCLC)的成人病人，作為第一線治療。(114/10/1)</w:t>
      </w:r>
    </w:p>
    <w:p w14:paraId="50DA7154" w14:textId="777F5CD1" w:rsidR="00B96EA0" w:rsidRPr="000532A7" w:rsidRDefault="000532A7" w:rsidP="000532A7">
      <w:pPr>
        <w:tabs>
          <w:tab w:val="left" w:pos="567"/>
        </w:tabs>
        <w:spacing w:line="400" w:lineRule="exact"/>
        <w:ind w:leftChars="178" w:left="708" w:hangingChars="117" w:hanging="281"/>
      </w:pPr>
      <w:r w:rsidRPr="000532A7">
        <w:rPr>
          <w:rFonts w:ascii="標楷體" w:eastAsia="標楷體" w:hAnsi="標楷體"/>
          <w:szCs w:val="24"/>
        </w:rPr>
        <w:t>8.與nivolumab</w:t>
      </w:r>
      <w:r w:rsidRPr="000532A7">
        <w:rPr>
          <w:rFonts w:ascii="標楷體" w:eastAsia="標楷體" w:hAnsi="標楷體" w:hint="eastAsia"/>
          <w:szCs w:val="24"/>
        </w:rPr>
        <w:t>併用於</w:t>
      </w:r>
      <w:r w:rsidRPr="000532A7">
        <w:rPr>
          <w:rFonts w:ascii="標楷體" w:eastAsia="標楷體" w:hAnsi="標楷體"/>
          <w:kern w:val="0"/>
          <w:szCs w:val="24"/>
        </w:rPr>
        <w:t>可切除（腫瘤≧4公分或淋巴結陽性</w:t>
      </w:r>
      <w:r w:rsidRPr="000532A7">
        <w:rPr>
          <w:rFonts w:ascii="標楷體" w:eastAsia="標楷體" w:hAnsi="標楷體" w:hint="eastAsia"/>
          <w:kern w:val="0"/>
          <w:szCs w:val="24"/>
        </w:rPr>
        <w:t>N1/N2(排除N3)，且無疾病轉移</w:t>
      </w:r>
      <w:r w:rsidRPr="000532A7">
        <w:rPr>
          <w:rFonts w:ascii="標楷體" w:eastAsia="標楷體" w:hAnsi="標楷體"/>
          <w:kern w:val="0"/>
          <w:szCs w:val="24"/>
        </w:rPr>
        <w:t>M0）</w:t>
      </w:r>
      <w:r w:rsidRPr="000532A7">
        <w:rPr>
          <w:rFonts w:ascii="標楷體" w:eastAsia="標楷體" w:hAnsi="標楷體" w:hint="eastAsia"/>
          <w:kern w:val="0"/>
          <w:szCs w:val="24"/>
        </w:rPr>
        <w:t>之</w:t>
      </w:r>
      <w:r w:rsidRPr="000532A7">
        <w:rPr>
          <w:rFonts w:ascii="標楷體" w:eastAsia="標楷體" w:hAnsi="標楷體"/>
          <w:kern w:val="0"/>
          <w:szCs w:val="24"/>
        </w:rPr>
        <w:t>不具EGFR</w:t>
      </w:r>
      <w:r w:rsidRPr="000532A7">
        <w:rPr>
          <w:rFonts w:ascii="標楷體" w:eastAsia="標楷體" w:hAnsi="標楷體" w:hint="eastAsia"/>
          <w:kern w:val="0"/>
          <w:szCs w:val="24"/>
        </w:rPr>
        <w:t>或</w:t>
      </w:r>
      <w:r w:rsidRPr="000532A7">
        <w:rPr>
          <w:rFonts w:ascii="標楷體" w:eastAsia="標楷體" w:hAnsi="標楷體"/>
          <w:kern w:val="0"/>
          <w:szCs w:val="24"/>
        </w:rPr>
        <w:t>ALK</w:t>
      </w:r>
      <w:r w:rsidRPr="000532A7">
        <w:rPr>
          <w:rFonts w:ascii="標楷體" w:eastAsia="標楷體" w:hAnsi="標楷體" w:hint="eastAsia"/>
          <w:szCs w:val="24"/>
        </w:rPr>
        <w:t>腫瘤基因異常之非小細胞肺癌術前輔助治療成人病人，至多3個療程，且病人需符合免疫檢查點抑制劑之藥品給付規定。</w:t>
      </w:r>
      <w:r w:rsidRPr="000532A7">
        <w:rPr>
          <w:rFonts w:ascii="標楷體" w:eastAsia="標楷體" w:hAnsi="標楷體"/>
          <w:szCs w:val="24"/>
        </w:rPr>
        <w:t>(</w:t>
      </w:r>
      <w:r w:rsidRPr="000532A7">
        <w:rPr>
          <w:rFonts w:ascii="標楷體" w:eastAsia="標楷體" w:hAnsi="標楷體" w:hint="eastAsia"/>
          <w:kern w:val="0"/>
          <w:szCs w:val="24"/>
        </w:rPr>
        <w:t>115/6/1</w:t>
      </w:r>
      <w:r w:rsidRPr="000532A7">
        <w:rPr>
          <w:rFonts w:ascii="標楷體" w:eastAsia="標楷體" w:hAnsi="標楷體"/>
          <w:szCs w:val="24"/>
        </w:rPr>
        <w:t>)</w:t>
      </w:r>
      <w:bookmarkEnd w:id="0"/>
    </w:p>
    <w:p w14:paraId="7B38E61B" w14:textId="77777777" w:rsidR="00EF2238" w:rsidRPr="00EF2238" w:rsidRDefault="00EF2238" w:rsidP="00EF2238">
      <w:pPr>
        <w:spacing w:line="400" w:lineRule="exact"/>
        <w:ind w:left="224" w:hanging="224"/>
        <w:rPr>
          <w:szCs w:val="24"/>
        </w:rPr>
      </w:pPr>
      <w:bookmarkStart w:id="1" w:name="_Hlk230359785"/>
      <w:r w:rsidRPr="00EF2238">
        <w:rPr>
          <w:rFonts w:ascii="標楷體" w:eastAsia="標楷體" w:hAnsi="標楷體"/>
          <w:szCs w:val="24"/>
        </w:rPr>
        <w:t>9.3.Docetaxel：（87/7/1、92/11/1、93/8/1、95/8/1、96/1/1、99/6/1、100/1/1、101/9/1、108/1/1、113/5/1、115/6/1）</w:t>
      </w:r>
    </w:p>
    <w:p w14:paraId="50E0A52D" w14:textId="77777777" w:rsidR="00EF2238" w:rsidRPr="009B4313" w:rsidRDefault="00EF2238" w:rsidP="00EF2238">
      <w:pPr>
        <w:spacing w:line="400" w:lineRule="exact"/>
        <w:ind w:left="567" w:hanging="280"/>
        <w:rPr>
          <w:szCs w:val="24"/>
        </w:rPr>
      </w:pPr>
      <w:r w:rsidRPr="009B4313">
        <w:rPr>
          <w:rFonts w:ascii="標楷體" w:eastAsia="標楷體" w:hAnsi="標楷體"/>
          <w:color w:val="000000"/>
          <w:szCs w:val="24"/>
        </w:rPr>
        <w:t>1.本類藥品(除</w:t>
      </w:r>
      <w:proofErr w:type="spellStart"/>
      <w:r w:rsidRPr="009B4313">
        <w:rPr>
          <w:rFonts w:ascii="標楷體" w:eastAsia="標楷體" w:hAnsi="標楷體"/>
          <w:color w:val="000000"/>
          <w:szCs w:val="24"/>
        </w:rPr>
        <w:t>Doce</w:t>
      </w:r>
      <w:proofErr w:type="spellEnd"/>
      <w:r w:rsidRPr="009B4313">
        <w:rPr>
          <w:rFonts w:ascii="標楷體" w:eastAsia="標楷體" w:hAnsi="標楷體"/>
          <w:color w:val="000000"/>
          <w:szCs w:val="24"/>
        </w:rPr>
        <w:t>及</w:t>
      </w:r>
      <w:proofErr w:type="spellStart"/>
      <w:r w:rsidRPr="009B4313">
        <w:rPr>
          <w:rFonts w:ascii="標楷體" w:eastAsia="標楷體" w:hAnsi="標楷體"/>
          <w:color w:val="000000"/>
          <w:szCs w:val="24"/>
        </w:rPr>
        <w:t>Phyxotere</w:t>
      </w:r>
      <w:proofErr w:type="spellEnd"/>
      <w:r w:rsidRPr="009B4313">
        <w:rPr>
          <w:rFonts w:ascii="標楷體" w:eastAsia="標楷體" w:hAnsi="標楷體"/>
          <w:color w:val="000000"/>
          <w:szCs w:val="24"/>
        </w:rPr>
        <w:t>之外)依藥品許可證登載之適應症範圍內給付於乳癌、非小細胞肺癌、前列腺癌、頭頸癌及胃腺癌之病例；倘併用其他標靶治療、免疫檢查點抑制劑等藥品時，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符合該併用藥品之藥品給付規定。</w:t>
      </w:r>
      <w:r w:rsidRPr="009B4313">
        <w:rPr>
          <w:rFonts w:ascii="標楷體" w:eastAsia="標楷體" w:hAnsi="標楷體"/>
          <w:color w:val="000000"/>
          <w:szCs w:val="24"/>
        </w:rPr>
        <w:t>(115/6/1）</w:t>
      </w:r>
    </w:p>
    <w:p w14:paraId="552D837E" w14:textId="77777777" w:rsidR="00EF2238" w:rsidRPr="009B4313" w:rsidRDefault="00EF2238" w:rsidP="00EF2238">
      <w:pPr>
        <w:spacing w:line="400" w:lineRule="exact"/>
        <w:ind w:left="709" w:hanging="425"/>
        <w:rPr>
          <w:rFonts w:ascii="標楷體" w:eastAsia="標楷體" w:hAnsi="標楷體"/>
          <w:color w:val="000000"/>
          <w:szCs w:val="24"/>
        </w:rPr>
      </w:pPr>
      <w:r w:rsidRPr="009B4313">
        <w:rPr>
          <w:rFonts w:ascii="標楷體" w:eastAsia="標楷體" w:hAnsi="標楷體"/>
          <w:color w:val="000000"/>
          <w:szCs w:val="24"/>
        </w:rPr>
        <w:lastRenderedPageBreak/>
        <w:t>2.Doce及</w:t>
      </w:r>
      <w:proofErr w:type="spellStart"/>
      <w:r w:rsidRPr="009B4313">
        <w:rPr>
          <w:rFonts w:ascii="標楷體" w:eastAsia="標楷體" w:hAnsi="標楷體"/>
          <w:color w:val="000000"/>
          <w:szCs w:val="24"/>
        </w:rPr>
        <w:t>Phyxotere</w:t>
      </w:r>
      <w:proofErr w:type="spellEnd"/>
      <w:r w:rsidRPr="009B4313">
        <w:rPr>
          <w:rFonts w:ascii="標楷體" w:eastAsia="標楷體" w:hAnsi="標楷體"/>
          <w:color w:val="000000"/>
          <w:szCs w:val="24"/>
        </w:rPr>
        <w:t>限給付於下列情形：(115/6/1）</w:t>
      </w:r>
    </w:p>
    <w:p w14:paraId="4E1A51F0" w14:textId="77777777" w:rsidR="00EF2238" w:rsidRPr="009B4313" w:rsidRDefault="00EF2238" w:rsidP="00EF2238">
      <w:pPr>
        <w:spacing w:line="400" w:lineRule="exact"/>
        <w:ind w:left="1134" w:hanging="560"/>
        <w:rPr>
          <w:szCs w:val="24"/>
        </w:rPr>
      </w:pPr>
      <w:r w:rsidRPr="009B4313">
        <w:rPr>
          <w:rFonts w:ascii="標楷體" w:eastAsia="標楷體" w:hAnsi="標楷體"/>
          <w:color w:val="000000"/>
          <w:szCs w:val="24"/>
        </w:rPr>
        <w:t>(1)乳癌：</w:t>
      </w:r>
    </w:p>
    <w:p w14:paraId="62C643DE" w14:textId="77777777" w:rsidR="00EF2238" w:rsidRPr="009B4313" w:rsidRDefault="00EF2238" w:rsidP="00EF2238">
      <w:pPr>
        <w:spacing w:line="400" w:lineRule="exact"/>
        <w:ind w:left="1276" w:hanging="425"/>
        <w:rPr>
          <w:szCs w:val="24"/>
        </w:rPr>
      </w:pPr>
      <w:r w:rsidRPr="009B4313">
        <w:rPr>
          <w:color w:val="000000"/>
          <w:szCs w:val="24"/>
        </w:rPr>
        <w:t>Ⅰ</w:t>
      </w:r>
      <w:r w:rsidRPr="009B4313">
        <w:rPr>
          <w:rFonts w:ascii="標楷體" w:eastAsia="標楷體" w:hAnsi="標楷體"/>
          <w:color w:val="000000"/>
          <w:szCs w:val="24"/>
        </w:rPr>
        <w:t>.局部晚期或轉移性乳癌。</w:t>
      </w:r>
    </w:p>
    <w:p w14:paraId="6B269A20"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Ⅱ.與anthracycline合併使用於腋下淋巴結轉移之早期乳癌之術後輔助性化學治療。(99/6/1)</w:t>
      </w:r>
    </w:p>
    <w:p w14:paraId="42F3AED8"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Ⅲ.早期乳癌手術後，經診斷為三陰性反應且無淋巴轉移的病人，得作為與cyclophosphamide併用doxorubicin的化學輔助療法。(101/9/1）</w:t>
      </w:r>
    </w:p>
    <w:p w14:paraId="198759A1" w14:textId="77777777" w:rsidR="00EF2238" w:rsidRPr="009B4313" w:rsidRDefault="00EF2238" w:rsidP="00EF2238">
      <w:pPr>
        <w:spacing w:line="400" w:lineRule="exact"/>
        <w:ind w:left="1134" w:hanging="560"/>
        <w:rPr>
          <w:rFonts w:ascii="標楷體" w:eastAsia="標楷體" w:hAnsi="標楷體"/>
          <w:color w:val="000000"/>
          <w:szCs w:val="24"/>
        </w:rPr>
      </w:pPr>
      <w:r w:rsidRPr="009B4313">
        <w:rPr>
          <w:rFonts w:ascii="標楷體" w:eastAsia="標楷體" w:hAnsi="標楷體"/>
          <w:color w:val="000000"/>
          <w:szCs w:val="24"/>
        </w:rPr>
        <w:t>(2)非小細胞肺癌：局部晚期或轉移性非小細胞肺癌。</w:t>
      </w:r>
    </w:p>
    <w:p w14:paraId="78864210" w14:textId="77777777" w:rsidR="00EF2238" w:rsidRPr="009B4313" w:rsidRDefault="00EF2238" w:rsidP="00EF2238">
      <w:pPr>
        <w:spacing w:line="400" w:lineRule="exact"/>
        <w:ind w:left="1134" w:hanging="560"/>
        <w:rPr>
          <w:szCs w:val="24"/>
        </w:rPr>
      </w:pPr>
      <w:r w:rsidRPr="009B4313">
        <w:rPr>
          <w:rFonts w:ascii="標楷體" w:eastAsia="標楷體" w:hAnsi="標楷體"/>
          <w:color w:val="000000"/>
          <w:szCs w:val="24"/>
        </w:rPr>
        <w:t>(3)前列腺癌：</w:t>
      </w:r>
    </w:p>
    <w:p w14:paraId="51A15214" w14:textId="77777777" w:rsidR="00EF2238" w:rsidRPr="009B4313" w:rsidRDefault="00EF2238" w:rsidP="00EF2238">
      <w:pPr>
        <w:spacing w:line="400" w:lineRule="exact"/>
        <w:ind w:left="1276" w:hanging="425"/>
        <w:rPr>
          <w:rFonts w:ascii="標楷體" w:eastAsia="標楷體" w:hAnsi="標楷體"/>
          <w:color w:val="000000"/>
          <w:szCs w:val="24"/>
        </w:rPr>
      </w:pPr>
      <w:r w:rsidRPr="009B4313">
        <w:rPr>
          <w:color w:val="000000"/>
          <w:szCs w:val="24"/>
        </w:rPr>
        <w:t>Ⅰ</w:t>
      </w:r>
      <w:r w:rsidRPr="009B4313">
        <w:rPr>
          <w:rFonts w:ascii="標楷體" w:eastAsia="標楷體" w:hAnsi="標楷體"/>
          <w:color w:val="000000"/>
          <w:szCs w:val="24"/>
        </w:rPr>
        <w:t>.於荷爾蒙治療失敗之轉移性前列腺癌。</w:t>
      </w:r>
    </w:p>
    <w:p w14:paraId="34D6A341"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Ⅱ.與</w:t>
      </w:r>
      <w:proofErr w:type="spellStart"/>
      <w:r w:rsidRPr="009B4313">
        <w:rPr>
          <w:rFonts w:ascii="標楷體" w:eastAsia="標楷體" w:hAnsi="標楷體"/>
          <w:color w:val="000000"/>
          <w:szCs w:val="24"/>
        </w:rPr>
        <w:t>darolutamide</w:t>
      </w:r>
      <w:proofErr w:type="spellEnd"/>
      <w:r w:rsidRPr="009B4313">
        <w:rPr>
          <w:rFonts w:ascii="標楷體" w:eastAsia="標楷體" w:hAnsi="標楷體"/>
          <w:color w:val="000000"/>
          <w:szCs w:val="24"/>
        </w:rPr>
        <w:t>併用於治療高風險轉移性的去勢敏感性前列腺癌(</w:t>
      </w:r>
      <w:proofErr w:type="spellStart"/>
      <w:r w:rsidRPr="009B4313">
        <w:rPr>
          <w:rFonts w:ascii="標楷體" w:eastAsia="標楷體" w:hAnsi="標楷體"/>
          <w:color w:val="000000"/>
          <w:szCs w:val="24"/>
        </w:rPr>
        <w:t>mCSPC</w:t>
      </w:r>
      <w:proofErr w:type="spellEnd"/>
      <w:r w:rsidRPr="009B4313">
        <w:rPr>
          <w:rFonts w:ascii="標楷體" w:eastAsia="標楷體" w:hAnsi="標楷體"/>
          <w:color w:val="000000"/>
          <w:szCs w:val="24"/>
        </w:rPr>
        <w:t>)，患者需符合</w:t>
      </w:r>
      <w:proofErr w:type="spellStart"/>
      <w:r w:rsidRPr="009B4313">
        <w:rPr>
          <w:rFonts w:ascii="標楷體" w:eastAsia="標楷體" w:hAnsi="標楷體"/>
          <w:color w:val="000000"/>
          <w:szCs w:val="24"/>
        </w:rPr>
        <w:t>darolutamide</w:t>
      </w:r>
      <w:proofErr w:type="spellEnd"/>
      <w:r w:rsidRPr="009B4313">
        <w:rPr>
          <w:rFonts w:ascii="標楷體" w:eastAsia="標楷體" w:hAnsi="標楷體"/>
          <w:color w:val="000000"/>
          <w:szCs w:val="24"/>
        </w:rPr>
        <w:t>之藥品給付規定。(113/5/1)</w:t>
      </w:r>
    </w:p>
    <w:p w14:paraId="2941D439" w14:textId="77777777" w:rsidR="00EF2238" w:rsidRPr="009B4313" w:rsidRDefault="00EF2238" w:rsidP="00EF2238">
      <w:pPr>
        <w:spacing w:line="400" w:lineRule="exact"/>
        <w:ind w:left="1134" w:hanging="560"/>
        <w:rPr>
          <w:rFonts w:ascii="標楷體" w:eastAsia="標楷體" w:hAnsi="標楷體"/>
          <w:color w:val="000000"/>
          <w:szCs w:val="24"/>
        </w:rPr>
      </w:pPr>
      <w:r w:rsidRPr="009B4313">
        <w:rPr>
          <w:rFonts w:ascii="標楷體" w:eastAsia="標楷體" w:hAnsi="標楷體"/>
          <w:color w:val="000000"/>
          <w:szCs w:val="24"/>
        </w:rPr>
        <w:t>(4)頭頸癌：限局部晚期且無遠端轉移之頭頸部鱗狀細胞癌且無法手術切除者，與cisplatin及5-fluorouracil併用，作為放射治療前的引導治療，限使用4個療程。(100/1/1)</w:t>
      </w:r>
    </w:p>
    <w:p w14:paraId="33A61629" w14:textId="5D775FDA" w:rsidR="00B96EA0" w:rsidRDefault="00EF2238" w:rsidP="00EF2238">
      <w:pPr>
        <w:spacing w:line="400" w:lineRule="exact"/>
        <w:ind w:left="811" w:hanging="245"/>
        <w:rPr>
          <w:rFonts w:ascii="標楷體" w:eastAsia="標楷體" w:hAnsi="標楷體"/>
          <w:color w:val="000000"/>
        </w:rPr>
      </w:pPr>
      <w:r w:rsidRPr="009B4313">
        <w:rPr>
          <w:rFonts w:ascii="標楷體" w:eastAsia="標楷體" w:hAnsi="標楷體"/>
          <w:color w:val="000000"/>
          <w:szCs w:val="24"/>
        </w:rPr>
        <w:t>(5)胃腺癌：晚期胃腺癌患者，包括胃食道接合處之腺癌。(108/1/1)</w:t>
      </w:r>
      <w:bookmarkEnd w:id="1"/>
    </w:p>
    <w:p w14:paraId="19032CE3" w14:textId="77777777" w:rsidR="00DA2170" w:rsidRPr="00DA2170" w:rsidRDefault="00DA2170" w:rsidP="00DA2170">
      <w:pPr>
        <w:spacing w:line="400" w:lineRule="exact"/>
        <w:ind w:left="224" w:hanging="224"/>
        <w:rPr>
          <w:szCs w:val="24"/>
        </w:rPr>
      </w:pPr>
      <w:bookmarkStart w:id="2" w:name="_Hlk230359908"/>
      <w:r w:rsidRPr="00DA2170">
        <w:rPr>
          <w:rFonts w:ascii="標楷體" w:eastAsia="標楷體" w:hAnsi="標楷體"/>
          <w:szCs w:val="24"/>
        </w:rPr>
        <w:t>9.4.Gemcitabine（如</w:t>
      </w:r>
      <w:proofErr w:type="spellStart"/>
      <w:r w:rsidRPr="00DA2170">
        <w:rPr>
          <w:rFonts w:ascii="標楷體" w:eastAsia="標楷體" w:hAnsi="標楷體"/>
          <w:szCs w:val="24"/>
        </w:rPr>
        <w:t>Gemzar</w:t>
      </w:r>
      <w:proofErr w:type="spellEnd"/>
      <w:r w:rsidRPr="00DA2170">
        <w:rPr>
          <w:rFonts w:ascii="標楷體" w:eastAsia="標楷體" w:hAnsi="標楷體"/>
          <w:szCs w:val="24"/>
        </w:rPr>
        <w:t>）：（92/12/1、93/8/1、94/10/1、96/5/1、99/10/1、105/2/1、114/2/1、115/2/1、115/6/1）</w:t>
      </w:r>
    </w:p>
    <w:p w14:paraId="29DDC374" w14:textId="77777777" w:rsidR="00DA2170" w:rsidRPr="009B4313" w:rsidRDefault="00DA2170" w:rsidP="00DA2170">
      <w:pPr>
        <w:spacing w:line="400" w:lineRule="exact"/>
        <w:ind w:left="567" w:hanging="284"/>
        <w:rPr>
          <w:szCs w:val="24"/>
        </w:rPr>
      </w:pPr>
      <w:r w:rsidRPr="009B4313">
        <w:rPr>
          <w:rFonts w:ascii="標楷體" w:eastAsia="標楷體" w:hAnsi="標楷體"/>
          <w:color w:val="000000"/>
          <w:szCs w:val="24"/>
        </w:rPr>
        <w:t>1.本類藥品(除</w:t>
      </w:r>
      <w:proofErr w:type="spellStart"/>
      <w:r w:rsidRPr="009B4313">
        <w:rPr>
          <w:rFonts w:ascii="標楷體" w:eastAsia="標楷體" w:hAnsi="標楷體"/>
          <w:color w:val="000000"/>
          <w:szCs w:val="24"/>
        </w:rPr>
        <w:t>Gemmis</w:t>
      </w:r>
      <w:proofErr w:type="spellEnd"/>
      <w:r w:rsidRPr="009B4313">
        <w:rPr>
          <w:rFonts w:ascii="標楷體" w:eastAsia="標楷體" w:hAnsi="標楷體"/>
          <w:color w:val="000000"/>
          <w:szCs w:val="24"/>
        </w:rPr>
        <w:t>之外)依藥品許可證登載之適應症範圍內給付於非小細胞肺癌、胰臟癌、膀胱癌、乳癌、卵巢癌及膽道癌之病例；倘併用其他標靶治療、免疫檢查點抑制劑等藥品時，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符合該併用藥品之藥品給付規定。</w:t>
      </w:r>
      <w:r w:rsidRPr="009B4313">
        <w:rPr>
          <w:rFonts w:ascii="標楷體" w:eastAsia="標楷體" w:hAnsi="標楷體"/>
          <w:color w:val="000000"/>
          <w:szCs w:val="24"/>
        </w:rPr>
        <w:t>(115/6/1）</w:t>
      </w:r>
    </w:p>
    <w:p w14:paraId="3B9FFB74" w14:textId="77777777" w:rsidR="00DA2170" w:rsidRPr="009B4313" w:rsidRDefault="00DA2170" w:rsidP="00DA2170">
      <w:pPr>
        <w:spacing w:line="400" w:lineRule="exact"/>
        <w:ind w:left="567" w:hanging="284"/>
        <w:rPr>
          <w:szCs w:val="24"/>
        </w:rPr>
      </w:pPr>
      <w:r w:rsidRPr="009B4313">
        <w:rPr>
          <w:rFonts w:ascii="標楷體" w:eastAsia="標楷體" w:hAnsi="標楷體"/>
          <w:color w:val="000000"/>
          <w:szCs w:val="24"/>
        </w:rPr>
        <w:t>2.</w:t>
      </w:r>
      <w:r w:rsidRPr="009B4313">
        <w:rPr>
          <w:szCs w:val="24"/>
        </w:rPr>
        <w:t xml:space="preserve"> </w:t>
      </w:r>
      <w:proofErr w:type="spellStart"/>
      <w:r w:rsidRPr="009B4313">
        <w:rPr>
          <w:rFonts w:ascii="標楷體" w:eastAsia="標楷體" w:hAnsi="標楷體"/>
          <w:color w:val="000000"/>
          <w:szCs w:val="24"/>
        </w:rPr>
        <w:t>Gemmis</w:t>
      </w:r>
      <w:proofErr w:type="spellEnd"/>
      <w:r w:rsidRPr="009B4313">
        <w:rPr>
          <w:rFonts w:ascii="標楷體" w:eastAsia="標楷體" w:hAnsi="標楷體"/>
          <w:color w:val="000000"/>
          <w:szCs w:val="24"/>
        </w:rPr>
        <w:t>限給付於下列情形：(115/6/1）</w:t>
      </w:r>
    </w:p>
    <w:p w14:paraId="037E6178"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(1)晚期或無法手術切除之非小細胞肺癌及胰臟癌病患。</w:t>
      </w:r>
    </w:p>
    <w:p w14:paraId="226DE148"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(2)晚期膀胱癌病患。（92/12/1）</w:t>
      </w:r>
    </w:p>
    <w:p w14:paraId="6C6852D5"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(3)Gemcitabine與paclitaxel併用，可使用於曾經使用過anthracycline之局部復發且無法手術切除或轉移性之乳癌病患。（94/10/1）</w:t>
      </w:r>
    </w:p>
    <w:p w14:paraId="793EA0BF"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(4)用於曾經使用含鉑類藥物(platinum-based)治療後復發且間隔至少6個月之卵巢癌，作為第二線治療。（96/5/1、99/10/1）</w:t>
      </w:r>
    </w:p>
    <w:p w14:paraId="72A9CAD3"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(5)無法手術切除或晚期或復發之膽道癌(含肝內膽管)病患。（105/2/1）</w:t>
      </w:r>
    </w:p>
    <w:p w14:paraId="76D70233"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(6)與durvalumab及cisplatin併用於治療局部晚期或轉移性未接受治療或不可手術之膽道癌(biliary tract cancer)成人病人(壺腹癌除外)，患者需符合免疫檢查點抑制劑之藥品給付規定。（114/2/1)</w:t>
      </w:r>
    </w:p>
    <w:p w14:paraId="02BE5AE5" w14:textId="317C60FB" w:rsidR="00B96EA0" w:rsidRPr="00D927FE" w:rsidRDefault="00DA2170" w:rsidP="00DA2170">
      <w:pPr>
        <w:spacing w:line="400" w:lineRule="exact"/>
        <w:ind w:left="811" w:hanging="245"/>
        <w:rPr>
          <w:rFonts w:ascii="標楷體" w:eastAsia="標楷體" w:hAnsi="標楷體"/>
        </w:rPr>
      </w:pPr>
      <w:r w:rsidRPr="009B4313">
        <w:rPr>
          <w:rFonts w:ascii="標楷體" w:eastAsia="標楷體" w:hAnsi="標楷體"/>
          <w:color w:val="000000"/>
          <w:szCs w:val="24"/>
        </w:rPr>
        <w:t>(7)與nivolumab及cisplatin併用於無法切除或轉移性泌尿道上皮癌成人病人的第一線治療，病人需符合免疫檢查點抑制劑之藥品給付規定，且至多6個療程。（115/2/1)</w:t>
      </w:r>
      <w:bookmarkEnd w:id="2"/>
    </w:p>
    <w:p w14:paraId="3A010E81" w14:textId="77777777" w:rsidR="00B041B4" w:rsidRPr="00B041B4" w:rsidRDefault="00B041B4" w:rsidP="00B041B4">
      <w:pPr>
        <w:spacing w:line="400" w:lineRule="exact"/>
        <w:ind w:left="426" w:hanging="224"/>
        <w:rPr>
          <w:szCs w:val="24"/>
        </w:rPr>
      </w:pPr>
      <w:bookmarkStart w:id="3" w:name="_Hlk230359815"/>
      <w:bookmarkStart w:id="4" w:name="_Hlk204090575"/>
      <w:r w:rsidRPr="00B041B4">
        <w:rPr>
          <w:rFonts w:ascii="標楷體" w:eastAsia="標楷體" w:hAnsi="標楷體"/>
          <w:szCs w:val="24"/>
        </w:rPr>
        <w:t>9.5.Paclitaxel成分劑：（88/8/1、88/11/1、89/6/1、89/10/1、91/4/1、91/8/1、</w:t>
      </w:r>
      <w:r w:rsidRPr="00B041B4">
        <w:rPr>
          <w:rFonts w:ascii="標楷體" w:eastAsia="標楷體" w:hAnsi="標楷體"/>
          <w:szCs w:val="24"/>
        </w:rPr>
        <w:lastRenderedPageBreak/>
        <w:t>93/8/1、94/1/1、98/8/1、108/11/1、112/12/1、114/6/1、114/8/1、115/6/1）</w:t>
      </w:r>
      <w:bookmarkEnd w:id="3"/>
    </w:p>
    <w:p w14:paraId="58CE1064" w14:textId="77777777" w:rsidR="00F63C8C" w:rsidRPr="00F63C8C" w:rsidRDefault="00F63C8C" w:rsidP="00F63C8C">
      <w:pPr>
        <w:spacing w:line="300" w:lineRule="exact"/>
        <w:ind w:leftChars="59" w:left="142"/>
        <w:rPr>
          <w:rFonts w:ascii="標楷體" w:eastAsia="標楷體" w:hAnsi="標楷體"/>
          <w:szCs w:val="24"/>
        </w:rPr>
      </w:pPr>
      <w:bookmarkStart w:id="5" w:name="_Hlk230342633"/>
      <w:bookmarkStart w:id="6" w:name="_Hlk230359830"/>
      <w:r w:rsidRPr="00F63C8C">
        <w:rPr>
          <w:rFonts w:ascii="標楷體" w:eastAsia="標楷體" w:hAnsi="標楷體"/>
          <w:szCs w:val="24"/>
        </w:rPr>
        <w:t>9.5.1.Paclitaxel成分注射劑：(108/11/1、112/12/1、114/6/1、114/8/1、115/6/1)</w:t>
      </w:r>
      <w:bookmarkEnd w:id="5"/>
    </w:p>
    <w:bookmarkEnd w:id="4"/>
    <w:p w14:paraId="11445538" w14:textId="77777777" w:rsidR="000804A6" w:rsidRPr="009B4313" w:rsidRDefault="000804A6" w:rsidP="000804A6">
      <w:pPr>
        <w:spacing w:line="400" w:lineRule="exact"/>
        <w:ind w:left="709" w:hanging="280"/>
        <w:rPr>
          <w:szCs w:val="24"/>
        </w:rPr>
      </w:pPr>
      <w:r w:rsidRPr="009B4313">
        <w:rPr>
          <w:rFonts w:ascii="標楷體" w:eastAsia="標楷體" w:hAnsi="標楷體"/>
          <w:color w:val="000000"/>
          <w:szCs w:val="24"/>
        </w:rPr>
        <w:t>1.本類藥品(除PHYXOL、GENETAXYL CREM LESS及TAXOL之外)依藥品許可證登載之適應症範圍內給付於卵巢癌、非小細胞肺癌、乳癌及卡波西氏肉瘤之病例；倘併用其他標靶治療、免疫檢查點抑制劑等藥品時，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符合該併用藥品之藥品給付規定。</w:t>
      </w:r>
      <w:r w:rsidRPr="009B4313">
        <w:rPr>
          <w:rFonts w:ascii="標楷體" w:eastAsia="標楷體" w:hAnsi="標楷體"/>
          <w:color w:val="000000"/>
          <w:szCs w:val="24"/>
        </w:rPr>
        <w:t>(115/6/1）</w:t>
      </w:r>
    </w:p>
    <w:p w14:paraId="05860BEE" w14:textId="77777777" w:rsidR="000804A6" w:rsidRPr="009B4313" w:rsidRDefault="000804A6" w:rsidP="000804A6">
      <w:pPr>
        <w:spacing w:line="400" w:lineRule="exact"/>
        <w:ind w:left="709" w:hanging="280"/>
        <w:rPr>
          <w:rFonts w:ascii="標楷體" w:eastAsia="標楷體" w:hAnsi="標楷體"/>
          <w:color w:val="000000"/>
          <w:szCs w:val="24"/>
        </w:rPr>
      </w:pPr>
      <w:r w:rsidRPr="009B4313">
        <w:rPr>
          <w:rFonts w:ascii="標楷體" w:eastAsia="標楷體" w:hAnsi="標楷體"/>
          <w:color w:val="000000"/>
          <w:szCs w:val="24"/>
        </w:rPr>
        <w:t>2.PHYXOL、GENETAXYL CREM LESS及TAXOL限給付於下列情形：(115/6/1）</w:t>
      </w:r>
    </w:p>
    <w:p w14:paraId="028460FD" w14:textId="77777777" w:rsidR="000804A6" w:rsidRPr="009B4313" w:rsidRDefault="000804A6" w:rsidP="000804A6">
      <w:pPr>
        <w:spacing w:line="400" w:lineRule="exact"/>
        <w:ind w:left="1276" w:hanging="420"/>
        <w:rPr>
          <w:szCs w:val="24"/>
        </w:rPr>
      </w:pPr>
      <w:r w:rsidRPr="009B4313">
        <w:rPr>
          <w:rFonts w:ascii="標楷體" w:eastAsia="標楷體" w:hAnsi="標楷體"/>
          <w:color w:val="000000"/>
          <w:szCs w:val="24"/>
        </w:rPr>
        <w:t>(1)晚期卵巢癌，作為第一線治療時需與cisplatin併用。(94/1/1)</w:t>
      </w:r>
    </w:p>
    <w:p w14:paraId="2B896DE1"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(2)非小細胞肺癌，作為第一線用藥時需與cisplatin併用。(94/1/1)</w:t>
      </w:r>
    </w:p>
    <w:p w14:paraId="52490B69" w14:textId="77777777"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(3)與pembrolizumab及carboplatin併用於轉移性鱗狀非小細胞肺癌的第一線治療，患者需符合免疫檢查點抑制劑之藥品給付規定。(112/12/1)</w:t>
      </w:r>
    </w:p>
    <w:p w14:paraId="57478E3D" w14:textId="77777777"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(4)</w:t>
      </w:r>
      <w:r w:rsidRPr="009B4313">
        <w:rPr>
          <w:rFonts w:ascii="標楷體" w:eastAsia="標楷體" w:hAnsi="標楷體"/>
          <w:color w:val="000000"/>
          <w:szCs w:val="24"/>
        </w:rPr>
        <w:t>已使用合併療法(除非有禁忌症、至少應包括使用anthracycline)失敗的轉移性乳癌患者。（91/4/1、94/1/1)</w:t>
      </w:r>
    </w:p>
    <w:p w14:paraId="6F28A4DB"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(5)腋下淋巴轉移之乳癌且動情素受體為陰性之患者，paclitaxel可作為接續含doxorubicin在內之輔助化學治療。（91/4/1、94/1/1、98/8/1)</w:t>
      </w:r>
    </w:p>
    <w:p w14:paraId="05495894"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(6)卡波西氏肉瘤第二線用藥。（88/11/1）</w:t>
      </w:r>
    </w:p>
    <w:p w14:paraId="69D7D259" w14:textId="77777777"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(7)與pembrolizumab及carboplatin併用於早期三陰性乳癌(第II期至第</w:t>
      </w:r>
      <w:proofErr w:type="spellStart"/>
      <w:r w:rsidRPr="000804A6">
        <w:rPr>
          <w:rFonts w:ascii="標楷體" w:eastAsia="標楷體" w:hAnsi="標楷體"/>
          <w:color w:val="000000"/>
          <w:szCs w:val="24"/>
        </w:rPr>
        <w:t>IIIb</w:t>
      </w:r>
      <w:proofErr w:type="spellEnd"/>
      <w:r w:rsidRPr="000804A6">
        <w:rPr>
          <w:rFonts w:ascii="標楷體" w:eastAsia="標楷體" w:hAnsi="標楷體"/>
          <w:color w:val="000000"/>
          <w:szCs w:val="24"/>
        </w:rPr>
        <w:t>期，cT1c N1-2 或 T2-4 N0-2)病人的術前前導性治療用藥，病人需符合免疫檢查點抑制劑之藥品給付規定。(114/6/1)</w:t>
      </w:r>
    </w:p>
    <w:p w14:paraId="46C423B4" w14:textId="17AD7D19" w:rsidR="00B96EA0" w:rsidRDefault="000804A6" w:rsidP="000804A6">
      <w:pPr>
        <w:spacing w:line="400" w:lineRule="exact"/>
        <w:ind w:left="1276" w:hanging="420"/>
        <w:rPr>
          <w:rFonts w:ascii="標楷體" w:eastAsia="標楷體" w:hAnsi="標楷體"/>
          <w:color w:val="000000"/>
        </w:rPr>
      </w:pPr>
      <w:r w:rsidRPr="000804A6">
        <w:rPr>
          <w:rFonts w:ascii="標楷體" w:eastAsia="標楷體" w:hAnsi="標楷體"/>
          <w:color w:val="000000"/>
          <w:szCs w:val="24"/>
        </w:rPr>
        <w:t>(8)與atezolizumab及bevacizumab(限使用</w:t>
      </w:r>
      <w:proofErr w:type="spellStart"/>
      <w:r w:rsidRPr="000804A6">
        <w:rPr>
          <w:rFonts w:ascii="標楷體" w:eastAsia="標楷體" w:hAnsi="標楷體"/>
          <w:color w:val="000000"/>
          <w:szCs w:val="24"/>
        </w:rPr>
        <w:t>Alymsys</w:t>
      </w:r>
      <w:proofErr w:type="spellEnd"/>
      <w:r w:rsidRPr="000804A6">
        <w:rPr>
          <w:rFonts w:ascii="標楷體" w:eastAsia="標楷體" w:hAnsi="標楷體"/>
          <w:color w:val="000000"/>
          <w:szCs w:val="24"/>
        </w:rPr>
        <w:t>、Avastin、</w:t>
      </w:r>
      <w:proofErr w:type="spellStart"/>
      <w:r w:rsidRPr="000804A6">
        <w:rPr>
          <w:rFonts w:ascii="標楷體" w:eastAsia="標楷體" w:hAnsi="標楷體"/>
          <w:color w:val="000000"/>
          <w:szCs w:val="24"/>
        </w:rPr>
        <w:t>Abevmy</w:t>
      </w:r>
      <w:proofErr w:type="spellEnd"/>
      <w:r w:rsidRPr="000804A6">
        <w:rPr>
          <w:rFonts w:ascii="標楷體" w:eastAsia="標楷體" w:hAnsi="標楷體"/>
          <w:color w:val="000000"/>
          <w:szCs w:val="24"/>
        </w:rPr>
        <w:t>、</w:t>
      </w:r>
      <w:proofErr w:type="spellStart"/>
      <w:r w:rsidRPr="000804A6">
        <w:rPr>
          <w:rFonts w:ascii="標楷體" w:eastAsia="標楷體" w:hAnsi="標楷體"/>
          <w:color w:val="000000"/>
          <w:szCs w:val="24"/>
        </w:rPr>
        <w:t>Vegzelma</w:t>
      </w:r>
      <w:proofErr w:type="spellEnd"/>
      <w:r w:rsidRPr="000804A6">
        <w:rPr>
          <w:rFonts w:ascii="標楷體" w:eastAsia="標楷體" w:hAnsi="標楷體"/>
          <w:color w:val="000000"/>
          <w:szCs w:val="24"/>
        </w:rPr>
        <w:t>或</w:t>
      </w:r>
      <w:proofErr w:type="spellStart"/>
      <w:r w:rsidRPr="000804A6">
        <w:rPr>
          <w:rFonts w:ascii="標楷體" w:eastAsia="標楷體" w:hAnsi="標楷體"/>
          <w:color w:val="000000"/>
          <w:szCs w:val="24"/>
        </w:rPr>
        <w:t>Mvasi</w:t>
      </w:r>
      <w:proofErr w:type="spellEnd"/>
      <w:r w:rsidRPr="009B4313">
        <w:rPr>
          <w:rFonts w:ascii="標楷體" w:eastAsia="標楷體" w:hAnsi="標楷體"/>
          <w:szCs w:val="24"/>
        </w:rPr>
        <w:t>)、carboplatin併用於轉移性非鱗狀非小細胞肺癌第一線治療，患者需符合免疫檢查點抑制劑之藥品給付規定。(114/6/1、114/8/1)</w:t>
      </w:r>
      <w:bookmarkEnd w:id="6"/>
    </w:p>
    <w:p w14:paraId="6D9A8462" w14:textId="77777777"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14:paraId="5BD59531" w14:textId="77777777"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限併用gemcitabine，做為轉移性胰腺癌患者之第一線治療。</w:t>
      </w:r>
    </w:p>
    <w:p w14:paraId="2BC960BA"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 xml:space="preserve">9.6.Streptococcus </w:t>
      </w:r>
      <w:proofErr w:type="spellStart"/>
      <w:r>
        <w:rPr>
          <w:rFonts w:ascii="標楷體" w:eastAsia="標楷體" w:hAnsi="標楷體"/>
          <w:color w:val="000000"/>
        </w:rPr>
        <w:t>pyrogene</w:t>
      </w:r>
      <w:proofErr w:type="spellEnd"/>
      <w:r>
        <w:rPr>
          <w:rFonts w:ascii="標楷體" w:eastAsia="標楷體" w:hAnsi="標楷體"/>
          <w:color w:val="000000"/>
        </w:rPr>
        <w:t>(如</w:t>
      </w:r>
      <w:proofErr w:type="spellStart"/>
      <w:r>
        <w:rPr>
          <w:rFonts w:ascii="標楷體" w:eastAsia="標楷體" w:hAnsi="標楷體"/>
          <w:color w:val="000000"/>
        </w:rPr>
        <w:t>Picibanil</w:t>
      </w:r>
      <w:proofErr w:type="spellEnd"/>
      <w:r>
        <w:rPr>
          <w:rFonts w:ascii="標楷體" w:eastAsia="標楷體" w:hAnsi="標楷體"/>
          <w:color w:val="000000"/>
        </w:rPr>
        <w:t>)：</w:t>
      </w:r>
    </w:p>
    <w:p w14:paraId="679096EF"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14:paraId="30FB471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14:paraId="32E2DEED" w14:textId="77777777" w:rsidR="00B96EA0" w:rsidRDefault="007D66B8" w:rsidP="005142EB">
      <w:pPr>
        <w:spacing w:line="400" w:lineRule="exact"/>
        <w:ind w:left="672" w:hanging="386"/>
      </w:pPr>
      <w:r>
        <w:rPr>
          <w:rFonts w:ascii="標楷體" w:eastAsia="標楷體" w:hAnsi="標楷體"/>
          <w:color w:val="000000"/>
        </w:rPr>
        <w:t>9.8.Toremifene（如</w:t>
      </w:r>
      <w:proofErr w:type="spellStart"/>
      <w:r>
        <w:rPr>
          <w:rFonts w:ascii="標楷體" w:eastAsia="標楷體" w:hAnsi="標楷體"/>
          <w:color w:val="000000"/>
        </w:rPr>
        <w:t>Fareston</w:t>
      </w:r>
      <w:proofErr w:type="spellEnd"/>
      <w:r>
        <w:rPr>
          <w:rFonts w:ascii="標楷體" w:eastAsia="標楷體" w:hAnsi="標楷體"/>
          <w:color w:val="000000"/>
        </w:rPr>
        <w:t>）：（88/6/1）</w:t>
      </w:r>
    </w:p>
    <w:p w14:paraId="448EEBF6"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receptor)為陽性之轉移性乳癌病患。</w:t>
      </w:r>
    </w:p>
    <w:p w14:paraId="39FF093F" w14:textId="77777777"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14:paraId="0812774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14:paraId="47778E6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14:paraId="509EDF8E" w14:textId="77777777" w:rsidR="00B96EA0" w:rsidRDefault="007D66B8" w:rsidP="005142EB">
      <w:pPr>
        <w:spacing w:line="400" w:lineRule="exact"/>
        <w:ind w:left="1049" w:hanging="341"/>
      </w:pPr>
      <w:r>
        <w:rPr>
          <w:rFonts w:ascii="標楷體" w:eastAsia="標楷體" w:hAnsi="標楷體"/>
          <w:color w:val="000000"/>
        </w:rPr>
        <w:t>(2)病理分期第二期及第三期前半(</w:t>
      </w:r>
      <w:proofErr w:type="spellStart"/>
      <w:r>
        <w:rPr>
          <w:rFonts w:ascii="標楷體" w:eastAsia="標楷體" w:hAnsi="標楷體"/>
          <w:color w:val="000000"/>
        </w:rPr>
        <w:t>stageII</w:t>
      </w:r>
      <w:proofErr w:type="spellEnd"/>
      <w:r>
        <w:rPr>
          <w:rFonts w:ascii="標楷體" w:eastAsia="標楷體" w:hAnsi="標楷體"/>
          <w:color w:val="000000"/>
        </w:rPr>
        <w:t xml:space="preserve"> &amp; </w:t>
      </w:r>
      <w:proofErr w:type="spellStart"/>
      <w:r>
        <w:rPr>
          <w:rFonts w:ascii="標楷體" w:eastAsia="標楷體" w:hAnsi="標楷體"/>
          <w:color w:val="000000"/>
        </w:rPr>
        <w:t>stageIIIA</w:t>
      </w:r>
      <w:proofErr w:type="spellEnd"/>
      <w:r>
        <w:rPr>
          <w:rFonts w:ascii="標楷體" w:eastAsia="標楷體" w:hAnsi="標楷體"/>
          <w:color w:val="000000"/>
        </w:rPr>
        <w:t>)非小細胞肺癌於接受根治性手術後與鉑金類藥品併用之輔助治療，</w:t>
      </w:r>
      <w:r>
        <w:rPr>
          <w:rFonts w:ascii="標楷體" w:eastAsia="標楷體" w:hAnsi="標楷體"/>
          <w:kern w:val="0"/>
          <w:szCs w:val="24"/>
        </w:rPr>
        <w:t>最多可使用4療程(106/11/1)。</w:t>
      </w:r>
    </w:p>
    <w:p w14:paraId="79F3382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2.本成分之口服劑型與注射劑型不得併用。</w:t>
      </w:r>
    </w:p>
    <w:p w14:paraId="02BD3943" w14:textId="77777777" w:rsidR="00B96EA0" w:rsidRDefault="00D927FE" w:rsidP="005142EB">
      <w:pPr>
        <w:spacing w:line="400" w:lineRule="exact"/>
        <w:ind w:left="425" w:hanging="245"/>
        <w:rPr>
          <w:rFonts w:ascii="標楷體" w:eastAsia="標楷體" w:hAnsi="標楷體"/>
          <w:color w:val="000000"/>
        </w:rPr>
      </w:pPr>
      <w:bookmarkStart w:id="7" w:name="_Hlk75364262"/>
      <w:r w:rsidRPr="003C5F9F">
        <w:rPr>
          <w:rFonts w:ascii="標楷體" w:eastAsia="標楷體" w:hAnsi="標楷體"/>
          <w:color w:val="000000"/>
          <w:szCs w:val="24"/>
        </w:rPr>
        <w:lastRenderedPageBreak/>
        <w:t>9.10.Oxaliplatin：（需符合藥品許可證登載之適應症）（89/7/1、91/10/1、93/8/1、98/2/1、98/3/1、98/7/1、102/9/1、102/12/1、109/12/1、110/5/1、110/6/1、110/7/1、111/11/1、113/4/1、113/6/1</w:t>
      </w:r>
      <w:r w:rsidRPr="00D927FE">
        <w:rPr>
          <w:rFonts w:ascii="標楷體" w:eastAsia="標楷體" w:hAnsi="標楷體" w:hint="eastAsia"/>
          <w:szCs w:val="24"/>
        </w:rPr>
        <w:t>、115/2/1</w:t>
      </w:r>
      <w:r w:rsidRPr="003C5F9F">
        <w:rPr>
          <w:rFonts w:ascii="標楷體" w:eastAsia="標楷體" w:hAnsi="標楷體"/>
          <w:color w:val="000000"/>
          <w:szCs w:val="24"/>
        </w:rPr>
        <w:t>)</w:t>
      </w:r>
    </w:p>
    <w:p w14:paraId="304A68C7" w14:textId="77777777" w:rsidR="00167FEB" w:rsidRPr="00167FEB" w:rsidRDefault="00167FEB" w:rsidP="00167FEB">
      <w:pPr>
        <w:autoSpaceDE w:val="0"/>
        <w:spacing w:line="400" w:lineRule="exact"/>
        <w:ind w:left="850" w:hanging="284"/>
        <w:rPr>
          <w:rFonts w:ascii="標楷體" w:eastAsia="標楷體" w:hAnsi="標楷體"/>
          <w:color w:val="000000"/>
        </w:rPr>
      </w:pPr>
      <w:bookmarkStart w:id="8" w:name="_Hlk219901421"/>
      <w:r w:rsidRPr="00167FEB">
        <w:rPr>
          <w:rFonts w:ascii="標楷體" w:eastAsia="標楷體" w:hAnsi="標楷體"/>
          <w:color w:val="000000"/>
        </w:rPr>
        <w:t>1.和5-FU和folinic acid併用</w:t>
      </w:r>
    </w:p>
    <w:p w14:paraId="31A25EEE" w14:textId="77777777"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(1)治療轉移性結腸直腸癌，惟若再加用irinotecan (如</w:t>
      </w:r>
      <w:proofErr w:type="spellStart"/>
      <w:r w:rsidRPr="00167FEB">
        <w:rPr>
          <w:rFonts w:ascii="標楷體" w:eastAsia="標楷體" w:hAnsi="標楷體"/>
          <w:color w:val="000000"/>
        </w:rPr>
        <w:t>Campto</w:t>
      </w:r>
      <w:proofErr w:type="spellEnd"/>
      <w:r w:rsidRPr="00167FEB">
        <w:rPr>
          <w:rFonts w:ascii="標楷體" w:eastAsia="標楷體" w:hAnsi="標楷體"/>
          <w:color w:val="000000"/>
        </w:rPr>
        <w:t>)則不予給付。(91/10/1)</w:t>
      </w:r>
    </w:p>
    <w:p w14:paraId="3D20A9A0" w14:textId="77777777"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(2)作為第三期結腸癌(Duke`s C) 原發腫瘤完全切除手術後的輔助療法。(98/2/1)</w:t>
      </w:r>
    </w:p>
    <w:p w14:paraId="29183ECF"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2.與fluoropyrimidine類藥物(如capecitabine、5-FU、UFUR，但不包含TS-1)併用，可用於局部晚期及復發/轉移性胃癌之治療。(須依藥品許可證登載之適應症使用)。(98/2/1、98/3/1、98/7/1、102/9/1、102/12/1、109/12/1）</w:t>
      </w:r>
    </w:p>
    <w:p w14:paraId="222E6351"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3.與5-fluorouracil、leucovorin及irinotecan併用(FOLFIRINOX)，作為轉移性胰臟癌之第一線治療。(110/5/1、110/6/1、110/7/1、111/11/1)</w:t>
      </w:r>
    </w:p>
    <w:p w14:paraId="68A4E547"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4.與nivolumab及fluoropyrimidine（5-FU或capecitabine）併用於第一線治療晚期或轉移性且不具有HER2過度表現的胃癌病人，病人需符合免疫檢查點抑制劑之藥品給付規定。(113/4/1、113/6/1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p>
    <w:p w14:paraId="18FCC03E"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hint="eastAsia"/>
          <w:color w:val="000000"/>
        </w:rPr>
        <w:t>5.</w:t>
      </w:r>
      <w:r w:rsidRPr="00167FEB">
        <w:rPr>
          <w:rFonts w:ascii="標楷體" w:eastAsia="標楷體" w:hAnsi="標楷體"/>
          <w:color w:val="000000"/>
        </w:rPr>
        <w:t>與nivolumab及fluoropyrimidine併用於</w:t>
      </w:r>
      <w:r w:rsidRPr="00167FEB">
        <w:rPr>
          <w:rFonts w:ascii="標楷體" w:eastAsia="標楷體" w:hAnsi="標楷體" w:hint="eastAsia"/>
          <w:color w:val="000000"/>
        </w:rPr>
        <w:t>無法接受化學放射性治療或手術切除等治癒性治療之晚期或轉移性食道鱗狀細胞癌成人病人的第一線治療</w:t>
      </w:r>
      <w:r w:rsidRPr="00167FEB">
        <w:rPr>
          <w:rFonts w:ascii="標楷體" w:eastAsia="標楷體" w:hAnsi="標楷體"/>
          <w:color w:val="000000"/>
        </w:rPr>
        <w:t>，病人需符合免疫檢查點抑制劑之藥品給付規定。(</w:t>
      </w:r>
      <w:r w:rsidRPr="00167FEB">
        <w:rPr>
          <w:rFonts w:ascii="標楷體" w:eastAsia="標楷體" w:hAnsi="標楷體" w:hint="eastAsia"/>
          <w:color w:val="000000"/>
        </w:rPr>
        <w:t>115/2/1</w:t>
      </w:r>
      <w:r w:rsidRPr="00167FEB">
        <w:rPr>
          <w:rFonts w:ascii="標楷體" w:eastAsia="標楷體" w:hAnsi="標楷體"/>
          <w:color w:val="000000"/>
        </w:rPr>
        <w:t>)</w:t>
      </w:r>
      <w:bookmarkEnd w:id="8"/>
    </w:p>
    <w:bookmarkEnd w:id="7"/>
    <w:p w14:paraId="3367D022" w14:textId="77777777"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t>9.11.Uracil-Tegafur：(如</w:t>
      </w:r>
      <w:proofErr w:type="spellStart"/>
      <w:r>
        <w:rPr>
          <w:rFonts w:ascii="標楷體" w:eastAsia="標楷體" w:hAnsi="標楷體"/>
          <w:color w:val="000000"/>
        </w:rPr>
        <w:t>Ufur</w:t>
      </w:r>
      <w:proofErr w:type="spellEnd"/>
      <w:r>
        <w:rPr>
          <w:rFonts w:ascii="標楷體" w:eastAsia="標楷體" w:hAnsi="標楷體"/>
          <w:color w:val="000000"/>
        </w:rPr>
        <w:t>)(100/1/1)</w:t>
      </w:r>
    </w:p>
    <w:p w14:paraId="30A8786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14:paraId="4A1ED46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2.頭頸部鱗狀上皮癌(93/4/1、98/3/1、99/10/1)。</w:t>
      </w:r>
    </w:p>
    <w:p w14:paraId="1BC7C2A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3.與cisplatin併用治療轉移及末期肺癌。</w:t>
      </w:r>
    </w:p>
    <w:p w14:paraId="598403F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4.直腸癌、結腸癌第Ⅱ、Ⅲ期患者之術後輔助性治療，且使用期限不得超過2年(94/10/1、97/12/1)</w:t>
      </w:r>
    </w:p>
    <w:p w14:paraId="389A1A5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5.用於病理分期為T2且腫瘤≧3cm之肺腺癌病人，作為手術後輔助治療，使用期限以二年為限。(100/1/1)</w:t>
      </w:r>
    </w:p>
    <w:p w14:paraId="0AF23BA1" w14:textId="77777777" w:rsidR="00B96EA0" w:rsidRDefault="007D66B8" w:rsidP="005142EB">
      <w:pPr>
        <w:spacing w:line="400" w:lineRule="exact"/>
        <w:ind w:left="567" w:hanging="245"/>
        <w:rPr>
          <w:rFonts w:ascii="標楷體" w:eastAsia="標楷體" w:hAnsi="標楷體"/>
          <w:color w:val="000000"/>
        </w:rPr>
      </w:pPr>
      <w:bookmarkStart w:id="9" w:name="_Hlk77950822"/>
      <w:bookmarkStart w:id="10"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14:paraId="09E63ACD" w14:textId="77777777" w:rsidR="00B96EA0" w:rsidRDefault="007D66B8" w:rsidP="005142EB">
      <w:pPr>
        <w:spacing w:line="400" w:lineRule="exact"/>
        <w:ind w:left="567" w:hanging="245"/>
      </w:pPr>
      <w:r>
        <w:rPr>
          <w:rFonts w:ascii="標楷體" w:eastAsia="標楷體" w:hAnsi="標楷體"/>
          <w:color w:val="000000"/>
        </w:rPr>
        <w:t>9.12.1.Irinotecan(如</w:t>
      </w:r>
      <w:proofErr w:type="spellStart"/>
      <w:r>
        <w:rPr>
          <w:rFonts w:ascii="標楷體" w:eastAsia="標楷體" w:hAnsi="標楷體"/>
          <w:color w:val="000000"/>
        </w:rPr>
        <w:t>Campto</w:t>
      </w:r>
      <w:proofErr w:type="spellEnd"/>
      <w:r>
        <w:rPr>
          <w:rFonts w:ascii="標楷體" w:eastAsia="標楷體" w:hAnsi="標楷體"/>
          <w:color w:val="000000"/>
        </w:rPr>
        <w:t xml:space="preserve"> injection)：（需符合藥品許可證登載之適應症）(90/10/1、93/8/1、110/5/1、110/7/1、110/8/1、112/2/1)</w:t>
      </w:r>
    </w:p>
    <w:p w14:paraId="606A7D7F" w14:textId="77777777"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14:paraId="705D65B9" w14:textId="77777777"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14:paraId="4A145C53" w14:textId="77777777"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14:paraId="0A26A835" w14:textId="77777777"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2.與5-fluorouracil、leucovorin及oxaliplatin併用(FOLFIRINOX)，做為轉移性胰臟癌之第一線治療(限用</w:t>
      </w:r>
      <w:proofErr w:type="spellStart"/>
      <w:r>
        <w:rPr>
          <w:rFonts w:ascii="標楷體" w:eastAsia="標楷體" w:hAnsi="標楷體"/>
          <w:color w:val="000000"/>
        </w:rPr>
        <w:t>Irino</w:t>
      </w:r>
      <w:proofErr w:type="spellEnd"/>
      <w:r>
        <w:rPr>
          <w:rFonts w:ascii="標楷體" w:eastAsia="標楷體" w:hAnsi="標楷體"/>
          <w:color w:val="000000"/>
        </w:rPr>
        <w:t>、</w:t>
      </w:r>
      <w:proofErr w:type="spellStart"/>
      <w:r>
        <w:rPr>
          <w:rFonts w:ascii="標楷體" w:eastAsia="標楷體" w:hAnsi="標楷體"/>
          <w:color w:val="000000"/>
        </w:rPr>
        <w:t>Irinotel</w:t>
      </w:r>
      <w:proofErr w:type="spellEnd"/>
      <w:r>
        <w:rPr>
          <w:rFonts w:ascii="標楷體" w:eastAsia="標楷體" w:hAnsi="標楷體"/>
          <w:color w:val="000000"/>
        </w:rPr>
        <w:t>、</w:t>
      </w:r>
      <w:proofErr w:type="spellStart"/>
      <w:r>
        <w:rPr>
          <w:rFonts w:ascii="標楷體" w:eastAsia="標楷體" w:hAnsi="標楷體"/>
          <w:color w:val="000000"/>
        </w:rPr>
        <w:t>Campto</w:t>
      </w:r>
      <w:proofErr w:type="spellEnd"/>
      <w:r>
        <w:rPr>
          <w:rFonts w:ascii="標楷體" w:eastAsia="標楷體" w:hAnsi="標楷體"/>
          <w:color w:val="000000"/>
        </w:rPr>
        <w:t xml:space="preserve">、Irinotecan Injection </w:t>
      </w:r>
      <w:r>
        <w:rPr>
          <w:rFonts w:ascii="標楷體" w:eastAsia="標楷體" w:hAnsi="標楷體"/>
          <w:color w:val="000000"/>
        </w:rPr>
        <w:lastRenderedPageBreak/>
        <w:t>Concentrate、</w:t>
      </w:r>
      <w:proofErr w:type="spellStart"/>
      <w:r>
        <w:rPr>
          <w:rFonts w:ascii="標楷體" w:eastAsia="標楷體" w:hAnsi="標楷體"/>
          <w:color w:val="000000"/>
        </w:rPr>
        <w:t>Irican</w:t>
      </w:r>
      <w:proofErr w:type="spellEnd"/>
      <w:r>
        <w:rPr>
          <w:rFonts w:ascii="標楷體" w:eastAsia="標楷體" w:hAnsi="標楷體"/>
          <w:color w:val="000000"/>
        </w:rPr>
        <w:t>、</w:t>
      </w:r>
      <w:proofErr w:type="spellStart"/>
      <w:r>
        <w:rPr>
          <w:rFonts w:ascii="標楷體" w:eastAsia="標楷體" w:hAnsi="標楷體"/>
          <w:color w:val="000000"/>
        </w:rPr>
        <w:t>Innocan</w:t>
      </w:r>
      <w:proofErr w:type="spellEnd"/>
      <w:r>
        <w:rPr>
          <w:rFonts w:ascii="標楷體" w:eastAsia="標楷體" w:hAnsi="標楷體"/>
          <w:color w:val="000000"/>
        </w:rPr>
        <w:t>、Irinotecan Injection)。(110/5/1、110/7/1、110/8/1、112/2/1)</w:t>
      </w:r>
    </w:p>
    <w:p w14:paraId="080FBABF" w14:textId="77777777"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9"/>
      <w:r w:rsidR="00270EF3">
        <w:rPr>
          <w:rFonts w:ascii="標楷體" w:eastAsia="標楷體" w:hAnsi="標楷體"/>
          <w:color w:val="000000"/>
        </w:rPr>
        <w:t>Irinotecan微脂體注射劑(如</w:t>
      </w:r>
      <w:proofErr w:type="spellStart"/>
      <w:r w:rsidR="00270EF3">
        <w:rPr>
          <w:rFonts w:ascii="標楷體" w:eastAsia="標楷體" w:hAnsi="標楷體"/>
          <w:color w:val="000000"/>
        </w:rPr>
        <w:t>Onivyde</w:t>
      </w:r>
      <w:proofErr w:type="spellEnd"/>
      <w:r w:rsidR="00270EF3">
        <w:rPr>
          <w:rFonts w:ascii="標楷體" w:eastAsia="標楷體" w:hAnsi="標楷體"/>
          <w:color w:val="000000"/>
        </w:rPr>
        <w:t>)：(107/8/1</w:t>
      </w:r>
      <w:r w:rsidR="00270EF3">
        <w:rPr>
          <w:rFonts w:ascii="標楷體" w:eastAsia="標楷體" w:hAnsi="標楷體" w:hint="eastAsia"/>
          <w:color w:val="000000"/>
        </w:rPr>
        <w:t>、114/12/1</w:t>
      </w:r>
      <w:r w:rsidR="00270EF3">
        <w:rPr>
          <w:rFonts w:ascii="標楷體" w:eastAsia="標楷體" w:hAnsi="標楷體"/>
          <w:color w:val="000000"/>
        </w:rPr>
        <w:t>)</w:t>
      </w:r>
    </w:p>
    <w:p w14:paraId="5E7BDB6C" w14:textId="77777777"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14:paraId="509D9440" w14:textId="77777777"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r>
        <w:rPr>
          <w:rFonts w:ascii="標楷體" w:eastAsia="標楷體" w:hAnsi="標楷體" w:hint="eastAsia"/>
          <w:color w:val="000000"/>
        </w:rPr>
        <w:t>併用，作為轉移性胰腺癌成人病人第一線治療。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14:paraId="484D492B" w14:textId="77777777"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10"/>
    <w:p w14:paraId="57FCE25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w:t>
      </w:r>
      <w:proofErr w:type="spellStart"/>
      <w:r>
        <w:rPr>
          <w:rFonts w:ascii="標楷體" w:eastAsia="標楷體" w:hAnsi="標楷體"/>
          <w:color w:val="000000"/>
        </w:rPr>
        <w:t>Proleukin</w:t>
      </w:r>
      <w:proofErr w:type="spellEnd"/>
      <w:r>
        <w:rPr>
          <w:rFonts w:ascii="標楷體" w:eastAsia="標楷體" w:hAnsi="標楷體"/>
          <w:color w:val="000000"/>
        </w:rPr>
        <w:t xml:space="preserve"> for Injection)：(90/10/1、93/8/1)</w:t>
      </w:r>
    </w:p>
    <w:p w14:paraId="1B8511A2"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限轉移性腎細胞癌及惡性黑色素癌病患使用。</w:t>
      </w:r>
    </w:p>
    <w:p w14:paraId="5B02336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w:t>
      </w:r>
      <w:proofErr w:type="spellStart"/>
      <w:r>
        <w:rPr>
          <w:rFonts w:ascii="標楷體" w:eastAsia="標楷體" w:hAnsi="標楷體"/>
          <w:color w:val="000000"/>
        </w:rPr>
        <w:t>Caelyx</w:t>
      </w:r>
      <w:proofErr w:type="spellEnd"/>
      <w:r>
        <w:rPr>
          <w:rFonts w:ascii="標楷體" w:eastAsia="標楷體" w:hAnsi="標楷體"/>
          <w:color w:val="000000"/>
        </w:rPr>
        <w:t>)：(91/3/1、93/8/1、93/11/1、99/10/1)</w:t>
      </w:r>
    </w:p>
    <w:p w14:paraId="7E7A5E5D"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14:paraId="37830A3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14:paraId="392C1109" w14:textId="77777777"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Kaposi’s Sarcoma的病人。(91/3/1)</w:t>
      </w:r>
    </w:p>
    <w:p w14:paraId="6A96686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14:paraId="2730F57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9.15.Tretinoin（如</w:t>
      </w:r>
      <w:proofErr w:type="spellStart"/>
      <w:r>
        <w:rPr>
          <w:rFonts w:ascii="標楷體" w:eastAsia="標楷體" w:hAnsi="標楷體"/>
          <w:color w:val="000000"/>
        </w:rPr>
        <w:t>Vesanoid</w:t>
      </w:r>
      <w:proofErr w:type="spellEnd"/>
      <w:r>
        <w:rPr>
          <w:rFonts w:ascii="標楷體" w:eastAsia="標楷體" w:hAnsi="標楷體"/>
          <w:color w:val="000000"/>
        </w:rPr>
        <w:t xml:space="preserve"> Soft Gelatin）：（88/10/1）</w:t>
      </w:r>
    </w:p>
    <w:p w14:paraId="1C4698B9"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限急性前髓性白血病使用。</w:t>
      </w:r>
    </w:p>
    <w:p w14:paraId="5B5DC2A7"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w:t>
      </w:r>
      <w:proofErr w:type="spellStart"/>
      <w:r>
        <w:rPr>
          <w:rFonts w:ascii="標楷體" w:eastAsia="標楷體" w:hAnsi="標楷體"/>
          <w:color w:val="000000"/>
        </w:rPr>
        <w:t>Hycamtin</w:t>
      </w:r>
      <w:proofErr w:type="spellEnd"/>
      <w:r>
        <w:rPr>
          <w:rFonts w:ascii="標楷體" w:eastAsia="標楷體" w:hAnsi="標楷體"/>
          <w:color w:val="000000"/>
        </w:rPr>
        <w:t>）：（88/10/1、93/8/1、98/11/1、100/6/1）</w:t>
      </w:r>
    </w:p>
    <w:p w14:paraId="37016B8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14:paraId="4C86818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14:paraId="5F247C2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2.與cisplatin併用適用於治療經組織學檢查確定患有第IV-B期復發性或持續性子宮頸癌，且不適合以外科手術及（或）放射療法進行治療的患者。（98/11/1）</w:t>
      </w:r>
    </w:p>
    <w:p w14:paraId="15BAAE2C"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14:paraId="35B8799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14:paraId="011D8B1F" w14:textId="77777777" w:rsidR="00B96EA0" w:rsidRDefault="00167FEB" w:rsidP="005142EB">
      <w:pPr>
        <w:spacing w:line="400" w:lineRule="exact"/>
        <w:ind w:left="567" w:hanging="283"/>
        <w:rPr>
          <w:rFonts w:ascii="標楷體" w:eastAsia="標楷體" w:hAnsi="標楷體"/>
          <w:color w:val="000000"/>
        </w:rPr>
      </w:pPr>
      <w:r w:rsidRPr="003C5F9F">
        <w:rPr>
          <w:rFonts w:ascii="標楷體" w:eastAsia="標楷體" w:hAnsi="標楷體"/>
          <w:color w:val="000000"/>
          <w:szCs w:val="24"/>
        </w:rPr>
        <w:t>9.17.Capecitabine（如Xeloda）：（88/10/1、91/4/1、92/6/1、93/8/1、96/9/1、97/12/1、110/2/1、113/4/1、113/6/1</w:t>
      </w:r>
      <w:r w:rsidRPr="00167FEB">
        <w:rPr>
          <w:rFonts w:ascii="標楷體" w:eastAsia="標楷體" w:hAnsi="標楷體" w:hint="eastAsia"/>
          <w:szCs w:val="24"/>
        </w:rPr>
        <w:t>、115/2/1</w:t>
      </w:r>
      <w:r w:rsidRPr="003C5F9F">
        <w:rPr>
          <w:rFonts w:ascii="標楷體" w:eastAsia="標楷體" w:hAnsi="標楷體"/>
          <w:color w:val="000000"/>
          <w:szCs w:val="24"/>
        </w:rPr>
        <w:t>）</w:t>
      </w:r>
    </w:p>
    <w:p w14:paraId="656EE200" w14:textId="77777777" w:rsidR="00167FEB" w:rsidRPr="00167FEB" w:rsidRDefault="00167FEB" w:rsidP="00167FEB">
      <w:pPr>
        <w:spacing w:line="400" w:lineRule="exact"/>
        <w:ind w:left="811" w:hanging="245"/>
        <w:rPr>
          <w:rFonts w:ascii="標楷體" w:eastAsia="標楷體" w:hAnsi="標楷體"/>
          <w:color w:val="000000"/>
        </w:rPr>
      </w:pPr>
      <w:bookmarkStart w:id="11" w:name="_Hlk219901609"/>
      <w:r w:rsidRPr="00167FEB">
        <w:rPr>
          <w:rFonts w:ascii="標楷體" w:eastAsia="標楷體" w:hAnsi="標楷體"/>
          <w:color w:val="000000"/>
        </w:rPr>
        <w:t>1.Capecitabine與docetaxel併用於治療對anthracycline化學治療無效之局部晚期或轉移性乳癌病患。</w:t>
      </w:r>
    </w:p>
    <w:p w14:paraId="69E10D9D"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2.用於局部晚期或轉移性乳癌，需符合下列條件之一：(110/2/1)</w:t>
      </w:r>
    </w:p>
    <w:p w14:paraId="79D42FC0"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(1)Capecitabine單獨用於無法接受anthracycline治療者。</w:t>
      </w:r>
    </w:p>
    <w:p w14:paraId="5C38D248"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(2)Capecitabine合併ixabepilone用於對</w:t>
      </w:r>
      <w:proofErr w:type="spellStart"/>
      <w:r w:rsidRPr="00167FEB">
        <w:rPr>
          <w:rFonts w:ascii="標楷體" w:eastAsia="標楷體" w:hAnsi="標楷體"/>
          <w:color w:val="000000"/>
        </w:rPr>
        <w:t>taxane</w:t>
      </w:r>
      <w:proofErr w:type="spellEnd"/>
      <w:r w:rsidRPr="00167FEB">
        <w:rPr>
          <w:rFonts w:ascii="標楷體" w:eastAsia="標楷體" w:hAnsi="標楷體"/>
          <w:color w:val="000000"/>
        </w:rPr>
        <w:t>有抗藥性且無法接受anthracycline治療者。</w:t>
      </w:r>
    </w:p>
    <w:p w14:paraId="0AE805FA"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(3)Capecitabine單獨或合併ixabepilone用於對</w:t>
      </w:r>
      <w:proofErr w:type="spellStart"/>
      <w:r w:rsidRPr="00167FEB">
        <w:rPr>
          <w:rFonts w:ascii="標楷體" w:eastAsia="標楷體" w:hAnsi="標楷體"/>
          <w:color w:val="000000"/>
        </w:rPr>
        <w:t>taxane</w:t>
      </w:r>
      <w:proofErr w:type="spellEnd"/>
      <w:r w:rsidRPr="00167FEB">
        <w:rPr>
          <w:rFonts w:ascii="標楷體" w:eastAsia="標楷體" w:hAnsi="標楷體"/>
          <w:color w:val="000000"/>
        </w:rPr>
        <w:t>及anthracycline治療無效</w:t>
      </w:r>
      <w:r w:rsidRPr="00167FEB">
        <w:rPr>
          <w:rFonts w:ascii="標楷體" w:eastAsia="標楷體" w:hAnsi="標楷體"/>
          <w:color w:val="000000"/>
        </w:rPr>
        <w:lastRenderedPageBreak/>
        <w:t>者。</w:t>
      </w:r>
    </w:p>
    <w:p w14:paraId="0239F7EE"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3.治療轉移性結腸直腸癌的第一線用藥。(92/6/1)</w:t>
      </w:r>
    </w:p>
    <w:p w14:paraId="04E90A1B"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4.第三期結腸癌患者手術後的輔助性療法，以八個療程為限。（96/9/1）</w:t>
      </w:r>
    </w:p>
    <w:p w14:paraId="7B355A77"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5.Capecitabine合併platinum可使用於晚期胃癌之第一線治療。(97/12/1)</w:t>
      </w:r>
    </w:p>
    <w:p w14:paraId="48DC81F4" w14:textId="77777777" w:rsidR="00B96EA0" w:rsidRDefault="00167FEB" w:rsidP="00167FEB">
      <w:pPr>
        <w:spacing w:line="400" w:lineRule="exact"/>
        <w:ind w:left="811" w:hanging="245"/>
      </w:pPr>
      <w:r w:rsidRPr="00167FEB">
        <w:rPr>
          <w:rFonts w:ascii="標楷體" w:eastAsia="標楷體" w:hAnsi="標楷體"/>
          <w:color w:val="000000"/>
        </w:rPr>
        <w:t>6.與nivolumab及oxaliplatin併用於第一線治療晚期或轉移性且不具有HER2過度表現的胃癌病人，病人需符合免疫檢查點抑制劑之藥品給付規定。(113/4/1、113/6/1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bookmarkEnd w:id="11"/>
    </w:p>
    <w:p w14:paraId="4E724C93" w14:textId="77777777" w:rsidR="00926D01" w:rsidRDefault="007D66B8" w:rsidP="00926D01">
      <w:pPr>
        <w:spacing w:line="400" w:lineRule="exact"/>
        <w:ind w:left="672" w:hanging="386"/>
        <w:rPr>
          <w:rFonts w:ascii="標楷體" w:eastAsia="標楷體" w:hAnsi="標楷體"/>
          <w:color w:val="000000"/>
        </w:rPr>
      </w:pPr>
      <w:r>
        <w:rPr>
          <w:rFonts w:ascii="標楷體" w:eastAsia="標楷體" w:hAnsi="標楷體"/>
          <w:color w:val="000000"/>
        </w:rPr>
        <w:t>9.18.</w:t>
      </w:r>
      <w:r w:rsidR="00926D01" w:rsidRPr="00926D01">
        <w:rPr>
          <w:rFonts w:ascii="標楷體" w:eastAsia="標楷體" w:hAnsi="標楷體"/>
          <w:color w:val="000000"/>
        </w:rPr>
        <w:t xml:space="preserve"> </w:t>
      </w:r>
      <w:r w:rsidR="00926D01">
        <w:rPr>
          <w:rFonts w:ascii="標楷體" w:eastAsia="標楷體" w:hAnsi="標楷體"/>
          <w:color w:val="000000"/>
        </w:rPr>
        <w:t>Trastuzumab (如Herceptin)：(91/4/1、93/8/1、95/2/1、99/1/1、99/8/1、99/10/1、101/1/1、105/11/1、108/5/1、109/2/1、111/12/1、112/10/1、113/8/1、113/12/1、114/1/1、114/5/1</w:t>
      </w:r>
      <w:r w:rsidR="00926D01" w:rsidRPr="00EF2A43">
        <w:rPr>
          <w:rFonts w:ascii="標楷體" w:eastAsia="標楷體" w:hAnsi="標楷體"/>
          <w:color w:val="000000"/>
        </w:rPr>
        <w:t>、114/12/1</w:t>
      </w:r>
      <w:r w:rsidR="00926D01">
        <w:rPr>
          <w:rFonts w:ascii="標楷體" w:eastAsia="標楷體" w:hAnsi="標楷體"/>
          <w:color w:val="000000"/>
        </w:rPr>
        <w:t>)</w:t>
      </w:r>
    </w:p>
    <w:p w14:paraId="11F08290" w14:textId="77777777"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1.早期乳癌(99/1/1、99/8/1、99/10/1、101/1/1、111/12/1、112/10/1、113/8/1、113/12/1、114/1/1</w:t>
      </w:r>
      <w:r w:rsidRPr="00EF2A43">
        <w:rPr>
          <w:rFonts w:ascii="標楷體" w:eastAsia="標楷體" w:hAnsi="標楷體"/>
          <w:color w:val="000000"/>
        </w:rPr>
        <w:t>、114/12/1</w:t>
      </w:r>
      <w:r>
        <w:rPr>
          <w:rFonts w:ascii="標楷體" w:eastAsia="標楷體" w:hAnsi="標楷體"/>
          <w:color w:val="000000"/>
        </w:rPr>
        <w:t>)</w:t>
      </w:r>
    </w:p>
    <w:p w14:paraId="52CD9C03" w14:textId="77777777"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外科手術前後、化學療法(術前輔助治療或輔助治療)治療後，具HER2過度表現(IHC3+或FISH+)，且具腋下淋巴結轉移但無遠處臟器轉移之早期乳癌患者，作為輔助性治療用藥：(99/8/1、99/10/1、101/1/1、111/12/1、112/10/1、113/8/1、113/12/1、114/1/1</w:t>
      </w:r>
      <w:r w:rsidRPr="00EF2A43">
        <w:rPr>
          <w:rFonts w:ascii="標楷體" w:eastAsia="標楷體" w:hAnsi="標楷體"/>
          <w:color w:val="000000"/>
        </w:rPr>
        <w:t>、114/12/1</w:t>
      </w:r>
      <w:r>
        <w:rPr>
          <w:rFonts w:ascii="標楷體" w:eastAsia="標楷體" w:hAnsi="標楷體"/>
          <w:color w:val="000000"/>
        </w:rPr>
        <w:t>)。</w:t>
      </w:r>
    </w:p>
    <w:p w14:paraId="34E706CB"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I.外科手術後達病理上緩解(</w:t>
      </w:r>
      <w:proofErr w:type="spellStart"/>
      <w:r>
        <w:rPr>
          <w:rFonts w:ascii="標楷體" w:eastAsia="標楷體" w:hAnsi="標楷體"/>
          <w:color w:val="000000"/>
        </w:rPr>
        <w:t>pCR</w:t>
      </w:r>
      <w:proofErr w:type="spellEnd"/>
      <w:r>
        <w:rPr>
          <w:rFonts w:ascii="標楷體" w:eastAsia="標楷體" w:hAnsi="標楷體"/>
          <w:color w:val="000000"/>
        </w:rPr>
        <w:t>)，下列</w:t>
      </w:r>
      <w:proofErr w:type="spellStart"/>
      <w:r>
        <w:rPr>
          <w:rFonts w:ascii="標楷體" w:eastAsia="標楷體" w:hAnsi="標楷體"/>
          <w:color w:val="000000"/>
        </w:rPr>
        <w:t>i</w:t>
      </w:r>
      <w:proofErr w:type="spellEnd"/>
      <w:r>
        <w:rPr>
          <w:rFonts w:ascii="標楷體" w:eastAsia="標楷體" w:hAnsi="標楷體"/>
          <w:color w:val="000000"/>
        </w:rPr>
        <w:t>.~iii.使用於外科手術前後之總療程合併計算，依藥品仿單記載以18個療程為上限：(113/8/1、113/12/1、114/1/1</w:t>
      </w:r>
      <w:r w:rsidRPr="00EF2A43">
        <w:rPr>
          <w:rFonts w:ascii="標楷體" w:eastAsia="標楷體" w:hAnsi="標楷體"/>
          <w:color w:val="000000"/>
        </w:rPr>
        <w:t>、114/12/1</w:t>
      </w:r>
      <w:r>
        <w:rPr>
          <w:rFonts w:ascii="標楷體" w:eastAsia="標楷體" w:hAnsi="標楷體"/>
          <w:color w:val="000000"/>
        </w:rPr>
        <w:t>)</w:t>
      </w:r>
    </w:p>
    <w:p w14:paraId="1DFC5C36" w14:textId="77777777" w:rsidR="00926D01" w:rsidRDefault="00926D01" w:rsidP="00926D01">
      <w:pPr>
        <w:spacing w:line="400" w:lineRule="exact"/>
        <w:ind w:left="1441" w:hanging="42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.本藥品</w:t>
      </w:r>
    </w:p>
    <w:p w14:paraId="756A3B83" w14:textId="77777777" w:rsidR="00926D01" w:rsidRDefault="00926D01" w:rsidP="00926D01">
      <w:pPr>
        <w:spacing w:line="400" w:lineRule="exact"/>
        <w:ind w:left="1441" w:hanging="420"/>
        <w:rPr>
          <w:rFonts w:ascii="標楷體" w:eastAsia="標楷體" w:hAnsi="標楷體"/>
          <w:color w:val="000000"/>
        </w:rPr>
      </w:pPr>
      <w:proofErr w:type="spellStart"/>
      <w:r>
        <w:rPr>
          <w:rFonts w:ascii="標楷體" w:eastAsia="標楷體" w:hAnsi="標楷體"/>
          <w:color w:val="000000"/>
        </w:rPr>
        <w:t>ii.pertuzumab</w:t>
      </w:r>
      <w:proofErr w:type="spellEnd"/>
      <w:r>
        <w:rPr>
          <w:rFonts w:ascii="標楷體" w:eastAsia="標楷體" w:hAnsi="標楷體"/>
          <w:color w:val="000000"/>
        </w:rPr>
        <w:t>與trastuzumab併用</w:t>
      </w:r>
    </w:p>
    <w:p w14:paraId="0779FDC4" w14:textId="77777777" w:rsidR="00926D01" w:rsidRDefault="00926D01" w:rsidP="00926D01">
      <w:pPr>
        <w:spacing w:line="400" w:lineRule="exact"/>
        <w:ind w:left="1441" w:hanging="420"/>
        <w:rPr>
          <w:rFonts w:ascii="標楷體" w:eastAsia="標楷體" w:hAnsi="標楷體"/>
          <w:color w:val="000000"/>
        </w:rPr>
      </w:pPr>
      <w:proofErr w:type="spellStart"/>
      <w:r>
        <w:rPr>
          <w:rFonts w:ascii="標楷體" w:eastAsia="標楷體" w:hAnsi="標楷體"/>
          <w:color w:val="000000"/>
        </w:rPr>
        <w:t>iii.pertuzumab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6E08EE57"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Ⅱ.若外科手術後無法達病理上緩解(non-</w:t>
      </w:r>
      <w:proofErr w:type="spellStart"/>
      <w:r>
        <w:rPr>
          <w:rFonts w:ascii="標楷體" w:eastAsia="標楷體" w:hAnsi="標楷體"/>
          <w:color w:val="000000"/>
        </w:rPr>
        <w:t>pCR</w:t>
      </w:r>
      <w:proofErr w:type="spellEnd"/>
      <w:r>
        <w:rPr>
          <w:rFonts w:ascii="標楷體" w:eastAsia="標楷體" w:hAnsi="標楷體"/>
          <w:color w:val="000000"/>
        </w:rPr>
        <w:t>)，本藥品與trastuzumab emtansine使用於外科手術前後的總療程合併計算，依藥品仿單記載以全部18個療程為上限，其中trastuzumab emtansine以14個療程為上限。(113/8/1、113/12/1)</w:t>
      </w:r>
    </w:p>
    <w:p w14:paraId="67AC6AE7" w14:textId="77777777" w:rsidR="00926D01" w:rsidRPr="00EF2A43"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(2)外科手術前後、化學療法(術前輔助治療或輔助治療)治療後，符合下列所有條件之早期乳癌患者：(111/12/1、112/10/1、113/8/1、113/12/1、114/1/1</w:t>
      </w:r>
      <w:r w:rsidRPr="00EF2A43">
        <w:rPr>
          <w:rFonts w:ascii="標楷體" w:eastAsia="標楷體" w:hAnsi="標楷體"/>
          <w:color w:val="000000"/>
        </w:rPr>
        <w:t>、114/12/1</w:t>
      </w:r>
      <w:r>
        <w:rPr>
          <w:rFonts w:ascii="標楷體" w:eastAsia="標楷體" w:hAnsi="標楷體"/>
          <w:color w:val="000000"/>
        </w:rPr>
        <w:t>)</w:t>
      </w:r>
    </w:p>
    <w:p w14:paraId="5C8DFDF4"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Ⅰ.HER2過度表現(IHC 3+或FISH+)。</w:t>
      </w:r>
    </w:p>
    <w:p w14:paraId="4E5451E8"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Ⅱ.雌激素受體（ER)為陰性。</w:t>
      </w:r>
    </w:p>
    <w:p w14:paraId="13D70A13"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Ⅲ.腫瘤大於2公分。須經乳房超音波或乳房X光攝影或核磁共振診斷。</w:t>
      </w:r>
    </w:p>
    <w:p w14:paraId="3BAA37BF"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Ⅳ.且未發生腋下淋巴結轉移之早期乳癌患者，作為輔助性治療用藥。</w:t>
      </w:r>
    </w:p>
    <w:p w14:paraId="0C2960BF" w14:textId="77777777"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Ⅴ.依下列條件之一使用(113/8/1)：</w:t>
      </w:r>
    </w:p>
    <w:p w14:paraId="2A71485E" w14:textId="77777777" w:rsidR="00926D01" w:rsidRDefault="00926D01" w:rsidP="00926D01">
      <w:pPr>
        <w:spacing w:line="400" w:lineRule="exact"/>
        <w:ind w:left="1441" w:hanging="42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.外科手術後達病理上緩解(</w:t>
      </w:r>
      <w:proofErr w:type="spellStart"/>
      <w:r>
        <w:rPr>
          <w:rFonts w:ascii="標楷體" w:eastAsia="標楷體" w:hAnsi="標楷體"/>
          <w:color w:val="000000"/>
        </w:rPr>
        <w:t>pCR</w:t>
      </w:r>
      <w:proofErr w:type="spellEnd"/>
      <w:r>
        <w:rPr>
          <w:rFonts w:ascii="標楷體" w:eastAsia="標楷體" w:hAnsi="標楷體"/>
          <w:color w:val="000000"/>
        </w:rPr>
        <w:t>)，本藥品使用於外科手術前後以9個療程為上限。</w:t>
      </w:r>
    </w:p>
    <w:p w14:paraId="56F214D7" w14:textId="77777777"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ii.若外科手術後無法達病理上緩解(non-</w:t>
      </w:r>
      <w:proofErr w:type="spellStart"/>
      <w:r>
        <w:rPr>
          <w:rFonts w:ascii="標楷體" w:eastAsia="標楷體" w:hAnsi="標楷體"/>
          <w:color w:val="000000"/>
        </w:rPr>
        <w:t>pCR</w:t>
      </w:r>
      <w:proofErr w:type="spellEnd"/>
      <w:r>
        <w:rPr>
          <w:rFonts w:ascii="標楷體" w:eastAsia="標楷體" w:hAnsi="標楷體"/>
          <w:color w:val="000000"/>
        </w:rPr>
        <w:t>)，本藥品與trastuzumab emtansine</w:t>
      </w:r>
      <w:r>
        <w:rPr>
          <w:rFonts w:ascii="標楷體" w:eastAsia="標楷體" w:hAnsi="標楷體"/>
          <w:color w:val="000000"/>
        </w:rPr>
        <w:lastRenderedPageBreak/>
        <w:t>使用於外科手術前後的總療程合併計算，以全部18個療程為上限，其中trastuzumab emtansine以14個療程為上限。</w:t>
      </w:r>
    </w:p>
    <w:p w14:paraId="20165C04" w14:textId="77777777"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2.轉移性乳癌</w:t>
      </w:r>
    </w:p>
    <w:p w14:paraId="14D4CC1D" w14:textId="77777777"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(1)單獨使用於治療腫瘤細胞上有HER2過度表現(IHC3+或FISH+)，曾接受過一次以上化學治療之轉移性乳癌病人。(91/4/1、99/1/1)</w:t>
      </w:r>
    </w:p>
    <w:p w14:paraId="42A73307" w14:textId="77777777"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(2)與paclitaxel或docetaxel併用，使用於未曾接受過化學治療之轉移性乳癌病患，且為HER2過度表現(IHC3+或FISH+)者。(93/8/1、95/2/1、99/1/1)</w:t>
      </w:r>
    </w:p>
    <w:p w14:paraId="235D59C1" w14:textId="77777777"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(3)轉移性乳癌且HER2過度表現之病人，僅限先前未使用過本藥品者方可使用。(99/1/1、108/5/1、113/12/1)</w:t>
      </w:r>
    </w:p>
    <w:p w14:paraId="4F48FC28" w14:textId="77777777"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(4)若先前使用過docetaxel及</w:t>
      </w:r>
      <w:proofErr w:type="spellStart"/>
      <w:r>
        <w:rPr>
          <w:rFonts w:ascii="標楷體" w:eastAsia="標楷體" w:hAnsi="標楷體"/>
          <w:color w:val="000000"/>
        </w:rPr>
        <w:t>pertuzumab</w:t>
      </w:r>
      <w:proofErr w:type="spellEnd"/>
      <w:r>
        <w:rPr>
          <w:rFonts w:ascii="標楷體" w:eastAsia="標楷體" w:hAnsi="標楷體"/>
          <w:color w:val="000000"/>
        </w:rPr>
        <w:t>與trastuzumab併用或docetaxel及</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)併用達18個月上限仍未惡化者，得再次申請本藥品。(108/5/1、113/12/1)</w:t>
      </w:r>
    </w:p>
    <w:p w14:paraId="3DFE6977" w14:textId="77777777"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3.轉移性胃癌(限IV 劑型)</w:t>
      </w:r>
    </w:p>
    <w:p w14:paraId="6420D963" w14:textId="77777777"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  Trastuzumab合併capecitabine (或5-fluorouracil)及cisplatin適用於未曾接受過化學治療之HER2過度表現(IHC3+或FISH+)轉移性胃腺癌(或胃食道接合處腺癌)的治療。(109/2/1)</w:t>
      </w:r>
    </w:p>
    <w:p w14:paraId="5B409F07" w14:textId="77777777" w:rsidR="00B96EA0" w:rsidRDefault="00926D01" w:rsidP="00926D01">
      <w:pPr>
        <w:spacing w:line="400" w:lineRule="exact"/>
        <w:ind w:left="993" w:hanging="386"/>
        <w:rPr>
          <w:rFonts w:ascii="標楷體" w:eastAsia="標楷體" w:hAnsi="標楷體"/>
          <w:color w:val="000000"/>
        </w:rPr>
      </w:pPr>
      <w:r>
        <w:rPr>
          <w:rFonts w:ascii="標楷體" w:eastAsia="標楷體" w:hAnsi="標楷體"/>
          <w:color w:val="000000"/>
        </w:rPr>
        <w:t>4.經事前審查核准後使用，核准後早期乳癌</w:t>
      </w:r>
      <w:r w:rsidR="002A2E0D" w:rsidRPr="002A2E0D">
        <w:rPr>
          <w:rFonts w:ascii="標楷體" w:eastAsia="標楷體" w:hAnsi="標楷體" w:hint="eastAsia"/>
          <w:color w:val="000000"/>
        </w:rPr>
        <w:t>及轉移性胃癌</w:t>
      </w:r>
      <w:r>
        <w:rPr>
          <w:rFonts w:ascii="標楷體" w:eastAsia="標楷體" w:hAnsi="標楷體"/>
          <w:color w:val="000000"/>
        </w:rPr>
        <w:t>每24週、晚期乳癌每18週須檢附療效評估資料再次申請，若疾病有惡化情形即不應再行申請。（105/11/1、114/5/1）</w:t>
      </w:r>
    </w:p>
    <w:p w14:paraId="5921B73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9.19.Estramustine sod. phosphate monohydrate(如</w:t>
      </w:r>
      <w:proofErr w:type="spellStart"/>
      <w:r>
        <w:rPr>
          <w:rFonts w:ascii="標楷體" w:eastAsia="標楷體" w:hAnsi="標楷體"/>
          <w:color w:val="000000"/>
        </w:rPr>
        <w:t>Estracyt</w:t>
      </w:r>
      <w:proofErr w:type="spellEnd"/>
      <w:r>
        <w:rPr>
          <w:rFonts w:ascii="標楷體" w:eastAsia="標楷體" w:hAnsi="標楷體"/>
          <w:color w:val="000000"/>
        </w:rPr>
        <w:t>)：(91/4/1)</w:t>
      </w:r>
    </w:p>
    <w:p w14:paraId="7D7FAE5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限晚期前列腺癌病患且符合下列條件之一者使用：</w:t>
      </w:r>
    </w:p>
    <w:p w14:paraId="26506A98"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14:paraId="7616102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14:paraId="29573B8C" w14:textId="77777777" w:rsidR="00064489" w:rsidRDefault="00064489" w:rsidP="00064489">
      <w:pPr>
        <w:spacing w:line="400" w:lineRule="exact"/>
        <w:ind w:left="672" w:hanging="386"/>
        <w:rPr>
          <w:rFonts w:ascii="標楷體" w:eastAsia="標楷體" w:hAnsi="標楷體"/>
          <w:color w:val="000000"/>
        </w:rPr>
      </w:pPr>
      <w:bookmarkStart w:id="12" w:name="_Hlk230360559"/>
      <w:r>
        <w:rPr>
          <w:rFonts w:ascii="標楷體" w:eastAsia="標楷體" w:hAnsi="標楷體"/>
          <w:color w:val="000000"/>
        </w:rPr>
        <w:t>9.20.Rituximab注射劑(如</w:t>
      </w:r>
      <w:proofErr w:type="spellStart"/>
      <w:r>
        <w:rPr>
          <w:rFonts w:ascii="標楷體" w:eastAsia="標楷體" w:hAnsi="標楷體"/>
          <w:color w:val="000000"/>
        </w:rPr>
        <w:t>Mabthera</w:t>
      </w:r>
      <w:proofErr w:type="spellEnd"/>
      <w:r>
        <w:rPr>
          <w:rFonts w:ascii="標楷體" w:eastAsia="標楷體" w:hAnsi="標楷體"/>
          <w:color w:val="000000"/>
        </w:rPr>
        <w:t>，不同劑型之適用範圍需符合藥品許可證登載之適應症)：用於抗癌瘤部分(91/4/1、93/1/1、95/3/1、97/2/1、102/1/1、103/2/1、103/9/1、104/6/1、106/9/1、111/6/1、113/2/1、113/12/1、115</w:t>
      </w:r>
      <w:r w:rsidRPr="00064489">
        <w:rPr>
          <w:rFonts w:ascii="標楷體" w:eastAsia="標楷體" w:hAnsi="標楷體"/>
        </w:rPr>
        <w:t>/5/1</w:t>
      </w:r>
      <w:r w:rsidRPr="00064489">
        <w:rPr>
          <w:rFonts w:eastAsia="標楷體"/>
          <w:szCs w:val="24"/>
        </w:rPr>
        <w:t>、</w:t>
      </w:r>
      <w:r w:rsidRPr="00064489">
        <w:rPr>
          <w:rFonts w:ascii="標楷體" w:eastAsia="標楷體" w:hAnsi="標楷體"/>
          <w:szCs w:val="24"/>
        </w:rPr>
        <w:t>115/6/1</w:t>
      </w:r>
      <w:r>
        <w:rPr>
          <w:rFonts w:ascii="標楷體" w:eastAsia="標楷體" w:hAnsi="標楷體"/>
          <w:color w:val="000000"/>
        </w:rPr>
        <w:t>)</w:t>
      </w:r>
    </w:p>
    <w:p w14:paraId="12942AFA"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1.復發或對化學療效有抗性之低惡度B細胞非何杰金氏淋巴瘤。（91/4/1）</w:t>
      </w:r>
    </w:p>
    <w:p w14:paraId="59416660" w14:textId="77777777" w:rsidR="00064489" w:rsidRDefault="00064489" w:rsidP="00064489">
      <w:pPr>
        <w:spacing w:line="400" w:lineRule="exact"/>
        <w:ind w:left="991" w:hanging="386"/>
      </w:pPr>
      <w:r>
        <w:rPr>
          <w:rFonts w:ascii="標楷體" w:eastAsia="標楷體" w:hAnsi="標楷體"/>
          <w:color w:val="000000"/>
        </w:rPr>
        <w:t>2.併用</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或</w:t>
      </w:r>
      <w:r>
        <w:rPr>
          <w:rFonts w:ascii="標楷體" w:eastAsia="標楷體" w:hAnsi="標楷體"/>
          <w:color w:val="000000"/>
        </w:rPr>
        <w:t>CHOP或其他化學療法，用於CD20抗原陽性之B瀰漫性大細胞非何杰金氏淋巴瘤之病患。(93/1/1、95/3/1、113/2/1)</w:t>
      </w:r>
    </w:p>
    <w:p w14:paraId="3D015B80"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3.併用CVP化學療法，用於未經治療之和緩性（組織型態為濾泡型）B細胞非何杰金氏淋巴瘤的病人。(95/3/1)</w:t>
      </w:r>
    </w:p>
    <w:p w14:paraId="7820032E"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4.作為濾泡性淋巴瘤患者於接受含rituximab誘導化學治療後產生反應(達partial remission或complete remission)之病患，若在接受含rituximab誘導化學治療前有下列情形之一者，得接受rituximab維持治療，限用八劑，每三個月使用一劑，最多不超過二年。(97/2/1、104/6/1)</w:t>
      </w:r>
    </w:p>
    <w:p w14:paraId="7F26F910"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14:paraId="152DD6AC"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lastRenderedPageBreak/>
        <w:t>(2)有超過三顆腫瘤直徑超過3公分者；</w:t>
      </w:r>
    </w:p>
    <w:p w14:paraId="1A9141B4"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14:paraId="5192593A"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(4)對</w:t>
      </w:r>
      <w:proofErr w:type="spellStart"/>
      <w:r>
        <w:rPr>
          <w:rFonts w:ascii="標楷體" w:eastAsia="標楷體" w:hAnsi="標楷體"/>
          <w:color w:val="000000"/>
        </w:rPr>
        <w:t>vitalorgans</w:t>
      </w:r>
      <w:proofErr w:type="spellEnd"/>
      <w:r>
        <w:rPr>
          <w:rFonts w:ascii="標楷體" w:eastAsia="標楷體" w:hAnsi="標楷體"/>
          <w:color w:val="000000"/>
        </w:rPr>
        <w:t>造成擠壓者；</w:t>
      </w:r>
    </w:p>
    <w:p w14:paraId="7675E0CE"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14:paraId="233E3DC4"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14:paraId="25D456A8"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14:paraId="5E0D2553"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 xml:space="preserve">(1)Rai Stage Ⅲ/Ⅳ(或Binet C級)之CLL病人。若用於Rai </w:t>
      </w:r>
      <w:proofErr w:type="spellStart"/>
      <w:r>
        <w:rPr>
          <w:rFonts w:ascii="標楷體" w:eastAsia="標楷體" w:hAnsi="標楷體"/>
          <w:color w:val="000000"/>
        </w:rPr>
        <w:t>StageⅠ</w:t>
      </w:r>
      <w:proofErr w:type="spellEnd"/>
      <w:r>
        <w:rPr>
          <w:rFonts w:ascii="標楷體" w:eastAsia="標楷體" w:hAnsi="標楷體"/>
          <w:color w:val="000000"/>
        </w:rPr>
        <w:t>/Ⅱ(或Binet A/B級)併有疾病相關免疫性症候(如自體免疫性溶血、免疫性血小板低下紫瘢症等)的病人時，需經過至少一種標準的烷化基劑治療無效或病情惡化者，且CD20陽性細胞須大於50%。（</w:t>
      </w:r>
      <w:proofErr w:type="spellStart"/>
      <w:r>
        <w:rPr>
          <w:rFonts w:ascii="標楷體" w:eastAsia="標楷體" w:hAnsi="標楷體"/>
          <w:color w:val="000000"/>
        </w:rPr>
        <w:t>Rixathon</w:t>
      </w:r>
      <w:proofErr w:type="spellEnd"/>
      <w:r>
        <w:rPr>
          <w:rFonts w:ascii="標楷體" w:eastAsia="標楷體" w:hAnsi="標楷體"/>
          <w:color w:val="000000"/>
        </w:rPr>
        <w:t>不受「需經過一種標準的烷化基劑治療無效或病情惡化，且CD20陽性細胞須大於50%」限制，僅須符合具CD20陽性細胞即可使用，做為第一線用藥需與fludarabine及cyclophosphamide併用）(111/6/1)</w:t>
      </w:r>
    </w:p>
    <w:p w14:paraId="395DC721"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(2)與化學療法併用，做為復發或頑固性的CD20陽性慢性淋巴球性白血病病患的治療用藥，且CD20陽性細胞須大於50%。（</w:t>
      </w:r>
      <w:proofErr w:type="spellStart"/>
      <w:r>
        <w:rPr>
          <w:rFonts w:ascii="標楷體" w:eastAsia="標楷體" w:hAnsi="標楷體"/>
          <w:color w:val="000000"/>
        </w:rPr>
        <w:t>Rixathon</w:t>
      </w:r>
      <w:proofErr w:type="spellEnd"/>
      <w:r>
        <w:rPr>
          <w:rFonts w:ascii="標楷體" w:eastAsia="標楷體" w:hAnsi="標楷體"/>
          <w:color w:val="000000"/>
        </w:rPr>
        <w:t>不受「CD20陽性細胞須大於50%」限制，僅須符合具CD20陽性細胞即可使用）(111/6/1)</w:t>
      </w:r>
    </w:p>
    <w:p w14:paraId="5DAD1EFE"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14:paraId="558AE697"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6.與類固醇併用，治療嗜中性白血球細胞質抗體(ANCA)陽性之肉芽腫性血管炎及顯微多發性血管炎病人：(103/9/1)</w:t>
      </w:r>
    </w:p>
    <w:p w14:paraId="4CBD136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14:paraId="0C9E73D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(2)初次發作之肉芽腫性血管炎及顯微多發性血管炎，經cyclophosphamide治療4週以上但療效不佳者。</w:t>
      </w:r>
    </w:p>
    <w:p w14:paraId="35CEF0FF"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(3)復發之肉芽腫性血管炎(GPA，或稱為韋格納肉芽腫症Wegener’s granulomatosis)及顯微多發性血管炎(MPA)，先前曾接受過cyclophosphamide治療者。</w:t>
      </w:r>
    </w:p>
    <w:p w14:paraId="5F004412"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(4)對cyclophosphamide治療無法耐受且有具體事證，或具使用禁忌之肉芽腫性血管炎及顯微多發性血管炎。</w:t>
      </w:r>
    </w:p>
    <w:p w14:paraId="284053C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(5)每次申請，以治療4週之療程為限。復發時可再次申請。</w:t>
      </w:r>
    </w:p>
    <w:p w14:paraId="46DB196A"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註：原發(初次發作)之肉芽腫性血管炎及顯微多發性血管炎，經cyclophosphamide治療4週以上但療效不佳者之定義為：</w:t>
      </w:r>
    </w:p>
    <w:p w14:paraId="5E6AD7B7" w14:textId="77777777" w:rsidR="00064489" w:rsidRDefault="00064489" w:rsidP="00064489">
      <w:pPr>
        <w:spacing w:line="400" w:lineRule="exact"/>
        <w:ind w:left="1130" w:hanging="7"/>
        <w:rPr>
          <w:rFonts w:ascii="標楷體" w:eastAsia="標楷體" w:hAnsi="標楷體"/>
          <w:color w:val="000000"/>
        </w:rPr>
      </w:pPr>
      <w:r>
        <w:rPr>
          <w:rFonts w:ascii="標楷體" w:eastAsia="標楷體" w:hAnsi="標楷體"/>
          <w:color w:val="000000"/>
        </w:rPr>
        <w:t>經cyclophosphamide治療4週以上，但至少有一項受侵犯的主要器官症狀未能改善，包括:</w:t>
      </w:r>
    </w:p>
    <w:p w14:paraId="43E26A03"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A肺部</w:t>
      </w:r>
    </w:p>
    <w:p w14:paraId="6009C975"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B腎臟</w:t>
      </w:r>
    </w:p>
    <w:p w14:paraId="72827B92"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C神經系統</w:t>
      </w:r>
    </w:p>
    <w:p w14:paraId="12CB89BA"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D腸胃道系統</w:t>
      </w:r>
    </w:p>
    <w:p w14:paraId="256F5773"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lastRenderedPageBreak/>
        <w:t>申請時需檢附病歷及病理及影像資料等，經專科醫師事前審查同意後使用。</w:t>
      </w:r>
    </w:p>
    <w:p w14:paraId="3B7A9711"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7.合併</w:t>
      </w:r>
      <w:proofErr w:type="spellStart"/>
      <w:r>
        <w:rPr>
          <w:rFonts w:ascii="標楷體" w:eastAsia="標楷體" w:hAnsi="標楷體"/>
          <w:color w:val="000000"/>
        </w:rPr>
        <w:t>bendamustine</w:t>
      </w:r>
      <w:proofErr w:type="spellEnd"/>
      <w:r>
        <w:rPr>
          <w:rFonts w:ascii="標楷體" w:eastAsia="標楷體" w:hAnsi="標楷體"/>
          <w:color w:val="000000"/>
        </w:rPr>
        <w:t>適用於先前未曾接受治療的CD20陽性、第III/IV期和緩性非何杰金氏淋巴瘤。(113/12/1)</w:t>
      </w:r>
    </w:p>
    <w:p w14:paraId="69023B2B"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8.合併</w:t>
      </w:r>
      <w:proofErr w:type="spellStart"/>
      <w:r>
        <w:rPr>
          <w:rFonts w:ascii="標楷體" w:eastAsia="標楷體" w:hAnsi="標楷體"/>
          <w:color w:val="000000"/>
        </w:rPr>
        <w:t>bendamustine</w:t>
      </w:r>
      <w:proofErr w:type="spellEnd"/>
      <w:r>
        <w:rPr>
          <w:rFonts w:ascii="標楷體" w:eastAsia="標楷體" w:hAnsi="標楷體"/>
          <w:color w:val="000000"/>
        </w:rPr>
        <w:t>用於先前未曾接受治療且不適合自體幹細胞移植的第III/IV期被套細胞淋巴瘤。(113/12/1)</w:t>
      </w:r>
    </w:p>
    <w:p w14:paraId="15A4D237"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9.Rituximab(限使用</w:t>
      </w:r>
      <w:proofErr w:type="spellStart"/>
      <w:r>
        <w:rPr>
          <w:rFonts w:ascii="標楷體" w:eastAsia="標楷體" w:hAnsi="標楷體"/>
          <w:color w:val="000000"/>
        </w:rPr>
        <w:t>Rixathon</w:t>
      </w:r>
      <w:proofErr w:type="spellEnd"/>
      <w:r>
        <w:rPr>
          <w:rFonts w:ascii="標楷體" w:eastAsia="標楷體" w:hAnsi="標楷體"/>
          <w:color w:val="000000"/>
        </w:rPr>
        <w:t>)合併lenalidomide(限使用Revlimid)用於先前曾接受至少一線全身性治療之復發性或難治性濾泡性淋巴瘤成人病人，需符合lenalidomide之藥品給付規定。（115/5/1）</w:t>
      </w:r>
    </w:p>
    <w:p w14:paraId="3D921823" w14:textId="6F21498A" w:rsidR="00B96EA0"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10.</w:t>
      </w:r>
      <w:r w:rsidRPr="00C26499">
        <w:rPr>
          <w:rFonts w:ascii="標楷體" w:eastAsia="標楷體" w:hAnsi="標楷體"/>
          <w:szCs w:val="24"/>
        </w:rPr>
        <w:t>使用於1、4、5、6、7、8及9病人時，需經事前審查核准後使用</w:t>
      </w:r>
      <w:r w:rsidRPr="00064489">
        <w:rPr>
          <w:rFonts w:ascii="標楷體" w:eastAsia="標楷體" w:hAnsi="標楷體"/>
          <w:szCs w:val="24"/>
        </w:rPr>
        <w:t>，使用</w:t>
      </w:r>
      <w:proofErr w:type="spellStart"/>
      <w:r w:rsidRPr="00064489">
        <w:rPr>
          <w:rFonts w:ascii="標楷體" w:eastAsia="標楷體" w:hAnsi="標楷體"/>
          <w:szCs w:val="24"/>
        </w:rPr>
        <w:t>Rixathon</w:t>
      </w:r>
      <w:proofErr w:type="spellEnd"/>
      <w:r w:rsidRPr="00064489">
        <w:rPr>
          <w:rFonts w:ascii="標楷體" w:eastAsia="標楷體" w:hAnsi="標楷體"/>
          <w:szCs w:val="24"/>
        </w:rPr>
        <w:t>用於1、4、5之病人除外。(102/1/1、103/2/1、103/9/1、113/12/1、115/5/1、115/6/1</w:t>
      </w:r>
      <w:r w:rsidRPr="00064489">
        <w:rPr>
          <w:rFonts w:eastAsia="標楷體"/>
          <w:szCs w:val="24"/>
        </w:rPr>
        <w:t>)</w:t>
      </w:r>
      <w:bookmarkEnd w:id="12"/>
    </w:p>
    <w:p w14:paraId="28B4B8A7" w14:textId="77777777" w:rsidR="00B96EA0" w:rsidRDefault="007D66B8" w:rsidP="005142EB">
      <w:pPr>
        <w:spacing w:line="400" w:lineRule="exact"/>
        <w:ind w:left="672" w:hanging="386"/>
      </w:pPr>
      <w:r>
        <w:rPr>
          <w:rFonts w:ascii="標楷體" w:eastAsia="標楷體" w:hAnsi="標楷體"/>
          <w:color w:val="000000"/>
        </w:rPr>
        <w:t>9.21.Fludarabine(如</w:t>
      </w:r>
      <w:proofErr w:type="spellStart"/>
      <w:r>
        <w:rPr>
          <w:rFonts w:ascii="標楷體" w:eastAsia="標楷體" w:hAnsi="標楷體"/>
          <w:color w:val="000000"/>
        </w:rPr>
        <w:t>Fludara</w:t>
      </w:r>
      <w:proofErr w:type="spellEnd"/>
      <w:r>
        <w:rPr>
          <w:rFonts w:ascii="標楷體" w:eastAsia="標楷體" w:hAnsi="標楷體"/>
          <w:color w:val="000000"/>
        </w:rPr>
        <w:t xml:space="preserve"> Oral, Film-Coated Tablet及</w:t>
      </w:r>
      <w:proofErr w:type="spellStart"/>
      <w:r>
        <w:rPr>
          <w:rFonts w:ascii="標楷體" w:eastAsia="標楷體" w:hAnsi="標楷體"/>
          <w:color w:val="000000"/>
        </w:rPr>
        <w:t>Fludara</w:t>
      </w:r>
      <w:proofErr w:type="spellEnd"/>
      <w:r>
        <w:rPr>
          <w:rFonts w:ascii="標楷體" w:eastAsia="標楷體" w:hAnsi="標楷體"/>
          <w:color w:val="000000"/>
        </w:rPr>
        <w:t xml:space="preserve">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14:paraId="381CB28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1.用於B-細胞慢性淋巴性白血病（CLL）病患的起始治療及CLL與低惡性度B細胞非何杰金氏淋巴瘤(Indolent B-Cell NHL)病患，歷經至少一種標準內容的烷化基藥劑（alkylating agent）的治療方法都無效，或治療後雖有效但隨後疾病又繼續惡化的病人。</w:t>
      </w:r>
    </w:p>
    <w:p w14:paraId="3FF92F3F"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2.以本品作為第一線治療，限用於(94/10/1)。</w:t>
      </w:r>
    </w:p>
    <w:p w14:paraId="55964DB1"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A/B級)併有疾病相關免疫性症候(如自體免疫性溶血、免疫性血小板低下紫瘢症等)的病人時，需經過至少一種標準的烷化基劑治療無效或病情惡化者。</w:t>
      </w:r>
    </w:p>
    <w:p w14:paraId="022F55EC"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14:paraId="6CFFF14F" w14:textId="77777777" w:rsidR="00B96EA0" w:rsidRDefault="007D66B8" w:rsidP="005142EB">
      <w:pPr>
        <w:spacing w:line="400" w:lineRule="exact"/>
        <w:ind w:left="672" w:hanging="386"/>
      </w:pPr>
      <w:r>
        <w:rPr>
          <w:rFonts w:ascii="標楷體" w:eastAsia="標楷體" w:hAnsi="標楷體"/>
          <w:color w:val="000000"/>
        </w:rPr>
        <w:t>9.22.Imatinib(如</w:t>
      </w:r>
      <w:proofErr w:type="spellStart"/>
      <w:r>
        <w:rPr>
          <w:rFonts w:ascii="標楷體" w:eastAsia="標楷體" w:hAnsi="標楷體"/>
          <w:color w:val="000000"/>
        </w:rPr>
        <w:t>Glivec</w:t>
      </w:r>
      <w:proofErr w:type="spellEnd"/>
      <w:r>
        <w:rPr>
          <w:rFonts w:ascii="標楷體" w:eastAsia="標楷體" w:hAnsi="標楷體"/>
          <w:color w:val="000000"/>
        </w:rPr>
        <w:t>)：</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t>113/6/1)</w:t>
      </w:r>
      <w:r>
        <w:rPr>
          <w:rFonts w:ascii="標楷體" w:eastAsia="標楷體" w:hAnsi="標楷體"/>
          <w:color w:val="000000"/>
        </w:rPr>
        <w:t>附表九之八</w:t>
      </w:r>
    </w:p>
    <w:p w14:paraId="31D954D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14:paraId="7998B7A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crisis)、加速期或經ALPHA-干擾素治療無效之慢性期的慢性骨髓性白血病(CML)患者使用。</w:t>
      </w:r>
    </w:p>
    <w:p w14:paraId="72CABC6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14:paraId="66AA14A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3.惡性胃腸道基質瘤(GIST)：</w:t>
      </w:r>
    </w:p>
    <w:p w14:paraId="25E834A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(1)治療成年人無法手術切除或轉移的惡性胃腸道基質瘤。</w:t>
      </w:r>
    </w:p>
    <w:p w14:paraId="58388B30" w14:textId="77777777" w:rsidR="00B96EA0" w:rsidRDefault="007D66B8" w:rsidP="005142EB">
      <w:pPr>
        <w:spacing w:line="400" w:lineRule="exact"/>
        <w:ind w:left="1049" w:hanging="341"/>
      </w:pPr>
      <w:r>
        <w:rPr>
          <w:rFonts w:ascii="標楷體" w:eastAsia="標楷體" w:hAnsi="標楷體"/>
          <w:color w:val="000000"/>
        </w:rPr>
        <w:t>(2)作為成人胃腸道基質瘤完全切除後之術後輔助治療，符合下列一項條件可使用3年，須事前審查核准後使用。(100/2/1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14:paraId="0C4083D6"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14:paraId="220E6297"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14:paraId="1CE8F706"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14:paraId="3059758D"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lastRenderedPageBreak/>
        <w:t>D.腫瘤破裂。</w:t>
      </w:r>
    </w:p>
    <w:p w14:paraId="72FF69E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w:t>
      </w:r>
      <w:proofErr w:type="spellStart"/>
      <w:r>
        <w:rPr>
          <w:rFonts w:ascii="標楷體" w:eastAsia="標楷體" w:hAnsi="標楷體"/>
          <w:color w:val="000000"/>
        </w:rPr>
        <w:t>Ph+ALL</w:t>
      </w:r>
      <w:proofErr w:type="spellEnd"/>
      <w:r>
        <w:rPr>
          <w:rFonts w:ascii="標楷體" w:eastAsia="標楷體" w:hAnsi="標楷體"/>
          <w:color w:val="000000"/>
        </w:rPr>
        <w:t>)且併用化療之成年人。(99/6/1)</w:t>
      </w:r>
    </w:p>
    <w:p w14:paraId="4B8FA2C8"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5.未曾使用imatinib治療之成人復發性或難治性費城染色體陽性急性淋巴性白血病(</w:t>
      </w:r>
      <w:proofErr w:type="spellStart"/>
      <w:r>
        <w:rPr>
          <w:rFonts w:ascii="標楷體" w:eastAsia="標楷體" w:hAnsi="標楷體"/>
          <w:color w:val="000000"/>
        </w:rPr>
        <w:t>Ph+ALL</w:t>
      </w:r>
      <w:proofErr w:type="spellEnd"/>
      <w:r>
        <w:rPr>
          <w:rFonts w:ascii="標楷體" w:eastAsia="標楷體" w:hAnsi="標楷體"/>
          <w:color w:val="000000"/>
        </w:rPr>
        <w:t>)之單一療法。(99/6/1)</w:t>
      </w:r>
    </w:p>
    <w:p w14:paraId="6064ABE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14:paraId="112356D9"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(1)治療患有與血小板衍生生長因子受體（PDGFR)基因重組相關之骨髓發育不全症候群(MDS)/骨髓增生性疾病(MPD)之成人。</w:t>
      </w:r>
    </w:p>
    <w:p w14:paraId="13C7707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(2)治療嗜伊紅性白血球增加症候群(HES)與/或慢性嗜伊紅性白血病(CEL)且有血小板衍生生長因子受體(PDGFR)基因重組之成人患者，且存在器官侵犯証據者。</w:t>
      </w:r>
    </w:p>
    <w:p w14:paraId="6532507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7.治療患有無法手術切除、復發性或轉移性且有血小板衍生生長因子受體(PDGFR)基因重組之隆突性皮膚纖維肉瘤(DFSP)之成人患者。(99/6/1)</w:t>
      </w:r>
    </w:p>
    <w:p w14:paraId="5645806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8.1~7項規定內之疾病診斷或追蹤若需依據基因檢測報告，則需符合全民健康保險藥品給付規定之通則十二。(113/6/1)</w:t>
      </w:r>
    </w:p>
    <w:p w14:paraId="435CD35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w:t>
      </w:r>
      <w:proofErr w:type="spellStart"/>
      <w:r>
        <w:rPr>
          <w:rFonts w:ascii="標楷體" w:eastAsia="標楷體" w:hAnsi="標楷體"/>
          <w:color w:val="000000"/>
        </w:rPr>
        <w:t>Asadin</w:t>
      </w:r>
      <w:proofErr w:type="spellEnd"/>
      <w:r>
        <w:rPr>
          <w:rFonts w:ascii="標楷體" w:eastAsia="標楷體" w:hAnsi="標楷體"/>
          <w:color w:val="000000"/>
        </w:rPr>
        <w:t xml:space="preserve"> Inj.)：(91/8/1、92/9/1)</w:t>
      </w:r>
    </w:p>
    <w:p w14:paraId="5B240F69"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14:paraId="11701D71" w14:textId="77777777" w:rsidR="00B96EA0" w:rsidRDefault="007D66B8" w:rsidP="005142EB">
      <w:pPr>
        <w:spacing w:line="400" w:lineRule="exact"/>
        <w:ind w:left="824" w:hanging="567"/>
        <w:rPr>
          <w:rFonts w:ascii="標楷體" w:eastAsia="標楷體" w:hAnsi="標楷體"/>
          <w:color w:val="000000"/>
        </w:rPr>
      </w:pPr>
      <w:r>
        <w:rPr>
          <w:rFonts w:ascii="標楷體" w:eastAsia="標楷體" w:hAnsi="標楷體"/>
          <w:color w:val="000000"/>
        </w:rPr>
        <w:t>9.24.Gefitinib(如</w:t>
      </w:r>
      <w:proofErr w:type="spellStart"/>
      <w:r>
        <w:rPr>
          <w:rFonts w:ascii="標楷體" w:eastAsia="標楷體" w:hAnsi="標楷體"/>
          <w:color w:val="000000"/>
        </w:rPr>
        <w:t>Iressa</w:t>
      </w:r>
      <w:proofErr w:type="spellEnd"/>
      <w:r>
        <w:rPr>
          <w:rFonts w:ascii="標楷體" w:eastAsia="標楷體" w:hAnsi="標楷體"/>
          <w:color w:val="000000"/>
        </w:rPr>
        <w:t>):(93/11/1、96/8/1、96/11/1、100/6/1、101/5/1、101/10/1、103/5/1、106/11/1、 108/6/1、108/11/1、109/4/1、109/6/1、109/10/1、111/2/1、111/4/1、113/3/1、113/6/1、113/10/1)</w:t>
      </w:r>
    </w:p>
    <w:p w14:paraId="152639EA"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1.限單獨使用於</w:t>
      </w:r>
    </w:p>
    <w:p w14:paraId="768892E2" w14:textId="77777777"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(1)具有EGFR-TK基因突變之局部侵犯性或轉移性(即第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或第Ⅳ期)之肺腺癌病患之第一線治療，需檢附EGFR基因檢測結果報告，且需符合全民健康保險藥品給付規定之通則十二。(100/6/1、108/6/1、108/11/1、113/6/1)</w:t>
      </w:r>
    </w:p>
    <w:p w14:paraId="7077CFE0" w14:textId="77777777"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(2)先前已使用過第一線含鉑化學治療，或70歲以上接受過第一線化學治療，但仍局部惡化或轉移之肺腺癌。(96/11/1、100/6/1、111/2/1)</w:t>
      </w:r>
    </w:p>
    <w:p w14:paraId="3F6EB43E"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2.使用注意事項(106/11/1、109/4/1、109/10/1、111/4/1、113/3/1）</w:t>
      </w:r>
    </w:p>
    <w:p w14:paraId="15058FB5" w14:textId="77777777"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(1)用於第一線用藥：病歷應留存確實患有肺腺癌之病理或細胞檢查報告，及EGFR-TK基因突變檢測報告。(100/6/1、106/11/1)</w:t>
      </w:r>
    </w:p>
    <w:p w14:paraId="1166DCC9" w14:textId="77777777" w:rsidR="00B96EA0" w:rsidRDefault="007D66B8" w:rsidP="005142EB">
      <w:pPr>
        <w:spacing w:line="400" w:lineRule="exact"/>
        <w:ind w:left="1289" w:hanging="341"/>
      </w:pPr>
      <w:r>
        <w:rPr>
          <w:rFonts w:ascii="標楷體" w:eastAsia="標楷體" w:hAnsi="標楷體"/>
          <w:color w:val="000000"/>
        </w:rPr>
        <w:t>(2)</w:t>
      </w:r>
      <w:r>
        <w:rPr>
          <w:rFonts w:ascii="標楷體" w:eastAsia="標楷體" w:hAnsi="標楷體"/>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14:paraId="3230D02E" w14:textId="77777777" w:rsidR="00B96EA0" w:rsidRDefault="007D66B8" w:rsidP="005142EB">
      <w:pPr>
        <w:spacing w:line="400" w:lineRule="exact"/>
        <w:ind w:left="1289" w:hanging="341"/>
      </w:pPr>
      <w:r>
        <w:rPr>
          <w:rFonts w:ascii="標楷體" w:eastAsia="標楷體" w:hAnsi="標楷體"/>
          <w:color w:val="000000"/>
        </w:rPr>
        <w:t>(3)</w:t>
      </w:r>
      <w:r>
        <w:rPr>
          <w:rFonts w:ascii="標楷體" w:eastAsia="標楷體" w:hAnsi="標楷體"/>
          <w:kern w:val="0"/>
          <w:szCs w:val="24"/>
        </w:rPr>
        <w:t>每次處方以4週為限，再次處方時需於病歷記錄治療後相關臨床資料，如每4週</w:t>
      </w:r>
      <w:r>
        <w:rPr>
          <w:rFonts w:ascii="標楷體" w:eastAsia="標楷體" w:hAnsi="標楷體"/>
          <w:kern w:val="0"/>
          <w:szCs w:val="24"/>
        </w:rPr>
        <w:lastRenderedPageBreak/>
        <w:t>需追蹤胸部X光或電腦斷層等影像檢查</w:t>
      </w:r>
      <w:r>
        <w:rPr>
          <w:rFonts w:ascii="新細明體" w:hAnsi="新細明體"/>
          <w:kern w:val="0"/>
          <w:szCs w:val="24"/>
        </w:rPr>
        <w:t>，</w:t>
      </w:r>
      <w:r>
        <w:rPr>
          <w:rFonts w:ascii="標楷體" w:eastAsia="標楷體" w:hAnsi="標楷體"/>
          <w:kern w:val="0"/>
          <w:szCs w:val="24"/>
        </w:rPr>
        <w:t>每8至12週需進行完整療效評估（如胸部X光或電腦斷層）。(101/5/1、106/11/1)</w:t>
      </w:r>
    </w:p>
    <w:p w14:paraId="15AF414A" w14:textId="77777777" w:rsidR="00B96EA0" w:rsidRDefault="007D66B8" w:rsidP="005142EB">
      <w:pPr>
        <w:spacing w:line="400" w:lineRule="exact"/>
        <w:ind w:left="1289" w:hanging="341"/>
      </w:pPr>
      <w:r>
        <w:rPr>
          <w:rFonts w:ascii="標楷體" w:eastAsia="標楷體" w:hAnsi="標楷體"/>
          <w:kern w:val="0"/>
        </w:rPr>
        <w:t>(4)本藥品與erlotinib及afatinib不得併用。(96/8/1、103/5/1</w:t>
      </w:r>
      <w:r>
        <w:rPr>
          <w:rFonts w:ascii="標楷體" w:eastAsia="標楷體" w:hAnsi="標楷體"/>
        </w:rPr>
        <w:t>、109/4/1</w:t>
      </w:r>
      <w:r>
        <w:rPr>
          <w:rFonts w:ascii="標楷體" w:eastAsia="標楷體" w:hAnsi="標楷體"/>
          <w:kern w:val="0"/>
        </w:rPr>
        <w:t>)</w:t>
      </w:r>
    </w:p>
    <w:p w14:paraId="7F687FC8" w14:textId="77777777" w:rsidR="00B96EA0" w:rsidRDefault="007D66B8" w:rsidP="005142EB">
      <w:pPr>
        <w:spacing w:line="400" w:lineRule="exact"/>
        <w:ind w:left="1289" w:hanging="341"/>
        <w:rPr>
          <w:rFonts w:ascii="標楷體" w:eastAsia="標楷體" w:hAnsi="標楷體"/>
          <w:kern w:val="0"/>
        </w:rPr>
      </w:pPr>
      <w:r>
        <w:rPr>
          <w:rFonts w:ascii="標楷體" w:eastAsia="標楷體" w:hAnsi="標楷體"/>
          <w:kern w:val="0"/>
        </w:rPr>
        <w:t>(5)本藥品於第一線使用時，與</w:t>
      </w:r>
      <w:proofErr w:type="spellStart"/>
      <w:r>
        <w:rPr>
          <w:rFonts w:ascii="標楷體" w:eastAsia="標楷體" w:hAnsi="標楷體"/>
          <w:kern w:val="0"/>
        </w:rPr>
        <w:t>osimertinib</w:t>
      </w:r>
      <w:proofErr w:type="spellEnd"/>
      <w:r>
        <w:rPr>
          <w:rFonts w:ascii="標楷體" w:eastAsia="標楷體" w:hAnsi="標楷體"/>
          <w:kern w:val="0"/>
        </w:rPr>
        <w:t>、dacomitinib及bevacizumab併用erlotinib之治療組合僅得擇一使用，除因耐受性不良，不得互換。(109/6/1、109/10/1、111/4/1、113/3/1、113/10/1)</w:t>
      </w:r>
    </w:p>
    <w:p w14:paraId="66FB1BEE" w14:textId="77777777" w:rsidR="00B96EA0" w:rsidRDefault="007D66B8" w:rsidP="005142EB">
      <w:pPr>
        <w:spacing w:line="400" w:lineRule="exact"/>
        <w:ind w:left="1654" w:hanging="336"/>
      </w:pPr>
      <w:r>
        <w:rPr>
          <w:rFonts w:ascii="標楷體" w:eastAsia="標楷體" w:hAnsi="標楷體"/>
        </w:rPr>
        <w:t>Ⅰ.如需更換使用</w:t>
      </w:r>
      <w:proofErr w:type="spellStart"/>
      <w:r>
        <w:rPr>
          <w:rFonts w:ascii="標楷體" w:eastAsia="標楷體" w:hAnsi="標楷體"/>
        </w:rPr>
        <w:t>osimertinib</w:t>
      </w:r>
      <w:proofErr w:type="spellEnd"/>
      <w:r>
        <w:rPr>
          <w:rFonts w:ascii="標楷體" w:eastAsia="標楷體" w:hAnsi="標楷體"/>
        </w:rPr>
        <w:t>，必須符合</w:t>
      </w:r>
      <w:proofErr w:type="spellStart"/>
      <w:r>
        <w:rPr>
          <w:rFonts w:ascii="標楷體" w:eastAsia="標楷體" w:hAnsi="標楷體"/>
        </w:rPr>
        <w:t>osimertinib</w:t>
      </w:r>
      <w:proofErr w:type="spellEnd"/>
      <w:r>
        <w:rPr>
          <w:rFonts w:ascii="標楷體" w:eastAsia="標楷體" w:hAnsi="標楷體"/>
        </w:rPr>
        <w:t>第一線使用於具有EGFR Exon 19 Del或Exon 21 L858R基因突變之局部侵犯性或轉移性（即為IIIB、IIIC期或第Ⅳ期）肺腺癌病患之限制。(109/6/1、111/4/1、113/10/1)</w:t>
      </w:r>
    </w:p>
    <w:p w14:paraId="4A6B7877" w14:textId="77777777" w:rsidR="00B96EA0" w:rsidRDefault="007D66B8" w:rsidP="005142EB">
      <w:pPr>
        <w:spacing w:line="400" w:lineRule="exact"/>
        <w:ind w:left="1654" w:hanging="336"/>
        <w:rPr>
          <w:rFonts w:ascii="標楷體" w:eastAsia="標楷體" w:hAnsi="標楷體"/>
        </w:rPr>
      </w:pPr>
      <w:r>
        <w:rPr>
          <w:rFonts w:ascii="標楷體" w:eastAsia="標楷體" w:hAnsi="標楷體"/>
        </w:rPr>
        <w:t>Ⅱ.如需更換使用dacomitinib，必須符合dacomitinib第一線使用於具有EGFR-TK Exon 19 Del或Exon 21 L858R點突變，且無腦轉移(non-CNS)之局部侵犯性或轉移性肺腺癌之限制。(109/10/1）</w:t>
      </w:r>
    </w:p>
    <w:p w14:paraId="17F94280" w14:textId="77777777" w:rsidR="00B96EA0" w:rsidRDefault="007D66B8" w:rsidP="005142EB">
      <w:pPr>
        <w:spacing w:line="400" w:lineRule="exact"/>
        <w:ind w:left="1654" w:hanging="336"/>
        <w:rPr>
          <w:rFonts w:ascii="標楷體" w:eastAsia="標楷體" w:hAnsi="標楷體"/>
        </w:rPr>
      </w:pPr>
      <w:r>
        <w:rPr>
          <w:rFonts w:ascii="標楷體" w:eastAsia="標楷體" w:hAnsi="標楷體"/>
        </w:rPr>
        <w:t>Ⅲ.如需更換使用bevacizumab併用erlotinib之治療組合，必須符合bevacizumab第一線使用於具有EGFR Exon 21 L858R突變且腦轉移之無法手術切除的轉移性（第Ⅳ期）非鱗狀非小細胞肺癌肺腺癌之限制。(113/3/1)</w:t>
      </w:r>
    </w:p>
    <w:p w14:paraId="5078F719" w14:textId="77777777" w:rsidR="00B96EA0" w:rsidRDefault="007D66B8" w:rsidP="005142EB">
      <w:pPr>
        <w:spacing w:line="400" w:lineRule="exact"/>
        <w:ind w:left="672" w:hanging="386"/>
        <w:rPr>
          <w:rFonts w:ascii="標楷體" w:eastAsia="標楷體" w:hAnsi="標楷體"/>
          <w:color w:val="000000"/>
        </w:rPr>
      </w:pPr>
      <w:bookmarkStart w:id="13" w:name="_Hlk113894926"/>
      <w:r>
        <w:rPr>
          <w:rFonts w:ascii="標楷體" w:eastAsia="標楷體" w:hAnsi="標楷體"/>
          <w:color w:val="000000"/>
        </w:rPr>
        <w:t>9.25.Temozolomide(如</w:t>
      </w:r>
      <w:proofErr w:type="spellStart"/>
      <w:r>
        <w:rPr>
          <w:rFonts w:ascii="標楷體" w:eastAsia="標楷體" w:hAnsi="標楷體"/>
          <w:color w:val="000000"/>
        </w:rPr>
        <w:t>Temodal</w:t>
      </w:r>
      <w:proofErr w:type="spellEnd"/>
      <w:r>
        <w:rPr>
          <w:rFonts w:ascii="標楷體" w:eastAsia="標楷體" w:hAnsi="標楷體"/>
          <w:color w:val="000000"/>
        </w:rPr>
        <w:t>)：(94/3/1、97/1/1、98/9/1、111/9/1)附表八之二</w:t>
      </w:r>
    </w:p>
    <w:p w14:paraId="4BAC68AD"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14:paraId="30389296"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14:paraId="055C40E3"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(1)退行性星狀細胞瘤(AA-anaplastic astrocytoma)</w:t>
      </w:r>
    </w:p>
    <w:p w14:paraId="3F320760"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(2)多形神經膠母細胞瘤(GBM-Glioblastoma multiforme)</w:t>
      </w:r>
    </w:p>
    <w:p w14:paraId="7D51CF94"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(3)退行性寡樹突膠質細胞瘤(anaplastic oligodendroglioma)(98/9/1)</w:t>
      </w:r>
    </w:p>
    <w:p w14:paraId="46955B9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2.新診斷的多形神經膠母細胞瘤，與放射線治療同步進行，然後作為輔助性治療。（97/1/1）</w:t>
      </w:r>
    </w:p>
    <w:p w14:paraId="6AE6E526" w14:textId="77777777" w:rsidR="00B96EA0" w:rsidRDefault="007D66B8" w:rsidP="005142EB">
      <w:pPr>
        <w:spacing w:line="400" w:lineRule="exact"/>
        <w:ind w:left="811" w:hanging="245"/>
      </w:pPr>
      <w:r>
        <w:rPr>
          <w:rFonts w:ascii="標楷體" w:eastAsia="標楷體" w:hAnsi="標楷體"/>
          <w:color w:val="000000"/>
        </w:rPr>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。每次申請事前審查之療程以三個月為限，再次申請必須提出客觀證據（如：影像學）證實無惡化，才可繼續使用。(98/9/1、111/9/1)</w:t>
      </w:r>
      <w:bookmarkEnd w:id="13"/>
    </w:p>
    <w:p w14:paraId="36F1DF56" w14:textId="77777777" w:rsidR="002F2B55" w:rsidRPr="00367DBE" w:rsidRDefault="002F2B55" w:rsidP="002F2B55">
      <w:pPr>
        <w:spacing w:line="400" w:lineRule="exact"/>
        <w:ind w:left="317" w:hanging="386"/>
        <w:rPr>
          <w:rFonts w:ascii="標楷體" w:eastAsia="標楷體" w:hAnsi="標楷體"/>
          <w:szCs w:val="24"/>
        </w:rPr>
      </w:pPr>
      <w:r w:rsidRPr="00367DBE">
        <w:rPr>
          <w:rFonts w:ascii="標楷體" w:eastAsia="標楷體" w:hAnsi="標楷體"/>
          <w:szCs w:val="24"/>
        </w:rPr>
        <w:t>9.26.</w:t>
      </w:r>
      <w:r w:rsidRPr="00367DBE">
        <w:rPr>
          <w:rFonts w:ascii="標楷體" w:eastAsia="標楷體" w:hAnsi="標楷體"/>
          <w:kern w:val="0"/>
          <w:szCs w:val="24"/>
        </w:rPr>
        <w:t>P</w:t>
      </w:r>
      <w:r w:rsidRPr="00367DBE">
        <w:rPr>
          <w:rFonts w:ascii="標楷體" w:eastAsia="標楷體" w:hAnsi="標楷體"/>
          <w:szCs w:val="24"/>
        </w:rPr>
        <w:t>emetrexed(如Alimta)：(</w:t>
      </w:r>
      <w:r w:rsidRPr="00367DBE">
        <w:rPr>
          <w:rFonts w:ascii="標楷體" w:eastAsia="標楷體" w:hAnsi="標楷體" w:hint="eastAsia"/>
          <w:szCs w:val="24"/>
        </w:rPr>
        <w:t>95/3/1、95/7/1、97/11/1、98/9/1、103/4/1、103/9/1、106/11/1、111/2/1、114/6/1、114/8/1、1</w:t>
      </w:r>
      <w:r w:rsidRPr="00367DBE">
        <w:rPr>
          <w:rFonts w:ascii="標楷體" w:eastAsia="標楷體" w:hAnsi="標楷體"/>
          <w:szCs w:val="24"/>
        </w:rPr>
        <w:t>14/</w:t>
      </w:r>
      <w:r w:rsidRPr="00367DBE">
        <w:rPr>
          <w:rFonts w:ascii="標楷體" w:eastAsia="標楷體" w:hAnsi="標楷體" w:hint="eastAsia"/>
          <w:szCs w:val="24"/>
        </w:rPr>
        <w:t>10</w:t>
      </w:r>
      <w:r w:rsidRPr="00367DBE">
        <w:rPr>
          <w:rFonts w:ascii="標楷體" w:eastAsia="標楷體" w:hAnsi="標楷體"/>
          <w:szCs w:val="24"/>
        </w:rPr>
        <w:t>/1)</w:t>
      </w:r>
    </w:p>
    <w:p w14:paraId="7811BBE2" w14:textId="77777777" w:rsidR="002F2B55" w:rsidRPr="00367DBE" w:rsidRDefault="002F2B55" w:rsidP="002F2B55">
      <w:pPr>
        <w:pStyle w:val="a9"/>
        <w:spacing w:line="400" w:lineRule="exact"/>
        <w:ind w:leftChars="118" w:left="283"/>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.限用於</w:t>
      </w:r>
    </w:p>
    <w:p w14:paraId="5B61BE8B" w14:textId="77777777" w:rsidR="002F2B55" w:rsidRPr="00367DBE" w:rsidRDefault="002F2B55" w:rsidP="002F2B55">
      <w:pPr>
        <w:pStyle w:val="a9"/>
        <w:spacing w:line="400" w:lineRule="exact"/>
        <w:ind w:leftChars="195" w:left="708" w:hangingChars="100" w:hanging="24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1)與cisplatin併用於惡性肋膜間質細胞瘤。</w:t>
      </w:r>
    </w:p>
    <w:p w14:paraId="4FD7B4A2"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2)以含鉑之化學療法治療或70歲以上接受過第一線化學治療，但仍失敗之局部晚期或轉移性非小細胞肺癌病患(顯著鱗狀細胞組織型除外)之單一藥物治療。(95/7/1、97/11/1、98/9/1、111/2/1)</w:t>
      </w:r>
    </w:p>
    <w:p w14:paraId="21399866"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3)與含鉑類之化學療法併用，作為治療局部晚期或轉移性非小細胞肺癌(顯著鱗狀細胞組織型除外)之第一線化療用藥，且限用於ECOG為0~1之病患。(98/9/1)</w:t>
      </w:r>
    </w:p>
    <w:p w14:paraId="399849F6"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rPr>
        <w:lastRenderedPageBreak/>
        <w:t>(4)</w:t>
      </w:r>
      <w:r w:rsidRPr="00367DBE">
        <w:rPr>
          <w:rFonts w:ascii="標楷體" w:eastAsia="標楷體" w:hAnsi="標楷體" w:hint="eastAsia"/>
        </w:rPr>
        <w:t>pemetrexed(限使用</w:t>
      </w:r>
      <w:proofErr w:type="spellStart"/>
      <w:r w:rsidRPr="00367DBE">
        <w:rPr>
          <w:rFonts w:ascii="標楷體" w:eastAsia="標楷體" w:hAnsi="標楷體" w:hint="eastAsia"/>
        </w:rPr>
        <w:t>Pexeda</w:t>
      </w:r>
      <w:proofErr w:type="spellEnd"/>
      <w:r w:rsidRPr="00367DBE">
        <w:rPr>
          <w:rFonts w:ascii="標楷體" w:eastAsia="標楷體" w:hAnsi="標楷體" w:hint="eastAsia"/>
        </w:rPr>
        <w:t>、</w:t>
      </w:r>
      <w:proofErr w:type="spellStart"/>
      <w:r w:rsidRPr="00367DBE">
        <w:rPr>
          <w:rFonts w:ascii="標楷體" w:eastAsia="標楷體" w:hAnsi="標楷體" w:hint="eastAsia"/>
        </w:rPr>
        <w:t>Apeta</w:t>
      </w:r>
      <w:proofErr w:type="spellEnd"/>
      <w:r w:rsidRPr="00367DBE">
        <w:rPr>
          <w:rFonts w:ascii="標楷體" w:eastAsia="標楷體" w:hAnsi="標楷體" w:hint="eastAsia"/>
        </w:rPr>
        <w:t>或Pemetrexed Sandoz)與pembrolizumab與含鉑類之化學療法併用於轉移性，不具有EGFR/ALK/ROS-1腫瘤基因異常的非鱗狀非小細胞肺癌的第一線治療，患者需符合免疫檢查點抑制劑之藥品給付規定。(114/6/1、114/8/1)</w:t>
      </w:r>
    </w:p>
    <w:p w14:paraId="225A3218"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5)</w:t>
      </w:r>
      <w:r w:rsidRPr="00367DBE">
        <w:rPr>
          <w:rFonts w:ascii="標楷體" w:eastAsia="標楷體" w:hAnsi="標楷體" w:hint="eastAsia"/>
        </w:rPr>
        <w:t>與</w:t>
      </w:r>
      <w:proofErr w:type="spellStart"/>
      <w:r w:rsidRPr="00367DBE">
        <w:rPr>
          <w:rFonts w:ascii="標楷體" w:eastAsia="標楷體" w:hAnsi="標楷體" w:hint="eastAsia"/>
        </w:rPr>
        <w:t>amivantamab</w:t>
      </w:r>
      <w:proofErr w:type="spellEnd"/>
      <w:r w:rsidRPr="00367DBE">
        <w:rPr>
          <w:rFonts w:ascii="標楷體" w:eastAsia="標楷體" w:hAnsi="標楷體" w:hint="eastAsia"/>
        </w:rPr>
        <w:t>及carboplatin併用於罹患帶有表皮生長因子受體(EGFR) exon 20插入突變之局部晚期或轉移性非小細胞肺癌(NSCLC)的成人病人，作為第一線治療。</w:t>
      </w:r>
      <w:r w:rsidRPr="00367DBE">
        <w:rPr>
          <w:rFonts w:ascii="標楷體" w:eastAsia="標楷體" w:hAnsi="標楷體"/>
        </w:rPr>
        <w:t>(</w:t>
      </w:r>
      <w:r w:rsidRPr="00367DBE">
        <w:rPr>
          <w:rFonts w:ascii="標楷體" w:eastAsia="標楷體" w:hAnsi="標楷體" w:hint="eastAsia"/>
        </w:rPr>
        <w:t>114</w:t>
      </w:r>
      <w:r w:rsidRPr="00367DBE">
        <w:rPr>
          <w:rFonts w:ascii="標楷體" w:eastAsia="標楷體" w:hAnsi="標楷體"/>
        </w:rPr>
        <w:t>/</w:t>
      </w:r>
      <w:r w:rsidRPr="00367DBE">
        <w:rPr>
          <w:rFonts w:ascii="標楷體" w:eastAsia="標楷體" w:hAnsi="標楷體" w:hint="eastAsia"/>
        </w:rPr>
        <w:t>10</w:t>
      </w:r>
      <w:r w:rsidRPr="00367DBE">
        <w:rPr>
          <w:rFonts w:ascii="標楷體" w:eastAsia="標楷體" w:hAnsi="標楷體"/>
        </w:rPr>
        <w:t>/1)</w:t>
      </w:r>
    </w:p>
    <w:p w14:paraId="79408062" w14:textId="77777777" w:rsidR="00B96EA0" w:rsidRDefault="002F2B55" w:rsidP="002F2B55">
      <w:pPr>
        <w:spacing w:line="400" w:lineRule="exact"/>
        <w:ind w:left="811" w:hanging="245"/>
      </w:pPr>
      <w:r w:rsidRPr="00367DBE">
        <w:rPr>
          <w:rFonts w:ascii="標楷體" w:eastAsia="標楷體" w:hAnsi="標楷體" w:hint="eastAsia"/>
          <w:szCs w:val="24"/>
        </w:rPr>
        <w:t>2</w:t>
      </w:r>
      <w:r w:rsidRPr="00367DBE">
        <w:rPr>
          <w:rFonts w:ascii="標楷體" w:eastAsia="標楷體" w:hAnsi="標楷體"/>
          <w:szCs w:val="24"/>
        </w:rPr>
        <w:t>.每4個療程需進行療效評估，病歷應留存評估紀錄，無疾病惡化方可繼續使用。(103/4/1、103/9/1、106/11/1)</w:t>
      </w:r>
    </w:p>
    <w:p w14:paraId="4CD106A6" w14:textId="77777777" w:rsidR="00296C19" w:rsidRPr="007C28AB" w:rsidRDefault="00296C19" w:rsidP="00296C19">
      <w:pPr>
        <w:spacing w:line="400" w:lineRule="exact"/>
        <w:ind w:left="523" w:hanging="240"/>
        <w:rPr>
          <w:rFonts w:ascii="標楷體" w:eastAsia="標楷體" w:hAnsi="標楷體"/>
          <w:szCs w:val="24"/>
        </w:rPr>
      </w:pPr>
      <w:bookmarkStart w:id="14" w:name="_Hlk91258567"/>
      <w:r w:rsidRPr="007C28AB">
        <w:rPr>
          <w:rFonts w:ascii="標楷體" w:eastAsia="標楷體" w:hAnsi="標楷體"/>
          <w:szCs w:val="24"/>
        </w:rPr>
        <w:t>9.27.Cetuximab(如Erbitux)：(96/3/1、98/7/1、98/8/1、99/10/1、101/12/1、104/11/1、106/1/1、106/4/1、107/6/1、110/6/1、111/2/1、112/12/1、113/6/1、115/2/1</w:t>
      </w:r>
      <w:r w:rsidRPr="007C28AB">
        <w:rPr>
          <w:rFonts w:ascii="標楷體" w:eastAsia="標楷體" w:hAnsi="標楷體" w:hint="eastAsia"/>
          <w:szCs w:val="24"/>
        </w:rPr>
        <w:t>、115/5/1</w:t>
      </w:r>
      <w:r w:rsidRPr="007C28AB">
        <w:rPr>
          <w:rFonts w:ascii="標楷體" w:eastAsia="標楷體" w:hAnsi="標楷體"/>
          <w:szCs w:val="24"/>
        </w:rPr>
        <w:t>)</w:t>
      </w:r>
    </w:p>
    <w:p w14:paraId="09F8F2F0"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1.直腸結腸癌治療部分：</w:t>
      </w:r>
    </w:p>
    <w:p w14:paraId="2E8C927E"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(1)與FOLFIRI（Folinic acid/ 5-fluorouracil/irinotecan）或FOLFOX（Folinic acid/ 5-fluorouracil/oxaliplatin）合併使用於治療RAS原生型(wild-type)之轉移性直腸結腸癌病人之第一線治療。需檢附All-RAS基因突變分析檢測報告，且需符合全民健康保險藥品給付規定之通則十二。(101/12/1、104/11/1、106/1/1、110/6/1、113/6/1、115/2/1)</w:t>
      </w:r>
    </w:p>
    <w:p w14:paraId="61DCB32E"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Ⅰ.本藥品須經事前審查核准後使用，每次申請之療程以18週為限，再次申請必須提出客觀證據(如：影像學)證實無惡化，才可繼續使用。</w:t>
      </w:r>
    </w:p>
    <w:p w14:paraId="6AD2C985" w14:textId="77777777" w:rsidR="00296C19" w:rsidRPr="007C28AB" w:rsidRDefault="00296C19" w:rsidP="00296C19">
      <w:pPr>
        <w:spacing w:line="400" w:lineRule="exact"/>
        <w:ind w:left="1474" w:hanging="340"/>
        <w:rPr>
          <w:rFonts w:ascii="標楷體" w:eastAsia="標楷體" w:hAnsi="標楷體"/>
          <w:szCs w:val="24"/>
        </w:rPr>
      </w:pPr>
      <w:proofErr w:type="spellStart"/>
      <w:r w:rsidRPr="007C28AB">
        <w:rPr>
          <w:rFonts w:ascii="標楷體" w:eastAsia="標楷體" w:hAnsi="標楷體"/>
          <w:szCs w:val="24"/>
        </w:rPr>
        <w:t>Ⅱ.Cetuximab</w:t>
      </w:r>
      <w:proofErr w:type="spellEnd"/>
      <w:r w:rsidRPr="007C28AB">
        <w:rPr>
          <w:rFonts w:ascii="標楷體" w:eastAsia="標楷體" w:hAnsi="標楷體"/>
          <w:szCs w:val="24"/>
        </w:rPr>
        <w:t>與panitumumab二者僅能擇一使用。 (101/12/1、106/1/1、107/6/1、115/2/1)</w:t>
      </w:r>
    </w:p>
    <w:p w14:paraId="3389DD0B"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Ⅲ.本藥品不得與bevacizumab併用。</w:t>
      </w:r>
    </w:p>
    <w:p w14:paraId="4AF1ADDC"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Ⅳ.經手術完全切除(R0切除)且查無轉移病灶者不得申請給付。(115/2/1)</w:t>
      </w:r>
    </w:p>
    <w:p w14:paraId="34A7B9F9" w14:textId="77777777" w:rsidR="00296C19" w:rsidRPr="007C28AB" w:rsidRDefault="00296C19" w:rsidP="00296C19">
      <w:pPr>
        <w:spacing w:line="400" w:lineRule="exact"/>
        <w:ind w:left="1219" w:hanging="510"/>
        <w:rPr>
          <w:rFonts w:ascii="標楷體" w:eastAsia="標楷體" w:hAnsi="標楷體"/>
          <w:szCs w:val="24"/>
        </w:rPr>
      </w:pPr>
      <w:r w:rsidRPr="007C28AB">
        <w:rPr>
          <w:rFonts w:ascii="標楷體" w:eastAsia="標楷體" w:hAnsi="標楷體"/>
          <w:szCs w:val="24"/>
        </w:rPr>
        <w:t xml:space="preserve"> </w:t>
      </w:r>
      <w:r w:rsidRPr="007C28AB">
        <w:rPr>
          <w:rFonts w:ascii="標楷體" w:eastAsia="標楷體" w:hAnsi="標楷體" w:hint="eastAsia"/>
          <w:szCs w:val="24"/>
        </w:rPr>
        <w:t>(2)與</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併用，作為具有BRAF V600E突變且RAS基因沒有突變的轉移性結腸直腸癌成人病人之第二線治療：(115/5/1)</w:t>
      </w:r>
    </w:p>
    <w:p w14:paraId="21965243"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Ⅰ.病人須符合</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之藥品給付規定，且未曾申報抗表皮生長因子受體(anti-EGFR)藥品之病人使用。</w:t>
      </w:r>
    </w:p>
    <w:p w14:paraId="1EDE8EC9"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Ⅱ.須經事前審查核准後使用，初次申請之療程以12週為限，之後每12週申請一次，再次申請時必須提出客觀證據（如：影像學）證實無惡化，才可繼續使用。</w:t>
      </w:r>
    </w:p>
    <w:p w14:paraId="5B188292"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Ⅲ.使用總療程以24週為上限。</w:t>
      </w:r>
    </w:p>
    <w:p w14:paraId="5655F4CD"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Ⅳ.使用本品併用</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作為第二線治療，不得再申請抗表皮生長因子受體(anti-EGFR)藥品作為後續治療。</w:t>
      </w:r>
    </w:p>
    <w:p w14:paraId="3A9D4D8A" w14:textId="77777777" w:rsidR="00296C19" w:rsidRPr="007C28AB" w:rsidRDefault="00296C19" w:rsidP="00296C19">
      <w:pPr>
        <w:spacing w:line="400" w:lineRule="exact"/>
        <w:ind w:left="1106" w:hanging="397"/>
        <w:rPr>
          <w:rFonts w:ascii="標楷體" w:eastAsia="標楷體" w:hAnsi="標楷體"/>
          <w:szCs w:val="24"/>
        </w:rPr>
      </w:pPr>
      <w:r w:rsidRPr="007C28AB">
        <w:rPr>
          <w:rFonts w:ascii="標楷體" w:eastAsia="標楷體" w:hAnsi="標楷體"/>
          <w:szCs w:val="24"/>
        </w:rPr>
        <w:t>(</w:t>
      </w:r>
      <w:r w:rsidRPr="007C28AB">
        <w:rPr>
          <w:rFonts w:ascii="標楷體" w:eastAsia="標楷體" w:hAnsi="標楷體" w:hint="eastAsia"/>
          <w:szCs w:val="24"/>
        </w:rPr>
        <w:t>3</w:t>
      </w:r>
      <w:r w:rsidRPr="007C28AB">
        <w:rPr>
          <w:rFonts w:ascii="標楷體" w:eastAsia="標楷體" w:hAnsi="標楷體"/>
          <w:szCs w:val="24"/>
        </w:rPr>
        <w:t>)與irinotecan合併使用，治療已接受過含5-fluorouracil、irinotecan及oxaliplatin二線以上之細胞毒性治療失敗、具有表皮生長因子受體(EGFR)表現</w:t>
      </w:r>
      <w:r w:rsidRPr="007C28AB">
        <w:rPr>
          <w:rFonts w:ascii="標楷體" w:eastAsia="標楷體" w:hAnsi="標楷體"/>
          <w:szCs w:val="24"/>
        </w:rPr>
        <w:lastRenderedPageBreak/>
        <w:t>型且K-RAS基因沒有突變的轉移性直腸結腸癌的病人，且於115年1月31日前經審核同意用藥，後續評估符合續用申請條件者。需檢附All-RAS基因突變分析檢測報告，且需符合全民健康保險藥品給付規定之通則十二。(98/8/1、110/6/1、113/6/1、115/2/1)</w:t>
      </w:r>
    </w:p>
    <w:p w14:paraId="3FB484A5"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Ⅰ.本藥品須經事前審查核准後使用，每次申請之療程以9週為限，再次申請必須提出客觀證據（如：影像學）證實無惡化，才可繼續使用。</w:t>
      </w:r>
    </w:p>
    <w:p w14:paraId="0B517BCC"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Ⅱ.使用總療程18週為上限。</w:t>
      </w:r>
    </w:p>
    <w:p w14:paraId="5006EA05"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2.口咽癌、下咽癌及喉癌治療部分：(98/7/1、99/10/1、111/2/1、115/2/1)</w:t>
      </w:r>
    </w:p>
    <w:p w14:paraId="344CA266" w14:textId="77777777" w:rsidR="00296C19" w:rsidRPr="007C28AB" w:rsidRDefault="00296C19" w:rsidP="00296C19">
      <w:pPr>
        <w:spacing w:line="400" w:lineRule="exact"/>
        <w:ind w:left="1276" w:hanging="397"/>
        <w:rPr>
          <w:rFonts w:ascii="標楷體" w:eastAsia="標楷體" w:hAnsi="標楷體"/>
          <w:szCs w:val="24"/>
        </w:rPr>
      </w:pPr>
      <w:r w:rsidRPr="007C28AB">
        <w:rPr>
          <w:rFonts w:ascii="標楷體" w:eastAsia="標楷體" w:hAnsi="標楷體"/>
          <w:szCs w:val="24"/>
        </w:rPr>
        <w:t>(1)限與放射線療法合併使用於局部晚期之口咽癌、下咽癌及喉癌病人，且符合下列條件之一：</w:t>
      </w:r>
    </w:p>
    <w:p w14:paraId="7AFF020F"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Ⅰ.70歲以上(111/2/1)；</w:t>
      </w:r>
    </w:p>
    <w:p w14:paraId="23FF05F1" w14:textId="77777777" w:rsidR="00296C19" w:rsidRPr="007C28AB" w:rsidRDefault="00296C19" w:rsidP="00296C19">
      <w:pPr>
        <w:spacing w:line="400" w:lineRule="exact"/>
        <w:ind w:left="1474" w:hanging="340"/>
        <w:rPr>
          <w:rFonts w:ascii="標楷體" w:eastAsia="標楷體" w:hAnsi="標楷體"/>
          <w:szCs w:val="24"/>
        </w:rPr>
      </w:pPr>
      <w:proofErr w:type="spellStart"/>
      <w:r w:rsidRPr="007C28AB">
        <w:rPr>
          <w:rFonts w:ascii="標楷體" w:eastAsia="標楷體" w:hAnsi="標楷體"/>
          <w:szCs w:val="24"/>
        </w:rPr>
        <w:t>Ⅱ.Ccr</w:t>
      </w:r>
      <w:proofErr w:type="spellEnd"/>
      <w:r w:rsidRPr="007C28AB">
        <w:rPr>
          <w:rFonts w:ascii="標楷體" w:eastAsia="標楷體" w:hAnsi="標楷體"/>
          <w:szCs w:val="24"/>
        </w:rPr>
        <w:t>＜50mL/min；</w:t>
      </w:r>
    </w:p>
    <w:p w14:paraId="0993B835"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Ⅲ.聽力障礙者(聽力障礙定義為500Hz、1000Hz、2000Hz平均聽力損失大於25分貝)；</w:t>
      </w:r>
    </w:p>
    <w:p w14:paraId="030E91F0"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Ⅳ.無法耐受platinum-based化學治療。</w:t>
      </w:r>
    </w:p>
    <w:p w14:paraId="61015F01" w14:textId="77777777" w:rsidR="00296C19" w:rsidRPr="007C28AB" w:rsidRDefault="00296C19" w:rsidP="00296C19">
      <w:pPr>
        <w:spacing w:line="400" w:lineRule="exact"/>
        <w:ind w:left="1276" w:hanging="397"/>
        <w:rPr>
          <w:rFonts w:ascii="標楷體" w:eastAsia="標楷體" w:hAnsi="標楷體"/>
          <w:szCs w:val="24"/>
        </w:rPr>
      </w:pPr>
      <w:r w:rsidRPr="007C28AB">
        <w:rPr>
          <w:rFonts w:ascii="標楷體" w:eastAsia="標楷體" w:hAnsi="標楷體"/>
          <w:szCs w:val="24"/>
        </w:rPr>
        <w:t>(2)須經事前審查核准後使用，每位病人每12週申請一次，需無疾病惡化情形方得繼續使用。(98/7/1、115/2/1)</w:t>
      </w:r>
    </w:p>
    <w:p w14:paraId="0CA699C3"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3.頭頸癌部分(106/1/1、106/4/1、112/12/1、115/2/1)：</w:t>
      </w:r>
    </w:p>
    <w:p w14:paraId="6E6583A3" w14:textId="77777777" w:rsidR="00296C19" w:rsidRPr="007C28AB" w:rsidRDefault="00296C19" w:rsidP="00296C19">
      <w:pPr>
        <w:spacing w:line="400" w:lineRule="exact"/>
        <w:ind w:left="993"/>
        <w:rPr>
          <w:rFonts w:ascii="標楷體" w:eastAsia="標楷體" w:hAnsi="標楷體"/>
          <w:szCs w:val="24"/>
        </w:rPr>
      </w:pPr>
      <w:r w:rsidRPr="007C28AB">
        <w:rPr>
          <w:rFonts w:ascii="標楷體" w:eastAsia="標楷體" w:hAnsi="標楷體"/>
          <w:szCs w:val="24"/>
        </w:rPr>
        <w:t>(1)限無法接受局部治療之復發及/或轉移性頭頸部鱗狀細胞癌，且未曾申報cetuximab之病人使用。</w:t>
      </w:r>
    </w:p>
    <w:p w14:paraId="5EF5B528" w14:textId="5270A7BC" w:rsidR="00296C19" w:rsidRPr="00296C19" w:rsidRDefault="00296C19" w:rsidP="00296C19">
      <w:pPr>
        <w:spacing w:line="400" w:lineRule="exact"/>
        <w:ind w:left="1276" w:hanging="255"/>
        <w:rPr>
          <w:rFonts w:ascii="標楷體" w:eastAsia="標楷體" w:hAnsi="標楷體"/>
          <w:szCs w:val="24"/>
        </w:rPr>
      </w:pPr>
      <w:r w:rsidRPr="007C28AB">
        <w:rPr>
          <w:rFonts w:ascii="標楷體" w:eastAsia="標楷體" w:hAnsi="標楷體"/>
          <w:szCs w:val="24"/>
        </w:rPr>
        <w:t>(2)須經事前審查核准後使用，每位病人每12週申請一次，需無疾病惡化情形方得繼續使用。(106/4/1、115/2/1)</w:t>
      </w:r>
    </w:p>
    <w:p w14:paraId="472F8755" w14:textId="77777777" w:rsidR="00B96EA0" w:rsidRDefault="007D66B8" w:rsidP="005142EB">
      <w:pPr>
        <w:spacing w:line="400" w:lineRule="exact"/>
        <w:ind w:left="910" w:hanging="579"/>
        <w:rPr>
          <w:rFonts w:ascii="標楷體" w:eastAsia="標楷體" w:hAnsi="標楷體"/>
          <w:color w:val="000000"/>
        </w:rPr>
      </w:pPr>
      <w:r>
        <w:rPr>
          <w:rFonts w:ascii="標楷體" w:eastAsia="標楷體" w:hAnsi="標楷體"/>
          <w:color w:val="000000"/>
        </w:rPr>
        <w:t>9.28.Bortezomib（如</w:t>
      </w:r>
      <w:proofErr w:type="spellStart"/>
      <w:r>
        <w:rPr>
          <w:rFonts w:ascii="標楷體" w:eastAsia="標楷體" w:hAnsi="標楷體"/>
          <w:color w:val="000000"/>
        </w:rPr>
        <w:t>Velcade</w:t>
      </w:r>
      <w:proofErr w:type="spellEnd"/>
      <w:r>
        <w:rPr>
          <w:rFonts w:ascii="標楷體" w:eastAsia="標楷體" w:hAnsi="標楷體"/>
          <w:color w:val="000000"/>
        </w:rPr>
        <w:t>）：（96/6/1、98/2/1、99/3/1、99/9/1、100/10/1、101/6/1、105/5/1、109/4/1、109/6/1、111/1/1、112/4/1）附表九之三</w:t>
      </w:r>
    </w:p>
    <w:p w14:paraId="0567A2B2"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限用於</w:t>
      </w:r>
    </w:p>
    <w:p w14:paraId="73D93FD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14:paraId="7072BEEB" w14:textId="77777777"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
    <w:p w14:paraId="7D1336FA"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14:paraId="65310D87" w14:textId="77777777"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14:paraId="25E0E5DC"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Ⅰ.骨髓漿細胞(plasma cells)比例≧10%，或是經切片確認且有≧1顆的plasmacytoma。</w:t>
      </w:r>
    </w:p>
    <w:p w14:paraId="3FDEFF64"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Ⅱ.出現下列任一臨床症狀：</w:t>
      </w:r>
    </w:p>
    <w:p w14:paraId="68F86A54" w14:textId="77777777"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14:paraId="1D1411E7" w14:textId="77777777" w:rsidR="00B96EA0" w:rsidRDefault="007D66B8" w:rsidP="005142EB">
      <w:pPr>
        <w:spacing w:line="400" w:lineRule="exact"/>
        <w:ind w:left="1373" w:hanging="341"/>
      </w:pPr>
      <w:r>
        <w:rPr>
          <w:rFonts w:ascii="新細明體" w:hAnsi="新細明體" w:cs="新細明體"/>
          <w:color w:val="000000"/>
        </w:rPr>
        <w:lastRenderedPageBreak/>
        <w:t>ⅱ</w:t>
      </w:r>
      <w:r>
        <w:rPr>
          <w:rFonts w:ascii="標楷體" w:eastAsia="標楷體" w:hAnsi="標楷體"/>
          <w:color w:val="000000"/>
        </w:rPr>
        <w:t>.高血鈣(corrected serum calcium＞11.0 mg/dL 或 2.75 mmol/L)。</w:t>
      </w:r>
    </w:p>
    <w:p w14:paraId="25FF8849"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14:paraId="571C294B"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iv.影像檢查確認之osteolytic bone lesion(s)。</w:t>
      </w:r>
    </w:p>
    <w:p w14:paraId="6E68F4BD"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v.骨髓漿細胞(plasma cells)比例≧60%。</w:t>
      </w:r>
    </w:p>
    <w:p w14:paraId="4B81F656" w14:textId="77777777" w:rsidR="00B96EA0" w:rsidRDefault="007D66B8" w:rsidP="005142EB">
      <w:pPr>
        <w:spacing w:line="400" w:lineRule="exact"/>
        <w:ind w:left="1373" w:hanging="341"/>
        <w:rPr>
          <w:rFonts w:ascii="標楷體" w:eastAsia="標楷體" w:hAnsi="標楷體"/>
          <w:color w:val="000000"/>
        </w:rPr>
      </w:pPr>
      <w:proofErr w:type="spellStart"/>
      <w:r>
        <w:rPr>
          <w:rFonts w:ascii="標楷體" w:eastAsia="標楷體" w:hAnsi="標楷體"/>
          <w:color w:val="000000"/>
        </w:rPr>
        <w:t>vi.Serum</w:t>
      </w:r>
      <w:proofErr w:type="spellEnd"/>
      <w:r>
        <w:rPr>
          <w:rFonts w:ascii="標楷體" w:eastAsia="標楷體" w:hAnsi="標楷體"/>
          <w:color w:val="000000"/>
        </w:rPr>
        <w:t xml:space="preserve"> free light-chain ratio≧100。</w:t>
      </w:r>
    </w:p>
    <w:p w14:paraId="53D42EDD"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14:paraId="0E16A429"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14:paraId="15A48480" w14:textId="77777777"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112年3月31日以前已核定用藥之病人，得經事前審查核准後，使用至總療程上限（即終生16個療程）或使用期間發生疾病惡化為止。（112/4/1）</w:t>
      </w:r>
    </w:p>
    <w:p w14:paraId="637BE08A"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14:paraId="2261F742"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14:paraId="235772C0"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(2)每日最大劑量1.5mg/m2/day；每個療程第1,4,8,11日給藥。</w:t>
      </w:r>
    </w:p>
    <w:p w14:paraId="6CD9E612"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14:paraId="7E5C34D3"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14"/>
    </w:p>
    <w:p w14:paraId="32637F42" w14:textId="77777777" w:rsidR="00B96EA0" w:rsidRDefault="007D66B8" w:rsidP="005142EB">
      <w:pPr>
        <w:spacing w:line="400" w:lineRule="exact"/>
        <w:ind w:left="851" w:hanging="567"/>
      </w:pPr>
      <w:r>
        <w:rPr>
          <w:rFonts w:ascii="標楷體" w:eastAsia="標楷體" w:hAnsi="標楷體"/>
          <w:color w:val="000000"/>
        </w:rPr>
        <w:t>9.29.</w:t>
      </w:r>
      <w:r>
        <w:t xml:space="preserve"> </w:t>
      </w:r>
      <w:r>
        <w:rPr>
          <w:rFonts w:ascii="標楷體" w:eastAsia="標楷體" w:hAnsi="標楷體"/>
          <w:kern w:val="0"/>
          <w:szCs w:val="24"/>
        </w:rPr>
        <w:t>Erlotinib（如</w:t>
      </w:r>
      <w:proofErr w:type="spellStart"/>
      <w:r>
        <w:rPr>
          <w:rFonts w:ascii="標楷體" w:eastAsia="標楷體" w:hAnsi="標楷體"/>
          <w:kern w:val="0"/>
          <w:szCs w:val="24"/>
        </w:rPr>
        <w:t>Tarceva</w:t>
      </w:r>
      <w:proofErr w:type="spellEnd"/>
      <w:r>
        <w:rPr>
          <w:rFonts w:ascii="標楷體" w:eastAsia="標楷體" w:hAnsi="標楷體"/>
          <w:kern w:val="0"/>
          <w:szCs w:val="24"/>
        </w:rPr>
        <w:t>）：（96/6/1、96/8/1、97/6/1、101/5/1、101/10/1、102/4/1、102/11/1、103/5/1、106/11/1、108/6/1、108/11/1</w:t>
      </w:r>
      <w:r>
        <w:rPr>
          <w:rFonts w:ascii="標楷體" w:eastAsia="標楷體" w:hAnsi="標楷體"/>
        </w:rPr>
        <w:t>、109/4/1、109/6/1、109/10/1、111/2/1</w:t>
      </w:r>
      <w:r>
        <w:rPr>
          <w:rFonts w:ascii="新細明體" w:hAnsi="新細明體"/>
        </w:rPr>
        <w:t>、</w:t>
      </w:r>
      <w:r>
        <w:rPr>
          <w:rFonts w:ascii="標楷體" w:eastAsia="標楷體" w:hAnsi="標楷體"/>
        </w:rPr>
        <w:t>111/4/1</w:t>
      </w:r>
      <w:r>
        <w:rPr>
          <w:rFonts w:ascii="標楷體" w:eastAsia="標楷體" w:hAnsi="標楷體"/>
          <w:color w:val="000000"/>
        </w:rPr>
        <w:t>、113/3/1、113/6/1、113/9/1、113/10/1、114/3/1、114/4/1</w:t>
      </w:r>
      <w:r>
        <w:rPr>
          <w:rFonts w:ascii="標楷體" w:eastAsia="標楷體" w:hAnsi="標楷體"/>
          <w:kern w:val="0"/>
          <w:szCs w:val="24"/>
        </w:rPr>
        <w:t>）</w:t>
      </w:r>
    </w:p>
    <w:p w14:paraId="2E15E38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1.限單獨使用於</w:t>
      </w:r>
    </w:p>
    <w:p w14:paraId="18C5FEF2"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(1)適用於具有EGFR-TK突變之局部侵犯性或轉移性(即第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或第Ⅳ期)之肺腺癌病患之第一線治療，需檢附EGFR基因檢測結果報告，且需符合全民健康保險藥品給付規定之通則十二。(102/11/1、108/6/1、108/11/1、113/6/1）</w:t>
      </w:r>
    </w:p>
    <w:p w14:paraId="7ED2420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(2)已接受4個週期platinum類第一線化學療法後，腫瘤範圍穩定(stable disease，不含partial response或complete response)之局部晚期或轉移性肺腺癌的維持療法。(102/4/1)</w:t>
      </w:r>
    </w:p>
    <w:p w14:paraId="633C2EF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(3)先前已使用過platinum類第一線化學治療，或70歲以上接受過第一線化學治療，但仍局部惡化或轉移之腺性非小細胞肺癌之第二線用藥。（97/6/1、111/2/1）</w:t>
      </w:r>
    </w:p>
    <w:p w14:paraId="16E3399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(4)先前已使用過platinum類及docetaxel或paclitaxel化學治療後，但仍局部惡化或轉移之非小細胞肺癌之第三線用藥。</w:t>
      </w:r>
    </w:p>
    <w:p w14:paraId="2625FB2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2.Erlotinib與bevacizumab(除</w:t>
      </w:r>
      <w:proofErr w:type="spellStart"/>
      <w:r>
        <w:rPr>
          <w:rFonts w:ascii="標楷體" w:eastAsia="標楷體" w:hAnsi="標楷體"/>
          <w:color w:val="000000"/>
        </w:rPr>
        <w:t>Zirabev</w:t>
      </w:r>
      <w:proofErr w:type="spellEnd"/>
      <w:r>
        <w:rPr>
          <w:rFonts w:ascii="標楷體" w:eastAsia="標楷體" w:hAnsi="標楷體"/>
          <w:color w:val="000000"/>
        </w:rPr>
        <w:t>以外)併用，作為無法手術切除的轉移性（第Ⅳ期）且帶有表皮生長因子受體(EGFR) Exon 21 L858R活性化突變之腦轉移非鱗狀非小細胞肺癌病患的第一線治療。(113/3/1、113/9/1、114/3/1、114/4/1）</w:t>
      </w:r>
    </w:p>
    <w:p w14:paraId="1A1FD238" w14:textId="77777777" w:rsidR="00B96EA0" w:rsidRDefault="007D66B8" w:rsidP="005142EB">
      <w:pPr>
        <w:spacing w:line="400" w:lineRule="exact"/>
        <w:ind w:left="811" w:hanging="245"/>
      </w:pPr>
      <w:r>
        <w:rPr>
          <w:rFonts w:ascii="標楷體" w:eastAsia="標楷體" w:hAnsi="標楷體"/>
          <w:color w:val="000000"/>
        </w:rPr>
        <w:t>3.使用注意事項(106/11/1</w:t>
      </w:r>
      <w:r>
        <w:rPr>
          <w:rFonts w:ascii="標楷體" w:eastAsia="標楷體" w:hAnsi="標楷體"/>
        </w:rPr>
        <w:t>、109/4/1、109/10/1</w:t>
      </w:r>
      <w:r>
        <w:rPr>
          <w:rFonts w:ascii="新細明體" w:hAnsi="新細明體"/>
        </w:rPr>
        <w:t>、</w:t>
      </w:r>
      <w:r>
        <w:rPr>
          <w:rFonts w:ascii="標楷體" w:eastAsia="標楷體" w:hAnsi="標楷體"/>
        </w:rPr>
        <w:t>111/4/1</w:t>
      </w:r>
      <w:r>
        <w:rPr>
          <w:rFonts w:ascii="標楷體" w:eastAsia="標楷體" w:hAnsi="標楷體"/>
          <w:color w:val="000000"/>
        </w:rPr>
        <w:t>）</w:t>
      </w:r>
    </w:p>
    <w:p w14:paraId="51D06EC8" w14:textId="77777777" w:rsidR="00B96EA0" w:rsidRDefault="007D66B8" w:rsidP="005142EB">
      <w:pPr>
        <w:spacing w:line="400" w:lineRule="exact"/>
        <w:ind w:left="1049" w:hanging="341"/>
      </w:pPr>
      <w:r>
        <w:rPr>
          <w:rFonts w:ascii="標楷體" w:eastAsia="標楷體" w:hAnsi="標楷體"/>
          <w:kern w:val="0"/>
          <w:szCs w:val="24"/>
        </w:rPr>
        <w:lastRenderedPageBreak/>
        <w:t>(1)用於已接受platinum類第一線化學療法後，病情穩定之維持療法：病歷應留存確實患有肺腺癌之病理或細胞檢查報告，並附已接受4個週期platinum類第一線化學療法後，腫瘤範圍穩定(stable disease，不含partial response或complete response)之影像診斷證明（如胸部X光、電腦斷層或其他可作為評估的影像）。(102/4/1、106/11/1)</w:t>
      </w:r>
    </w:p>
    <w:p w14:paraId="4436D096" w14:textId="77777777" w:rsidR="00B96EA0" w:rsidRDefault="007D66B8" w:rsidP="005142EB">
      <w:pPr>
        <w:spacing w:line="400" w:lineRule="exact"/>
        <w:ind w:left="1049" w:hanging="341"/>
      </w:pPr>
      <w:r>
        <w:rPr>
          <w:rFonts w:ascii="標楷體" w:eastAsia="標楷體" w:hAnsi="標楷體"/>
          <w:color w:val="000000"/>
        </w:rPr>
        <w:t>(2)</w:t>
      </w:r>
      <w:r>
        <w:rPr>
          <w:rFonts w:ascii="標楷體" w:eastAsia="標楷體" w:hAnsi="標楷體"/>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14:paraId="05ECF3D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(3)用於第三線用藥：病歷應留存確實患有非小細胞肺癌之病理或細胞檢查報告，並附曾經接受第一線及第二線化學藥物如platinum(cisplatin或carboplatin)與</w:t>
      </w:r>
      <w:proofErr w:type="spellStart"/>
      <w:r>
        <w:rPr>
          <w:rFonts w:ascii="標楷體" w:eastAsia="標楷體" w:hAnsi="標楷體"/>
          <w:color w:val="000000"/>
        </w:rPr>
        <w:t>taxane</w:t>
      </w:r>
      <w:proofErr w:type="spellEnd"/>
      <w:r>
        <w:rPr>
          <w:rFonts w:ascii="標楷體" w:eastAsia="標楷體" w:hAnsi="標楷體"/>
          <w:color w:val="000000"/>
        </w:rPr>
        <w:t>(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14:paraId="6E5367C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(4)每次處方以4週為限，再次處方時需於病歷記錄治療後相關臨床資料，如每4週需追蹤胸部X光或電腦斷層等影像檢查，每8至12週需進行完整療效評估（如胸部X光或電腦斷層）。(101/5/1、106/11/1)</w:t>
      </w:r>
    </w:p>
    <w:p w14:paraId="10C133FC" w14:textId="77777777" w:rsidR="00B96EA0" w:rsidRDefault="007D66B8" w:rsidP="005142EB">
      <w:pPr>
        <w:spacing w:line="400" w:lineRule="exact"/>
        <w:ind w:left="1049" w:hanging="341"/>
      </w:pPr>
      <w:r>
        <w:rPr>
          <w:rFonts w:ascii="標楷體" w:eastAsia="標楷體" w:hAnsi="標楷體"/>
          <w:color w:val="000000"/>
        </w:rPr>
        <w:t>(5)本藥品與gefitinib及afatinib不得併用。(103/5/1</w:t>
      </w:r>
      <w:r>
        <w:rPr>
          <w:rFonts w:ascii="標楷體" w:eastAsia="標楷體" w:hAnsi="標楷體"/>
        </w:rPr>
        <w:t>、109/4/1</w:t>
      </w:r>
      <w:r>
        <w:rPr>
          <w:rFonts w:ascii="標楷體" w:eastAsia="標楷體" w:hAnsi="標楷體"/>
          <w:color w:val="000000"/>
        </w:rPr>
        <w:t>)</w:t>
      </w:r>
    </w:p>
    <w:p w14:paraId="5EF3F33B" w14:textId="77777777" w:rsidR="00B96EA0" w:rsidRDefault="007D66B8" w:rsidP="005142EB">
      <w:pPr>
        <w:spacing w:line="400" w:lineRule="exact"/>
        <w:ind w:left="1049" w:hanging="341"/>
      </w:pPr>
      <w:r>
        <w:rPr>
          <w:rFonts w:ascii="標楷體" w:eastAsia="標楷體" w:hAnsi="標楷體"/>
        </w:rPr>
        <w:t>(6)本藥品於第一線使用時，與</w:t>
      </w:r>
      <w:proofErr w:type="spellStart"/>
      <w:r>
        <w:rPr>
          <w:rFonts w:ascii="標楷體" w:eastAsia="標楷體" w:hAnsi="標楷體"/>
        </w:rPr>
        <w:t>osimertinib</w:t>
      </w:r>
      <w:proofErr w:type="spellEnd"/>
      <w:r>
        <w:rPr>
          <w:rFonts w:ascii="標楷體" w:eastAsia="標楷體" w:hAnsi="標楷體"/>
        </w:rPr>
        <w:t>及dacomitinib僅得擇一使用，除因耐受性不良，不得互換。(109/6/1、109/10/1、111/4/1、113/10/1)</w:t>
      </w:r>
    </w:p>
    <w:p w14:paraId="4FC71079" w14:textId="77777777" w:rsidR="00B96EA0" w:rsidRDefault="007D66B8" w:rsidP="005142EB">
      <w:pPr>
        <w:spacing w:line="400" w:lineRule="exact"/>
        <w:ind w:left="1414" w:hanging="336"/>
      </w:pPr>
      <w:r>
        <w:rPr>
          <w:rFonts w:ascii="標楷體" w:eastAsia="標楷體" w:hAnsi="標楷體"/>
          <w:color w:val="000000"/>
        </w:rPr>
        <w:t>Ⅰ.如需更換使用</w:t>
      </w:r>
      <w:proofErr w:type="spellStart"/>
      <w:r>
        <w:rPr>
          <w:rFonts w:ascii="標楷體" w:eastAsia="標楷體" w:hAnsi="標楷體"/>
          <w:color w:val="000000"/>
        </w:rPr>
        <w:t>osimertinib</w:t>
      </w:r>
      <w:proofErr w:type="spellEnd"/>
      <w:r>
        <w:rPr>
          <w:rFonts w:ascii="標楷體" w:eastAsia="標楷體" w:hAnsi="標楷體"/>
          <w:color w:val="000000"/>
        </w:rPr>
        <w:t>，必須符合</w:t>
      </w:r>
      <w:proofErr w:type="spellStart"/>
      <w:r>
        <w:rPr>
          <w:rFonts w:ascii="標楷體" w:eastAsia="標楷體" w:hAnsi="標楷體"/>
          <w:color w:val="000000"/>
        </w:rPr>
        <w:t>osimertinib</w:t>
      </w:r>
      <w:proofErr w:type="spellEnd"/>
      <w:r>
        <w:rPr>
          <w:rFonts w:ascii="標楷體" w:eastAsia="標楷體" w:hAnsi="標楷體"/>
          <w:color w:val="000000"/>
        </w:rPr>
        <w:t>第一線使用於具有EGFR Exon 19 Del或Exon 21 L858R基因突變之局部侵犯性或轉移性（即為IIIB、IIIC期或第Ⅳ期）肺腺癌病患之限制。(109/6/1、111/4/1、113/10/1)</w:t>
      </w:r>
    </w:p>
    <w:p w14:paraId="22CFDD55"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14:paraId="1B6AC486" w14:textId="77777777"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備註1：非小細胞肺癌病患的第二線治療用藥之定義為：病患需先經第一線含鉑化學治療，或70歲(含)以上接受過第一線化學治療後，因疾病惡化，此時所給予之治療即為第二線用藥。（97/6/1）</w:t>
      </w:r>
    </w:p>
    <w:p w14:paraId="6A01F675" w14:textId="77777777"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備註2：非小細胞肺癌病患的第三線治療用藥之定義為：病患需先經第一線化學藥物治療後，因疾病惡化，再經第二線不同的化學藥物治療之後，若疾病再度惡化，此時所給予之治療即為第三線用藥。</w:t>
      </w:r>
    </w:p>
    <w:p w14:paraId="6858E608" w14:textId="77777777" w:rsidR="00B96EA0" w:rsidRDefault="00642BBE" w:rsidP="005142EB">
      <w:pPr>
        <w:spacing w:line="400" w:lineRule="exact"/>
        <w:ind w:left="709" w:hanging="353"/>
        <w:rPr>
          <w:rFonts w:ascii="標楷體" w:eastAsia="標楷體" w:hAnsi="標楷體"/>
          <w:color w:val="000000"/>
        </w:rPr>
      </w:pPr>
      <w:r>
        <w:rPr>
          <w:rFonts w:ascii="標楷體" w:eastAsia="標楷體" w:hAnsi="標楷體"/>
          <w:color w:val="000000"/>
        </w:rPr>
        <w:t>9.30.Dasatinib(如</w:t>
      </w:r>
      <w:proofErr w:type="spellStart"/>
      <w:r>
        <w:rPr>
          <w:rFonts w:ascii="標楷體" w:eastAsia="標楷體" w:hAnsi="標楷體"/>
          <w:color w:val="000000"/>
        </w:rPr>
        <w:t>Sprycel</w:t>
      </w:r>
      <w:proofErr w:type="spellEnd"/>
      <w:r>
        <w:rPr>
          <w:rFonts w:ascii="標楷體" w:eastAsia="標楷體" w:hAnsi="標楷體"/>
          <w:color w:val="000000"/>
        </w:rPr>
        <w:t>)：(98/1/1、102/4/1、104/12/1、110/5/1、113/6/1</w:t>
      </w:r>
      <w:r>
        <w:rPr>
          <w:rFonts w:ascii="標楷體" w:eastAsia="標楷體" w:hAnsi="標楷體" w:hint="eastAsia"/>
          <w:color w:val="000000"/>
        </w:rPr>
        <w:t>、</w:t>
      </w:r>
      <w:r>
        <w:rPr>
          <w:rFonts w:ascii="標楷體" w:eastAsia="標楷體" w:hAnsi="標楷體" w:hint="eastAsia"/>
          <w:color w:val="000000"/>
        </w:rPr>
        <w:lastRenderedPageBreak/>
        <w:t>115/2/1</w:t>
      </w:r>
      <w:r>
        <w:rPr>
          <w:rFonts w:ascii="標楷體" w:eastAsia="標楷體" w:hAnsi="標楷體"/>
          <w:color w:val="000000"/>
        </w:rPr>
        <w:t>)</w:t>
      </w:r>
    </w:p>
    <w:p w14:paraId="357DA09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限用於</w:t>
      </w:r>
    </w:p>
    <w:p w14:paraId="2F8698F9" w14:textId="77777777"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14:paraId="59A7534F"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(1)治療新診斷的費城染色體陽性之慢性期慢性骨髓性白血病的成人。</w:t>
      </w:r>
    </w:p>
    <w:p w14:paraId="0333E92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(2)併用化療適用於新診斷費城染色體陽性急性淋巴性白血病(Ph+ ALL)之1歲以上兒童病人，無疾病惡化時的維持治療限使用2年。(110/5/1)</w:t>
      </w:r>
    </w:p>
    <w:p w14:paraId="79841C69" w14:textId="77777777"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14:paraId="5C42DE88"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14:paraId="0C5FF80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(2)治療患有費城染色體陽性急性淋巴性白血病，且對先前經imatinib 400mg(含)以上治療後有抗藥性或無耐受性的成人。</w:t>
      </w:r>
    </w:p>
    <w:p w14:paraId="58BAD83E"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14:paraId="1306A91A" w14:textId="77777777"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14:paraId="0192177A" w14:textId="77777777"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14:paraId="5C9B4C4E" w14:textId="77777777" w:rsidR="00B96EA0" w:rsidRDefault="00642BBE" w:rsidP="00642BBE">
      <w:pPr>
        <w:spacing w:line="400" w:lineRule="exact"/>
        <w:ind w:left="851" w:hanging="211"/>
        <w:rPr>
          <w:rFonts w:ascii="標楷體" w:eastAsia="標楷體" w:hAnsi="標楷體"/>
          <w:color w:val="000000"/>
        </w:rPr>
      </w:pPr>
      <w:r>
        <w:rPr>
          <w:rFonts w:ascii="標楷體" w:eastAsia="標楷體" w:hAnsi="標楷體" w:hint="eastAsia"/>
          <w:color w:val="000000"/>
        </w:rPr>
        <w:t>5.</w:t>
      </w:r>
      <w:r w:rsidRPr="001D0398">
        <w:rPr>
          <w:rFonts w:ascii="標楷體" w:eastAsia="標楷體" w:hAnsi="標楷體" w:hint="eastAsia"/>
          <w:color w:val="000000"/>
        </w:rPr>
        <w:t>Dasatinib、nilotinib與bosutinib不得合併使用。(115/2/1)</w:t>
      </w:r>
    </w:p>
    <w:p w14:paraId="4CCB33E3" w14:textId="77777777"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w:t>
      </w:r>
      <w:proofErr w:type="spellStart"/>
      <w:r>
        <w:rPr>
          <w:rFonts w:ascii="標楷體" w:eastAsia="標楷體" w:hAnsi="標楷體"/>
        </w:rPr>
        <w:t>Sutent</w:t>
      </w:r>
      <w:proofErr w:type="spellEnd"/>
      <w:r>
        <w:rPr>
          <w:rFonts w:ascii="標楷體" w:eastAsia="標楷體" w:hAnsi="標楷體"/>
        </w:rPr>
        <w:t>）：（98/2/1、98/5/1、99/1/1、99/2/1、101/5/1、102/1/1、104/12/1、110/12/1、112/3/1）</w:t>
      </w:r>
    </w:p>
    <w:p w14:paraId="2A9271D2" w14:textId="77777777" w:rsidR="00B96EA0" w:rsidRDefault="007D66B8" w:rsidP="005142EB">
      <w:pPr>
        <w:spacing w:line="400" w:lineRule="exact"/>
        <w:ind w:left="993" w:hanging="341"/>
        <w:rPr>
          <w:rFonts w:ascii="標楷體" w:eastAsia="標楷體" w:hAnsi="標楷體"/>
        </w:rPr>
      </w:pPr>
      <w:r>
        <w:rPr>
          <w:rFonts w:ascii="標楷體" w:eastAsia="標楷體" w:hAnsi="標楷體"/>
        </w:rPr>
        <w:t>1.腸胃道間質腫瘤：</w:t>
      </w:r>
    </w:p>
    <w:p w14:paraId="4F253D69"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(1)限用於以imatinib治療期間出現疾病惡化或對該藥出現不能忍受之腸胃道間質腫瘤(99/2/1)。</w:t>
      </w:r>
    </w:p>
    <w:p w14:paraId="62B1C0D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14:paraId="584077FC"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(3)需經事前審查核准後使用，送審時須檢送病歷及對imatinib耐受性不良或無效之證明。（98/5/1）(99/2/1)</w:t>
      </w:r>
    </w:p>
    <w:p w14:paraId="3C47E400" w14:textId="77777777" w:rsidR="00B96EA0" w:rsidRDefault="007D66B8" w:rsidP="005142EB">
      <w:pPr>
        <w:spacing w:line="400" w:lineRule="exact"/>
        <w:ind w:left="1049" w:hanging="341"/>
      </w:pPr>
      <w:r>
        <w:rPr>
          <w:rFonts w:ascii="標楷體" w:eastAsia="標楷體" w:hAnsi="標楷體"/>
        </w:rPr>
        <w:t>2.</w:t>
      </w:r>
      <w:r>
        <w:t xml:space="preserve"> </w:t>
      </w:r>
      <w:r>
        <w:rPr>
          <w:rFonts w:ascii="標楷體" w:eastAsia="標楷體" w:hAnsi="標楷體"/>
        </w:rPr>
        <w:t>晚期腎細胞癌：（99/1/1、110/12/1、112/3/1）</w:t>
      </w:r>
    </w:p>
    <w:p w14:paraId="2D02AB98" w14:textId="77777777"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可用於第一線治療晚期或轉移性腎細胞癌。（112/3/1）</w:t>
      </w:r>
    </w:p>
    <w:p w14:paraId="5A7DA6A8"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(2)無效後則不給付</w:t>
      </w:r>
      <w:proofErr w:type="spellStart"/>
      <w:r>
        <w:rPr>
          <w:rFonts w:ascii="標楷體" w:eastAsia="標楷體" w:hAnsi="標楷體"/>
        </w:rPr>
        <w:t>temsirolimus</w:t>
      </w:r>
      <w:proofErr w:type="spellEnd"/>
      <w:r>
        <w:rPr>
          <w:rFonts w:ascii="標楷體" w:eastAsia="標楷體" w:hAnsi="標楷體"/>
        </w:rPr>
        <w:t>。（110/12/1）</w:t>
      </w:r>
    </w:p>
    <w:p w14:paraId="216F5CF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(3)需檢送影像資料，每三個月評估一次。(104/12/1)</w:t>
      </w:r>
    </w:p>
    <w:p w14:paraId="484E32B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14:paraId="7AFC7F2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3.進展性，無法切除或轉移性分化良好之胰臟神經內分泌腫瘤的成人病患，須同時符合下列條件：(101/5/1）</w:t>
      </w:r>
    </w:p>
    <w:p w14:paraId="43A6F1D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14:paraId="76992D9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(2)於一年內影像檢查證實有明顯惡化者。</w:t>
      </w:r>
    </w:p>
    <w:p w14:paraId="6D778559"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lastRenderedPageBreak/>
        <w:t>(3)不可合併使用化學治療或相關標靶藥物。（102/1/1）</w:t>
      </w:r>
    </w:p>
    <w:p w14:paraId="1D4392DB" w14:textId="77777777" w:rsidR="00B96EA0" w:rsidRDefault="007D66B8" w:rsidP="005142EB">
      <w:pPr>
        <w:spacing w:line="400" w:lineRule="exact"/>
        <w:ind w:left="1049" w:hanging="341"/>
      </w:pPr>
      <w:r>
        <w:rPr>
          <w:rFonts w:ascii="標楷體" w:eastAsia="標楷體" w:hAnsi="標楷體"/>
        </w:rPr>
        <w:t>(4)經事前專案審查核准後使用，且需每3個月評估一次。</w:t>
      </w:r>
    </w:p>
    <w:p w14:paraId="4465A83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w:t>
      </w:r>
      <w:r w:rsidR="00642BBE" w:rsidRPr="00642BBE">
        <w:rPr>
          <w:rFonts w:ascii="標楷體" w:eastAsia="標楷體" w:hAnsi="標楷體"/>
          <w:color w:val="000000"/>
        </w:rPr>
        <w:t xml:space="preserve"> </w:t>
      </w:r>
      <w:r w:rsidR="00642BBE">
        <w:rPr>
          <w:rFonts w:ascii="標楷體" w:eastAsia="標楷體" w:hAnsi="標楷體"/>
          <w:color w:val="000000"/>
        </w:rPr>
        <w:t>Nilotinib：（98/6/1、99/1/1、101/7/1、113/6/1</w:t>
      </w:r>
      <w:r w:rsidR="00642BBE">
        <w:rPr>
          <w:rFonts w:ascii="標楷體" w:eastAsia="標楷體" w:hAnsi="標楷體" w:hint="eastAsia"/>
          <w:color w:val="000000"/>
        </w:rPr>
        <w:t>、1</w:t>
      </w:r>
      <w:r w:rsidR="00642BBE">
        <w:rPr>
          <w:rFonts w:ascii="標楷體" w:eastAsia="標楷體" w:hAnsi="標楷體"/>
          <w:color w:val="000000"/>
        </w:rPr>
        <w:t>15/2/1）附表九之六</w:t>
      </w:r>
    </w:p>
    <w:p w14:paraId="0AF2F27E" w14:textId="77777777" w:rsidR="00B96EA0" w:rsidRDefault="00A3054C"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w:t>
      </w:r>
      <w:proofErr w:type="spellStart"/>
      <w:r>
        <w:rPr>
          <w:rFonts w:ascii="標楷體" w:eastAsia="標楷體" w:hAnsi="標楷體"/>
          <w:color w:val="000000"/>
        </w:rPr>
        <w:t>Tasigna</w:t>
      </w:r>
      <w:proofErr w:type="spellEnd"/>
      <w:r>
        <w:rPr>
          <w:rFonts w:ascii="標楷體" w:eastAsia="標楷體" w:hAnsi="標楷體"/>
          <w:color w:val="000000"/>
        </w:rPr>
        <w:t xml:space="preserve"> 200mg)（98/6/1、99/1/1、104/12/1、113/6/1</w:t>
      </w:r>
      <w:r>
        <w:rPr>
          <w:rFonts w:ascii="標楷體" w:eastAsia="標楷體" w:hAnsi="標楷體" w:hint="eastAsia"/>
          <w:color w:val="000000"/>
        </w:rPr>
        <w:t>、1</w:t>
      </w:r>
      <w:r>
        <w:rPr>
          <w:rFonts w:ascii="標楷體" w:eastAsia="標楷體" w:hAnsi="標楷體"/>
          <w:color w:val="000000"/>
        </w:rPr>
        <w:t>15/2/1）</w:t>
      </w:r>
    </w:p>
    <w:p w14:paraId="254D7B34" w14:textId="77777777" w:rsidR="00A3054C" w:rsidRDefault="007D66B8" w:rsidP="00A3054C">
      <w:pPr>
        <w:spacing w:line="400" w:lineRule="exact"/>
        <w:ind w:left="811" w:hanging="245"/>
        <w:rPr>
          <w:rFonts w:ascii="標楷體" w:eastAsia="標楷體" w:hAnsi="標楷體"/>
          <w:color w:val="000000"/>
        </w:rPr>
      </w:pPr>
      <w:r>
        <w:rPr>
          <w:rFonts w:ascii="標楷體" w:eastAsia="標楷體" w:hAnsi="標楷體"/>
          <w:color w:val="000000"/>
        </w:rPr>
        <w:t>1.</w:t>
      </w:r>
      <w:r w:rsidR="00A3054C" w:rsidRPr="00A3054C">
        <w:rPr>
          <w:rFonts w:ascii="標楷體" w:eastAsia="標楷體" w:hAnsi="標楷體"/>
          <w:color w:val="000000"/>
        </w:rPr>
        <w:t xml:space="preserve"> </w:t>
      </w:r>
      <w:r w:rsidR="00A3054C">
        <w:rPr>
          <w:rFonts w:ascii="標楷體" w:eastAsia="標楷體" w:hAnsi="標楷體"/>
          <w:color w:val="000000"/>
        </w:rPr>
        <w:t>限用於治療對imatinib 400MG(含)以上耐受性不良或治療無效的「慢性期或加速期費城染色體(Philadelphia chromosome)陽性的慢性骨髓性白血病(CML)成年患者」。</w:t>
      </w:r>
    </w:p>
    <w:p w14:paraId="287C52E8" w14:textId="77777777"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2.必須檢附耐受性不良或治療無效的證明。(104/12/1)</w:t>
      </w:r>
    </w:p>
    <w:p w14:paraId="44856007" w14:textId="77777777"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3.Nilotinib</w:t>
      </w:r>
      <w:r>
        <w:rPr>
          <w:rFonts w:ascii="標楷體" w:eastAsia="標楷體" w:hAnsi="標楷體" w:hint="eastAsia"/>
          <w:color w:val="000000"/>
        </w:rPr>
        <w:t>、</w:t>
      </w:r>
      <w:proofErr w:type="spellStart"/>
      <w:r>
        <w:rPr>
          <w:rFonts w:ascii="標楷體" w:eastAsia="標楷體" w:hAnsi="標楷體"/>
          <w:color w:val="000000"/>
        </w:rPr>
        <w:t>dasatini</w:t>
      </w:r>
      <w:r>
        <w:rPr>
          <w:rFonts w:ascii="標楷體" w:eastAsia="標楷體" w:hAnsi="標楷體" w:hint="eastAsia"/>
          <w:color w:val="000000"/>
        </w:rPr>
        <w:t>b</w:t>
      </w:r>
      <w:proofErr w:type="spellEnd"/>
      <w:r>
        <w:rPr>
          <w:rFonts w:ascii="標楷體" w:eastAsia="標楷體" w:hAnsi="標楷體" w:hint="eastAsia"/>
          <w:color w:val="000000"/>
        </w:rPr>
        <w:t>與</w:t>
      </w:r>
      <w:r w:rsidRPr="001D0398">
        <w:rPr>
          <w:rFonts w:ascii="標楷體" w:eastAsia="標楷體" w:hAnsi="標楷體" w:hint="eastAsia"/>
          <w:color w:val="000000"/>
        </w:rPr>
        <w:t>bosutinib不得合併使用。（98/6/1、99/1/1、104/12/1、115/2/1)</w:t>
      </w:r>
    </w:p>
    <w:p w14:paraId="4BC1CCE6" w14:textId="77777777" w:rsidR="00B96EA0"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14:paraId="64DE8405"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w:t>
      </w:r>
      <w:proofErr w:type="spellStart"/>
      <w:r>
        <w:rPr>
          <w:rFonts w:ascii="標楷體" w:eastAsia="標楷體" w:hAnsi="標楷體"/>
          <w:color w:val="000000"/>
        </w:rPr>
        <w:t>Tasigna</w:t>
      </w:r>
      <w:proofErr w:type="spellEnd"/>
      <w:r>
        <w:rPr>
          <w:rFonts w:ascii="標楷體" w:eastAsia="標楷體" w:hAnsi="標楷體"/>
          <w:color w:val="000000"/>
        </w:rPr>
        <w:t xml:space="preserve"> 150mg)：(101/7/1、104/12/1、113/6/1)</w:t>
      </w:r>
    </w:p>
    <w:p w14:paraId="477BA64F"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1.限用於新確診之慢性期費城染色體陽性的慢性骨髓性白血病。(104/12/1)</w:t>
      </w:r>
    </w:p>
    <w:p w14:paraId="6DA7ED2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14:paraId="5E41E3CF"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14:paraId="20CD52BE"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melphalan併用，或和骨髓移植併用，或和</w:t>
      </w:r>
      <w:proofErr w:type="spellStart"/>
      <w:r>
        <w:rPr>
          <w:rFonts w:ascii="標楷體" w:eastAsia="標楷體" w:hAnsi="標楷體"/>
          <w:color w:val="000000"/>
        </w:rPr>
        <w:t>palmidronate</w:t>
      </w:r>
      <w:proofErr w:type="spellEnd"/>
      <w:r>
        <w:rPr>
          <w:rFonts w:ascii="標楷體" w:eastAsia="標楷體" w:hAnsi="標楷體"/>
          <w:color w:val="000000"/>
        </w:rPr>
        <w:t>併用於骨髓移植後之治療。</w:t>
      </w:r>
    </w:p>
    <w:p w14:paraId="7FEC14FE" w14:textId="77777777" w:rsidR="00B96EA0" w:rsidRDefault="007D66B8" w:rsidP="005142EB">
      <w:pPr>
        <w:spacing w:line="400" w:lineRule="exact"/>
        <w:ind w:left="672" w:hanging="386"/>
      </w:pPr>
      <w:r>
        <w:rPr>
          <w:rFonts w:ascii="標楷體" w:eastAsia="標楷體" w:hAnsi="標楷體"/>
          <w:color w:val="000000"/>
        </w:rPr>
        <w:t>9.34.Sorafenib(如</w:t>
      </w:r>
      <w:proofErr w:type="spellStart"/>
      <w:r>
        <w:rPr>
          <w:rFonts w:ascii="標楷體" w:eastAsia="標楷體" w:hAnsi="標楷體"/>
          <w:color w:val="000000"/>
        </w:rPr>
        <w:t>Nexavar</w:t>
      </w:r>
      <w:proofErr w:type="spellEnd"/>
      <w:r>
        <w:rPr>
          <w:rFonts w:ascii="標楷體" w:eastAsia="標楷體" w:hAnsi="標楷體"/>
          <w:color w:val="000000"/>
        </w:rPr>
        <w:t>)：(98/10/1、100/6/1、101/8/1、104/12/1、105/11/1、106/1/1、107/7/1、108/6/1、108/12/1、109/1/1、112/8/1、114/2/1、114/6/1)</w:t>
      </w:r>
    </w:p>
    <w:p w14:paraId="1EEE498A" w14:textId="77777777" w:rsidR="00B96EA0" w:rsidRDefault="007D66B8" w:rsidP="005142EB">
      <w:pPr>
        <w:spacing w:line="400" w:lineRule="exact"/>
        <w:ind w:left="811" w:hanging="245"/>
      </w:pPr>
      <w:r>
        <w:rPr>
          <w:rFonts w:ascii="標楷體" w:eastAsia="標楷體" w:hAnsi="標楷體"/>
          <w:color w:val="000000"/>
          <w:lang w:val="it-IT"/>
        </w:rPr>
        <w:t>1.</w:t>
      </w:r>
      <w:r>
        <w:rPr>
          <w:rFonts w:ascii="標楷體" w:eastAsia="標楷體" w:hAnsi="標楷體"/>
          <w:color w:val="000000"/>
        </w:rPr>
        <w:t>晚期腎細胞癌部分</w:t>
      </w:r>
      <w:r>
        <w:rPr>
          <w:rFonts w:ascii="標楷體" w:eastAsia="標楷體" w:hAnsi="標楷體"/>
          <w:color w:val="000000"/>
          <w:lang w:val="it-IT"/>
        </w:rPr>
        <w:t>：</w:t>
      </w:r>
    </w:p>
    <w:p w14:paraId="3687F0F3" w14:textId="77777777" w:rsidR="00B96EA0" w:rsidRDefault="007D66B8" w:rsidP="005142EB">
      <w:pPr>
        <w:spacing w:line="400" w:lineRule="exact"/>
        <w:ind w:left="1049" w:hanging="341"/>
      </w:pPr>
      <w:r>
        <w:rPr>
          <w:rFonts w:ascii="標楷體" w:eastAsia="標楷體" w:hAnsi="標楷體"/>
          <w:color w:val="000000"/>
          <w:lang w:val="it-IT"/>
        </w:rPr>
        <w:t>(1)</w:t>
      </w:r>
      <w:r>
        <w:rPr>
          <w:rFonts w:ascii="標楷體" w:eastAsia="標楷體" w:hAnsi="標楷體"/>
          <w:color w:val="000000"/>
        </w:rPr>
        <w:t>晚期腎細胞癌且已接受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或不適合以上兩種藥物治療之病患。不適合以上兩種藥物治療之病患，須符合cytokine禁忌症者得直接使用sorafenib。但須列舉出所符合之禁忌症及檢附相關證明。(100/6/1)</w:t>
      </w:r>
    </w:p>
    <w:p w14:paraId="18336E80"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(2)無效後則不給付</w:t>
      </w:r>
      <w:proofErr w:type="spellStart"/>
      <w:r>
        <w:rPr>
          <w:rFonts w:ascii="標楷體" w:eastAsia="標楷體" w:hAnsi="標楷體"/>
          <w:color w:val="000000"/>
        </w:rPr>
        <w:t>temsirolimus</w:t>
      </w:r>
      <w:proofErr w:type="spellEnd"/>
      <w:r>
        <w:rPr>
          <w:rFonts w:ascii="標楷體" w:eastAsia="標楷體" w:hAnsi="標楷體"/>
          <w:color w:val="000000"/>
        </w:rPr>
        <w:t>。(108/12/1)</w:t>
      </w:r>
    </w:p>
    <w:p w14:paraId="0822DE4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14:paraId="3CB5D8A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2.晚期肝細胞癌部分：(101/8/1、105/11/1、108/6/1、109/1/1、112/8/1、114/2/1、114/6/1)</w:t>
      </w:r>
    </w:p>
    <w:p w14:paraId="274470F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14:paraId="07AF148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Ⅰ.肝外轉移（遠端轉移或肝外淋巴結侵犯）。</w:t>
      </w:r>
    </w:p>
    <w:p w14:paraId="62B2E2C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14:paraId="03B3739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 xml:space="preserve">III.經導管動脈化學藥物栓塞治療（Transcatheter arterial chemo </w:t>
      </w:r>
      <w:proofErr w:type="spellStart"/>
      <w:r>
        <w:rPr>
          <w:rFonts w:ascii="標楷體" w:eastAsia="標楷體" w:hAnsi="標楷體"/>
          <w:color w:val="000000"/>
        </w:rPr>
        <w:t>embolization,T.A.C.E</w:t>
      </w:r>
      <w:proofErr w:type="spellEnd"/>
      <w:r>
        <w:rPr>
          <w:rFonts w:ascii="標楷體" w:eastAsia="標楷體" w:hAnsi="標楷體"/>
          <w:color w:val="000000"/>
        </w:rPr>
        <w:t>.）失敗者，需提供患者於12個月內&gt;=3次局部治療之記</w:t>
      </w:r>
      <w:r>
        <w:rPr>
          <w:rFonts w:ascii="標楷體" w:eastAsia="標楷體" w:hAnsi="標楷體"/>
          <w:color w:val="000000"/>
        </w:rPr>
        <w:lastRenderedPageBreak/>
        <w:t>錄。</w:t>
      </w:r>
    </w:p>
    <w:p w14:paraId="16664CA3"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14:paraId="6D96C874"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14:paraId="4C94EFA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w:t>
      </w:r>
      <w:proofErr w:type="spellStart"/>
      <w:r>
        <w:rPr>
          <w:rFonts w:ascii="標楷體" w:eastAsia="標楷體" w:hAnsi="標楷體"/>
          <w:color w:val="000000"/>
        </w:rPr>
        <w:t>lenvatinib</w:t>
      </w:r>
      <w:proofErr w:type="spellEnd"/>
      <w:r>
        <w:rPr>
          <w:rFonts w:ascii="標楷體" w:eastAsia="標楷體" w:hAnsi="標楷體"/>
          <w:color w:val="000000"/>
        </w:rPr>
        <w:t>、atezolizumab併用bevacizumab、</w:t>
      </w:r>
      <w:proofErr w:type="spellStart"/>
      <w:r>
        <w:rPr>
          <w:rFonts w:ascii="標楷體" w:eastAsia="標楷體" w:hAnsi="標楷體"/>
          <w:color w:val="000000"/>
        </w:rPr>
        <w:t>tremelimumab</w:t>
      </w:r>
      <w:proofErr w:type="spellEnd"/>
      <w:r>
        <w:rPr>
          <w:rFonts w:ascii="標楷體" w:eastAsia="標楷體" w:hAnsi="標楷體"/>
          <w:color w:val="000000"/>
        </w:rPr>
        <w:t>併用durvalumab僅得擇一給付，不得互換。(109/1/1、112/8/1、114/2/1)</w:t>
      </w:r>
    </w:p>
    <w:p w14:paraId="08BB51C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3.用於放射性碘治療無效之局部晚期或轉移性的進行性(progressive)分化型甲狀腺癌(RAI-RDTC)：(106/1/1)</w:t>
      </w:r>
    </w:p>
    <w:p w14:paraId="153C42C4" w14:textId="77777777"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14:paraId="43DA1106" w14:textId="77777777"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14:paraId="1FCBF962" w14:textId="77777777"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w:t>
      </w:r>
      <w:proofErr w:type="spellStart"/>
      <w:r>
        <w:rPr>
          <w:rFonts w:ascii="標楷體" w:eastAsia="標楷體" w:hAnsi="標楷體"/>
          <w:color w:val="000000"/>
        </w:rPr>
        <w:t>lenvatinib</w:t>
      </w:r>
      <w:proofErr w:type="spellEnd"/>
      <w:r>
        <w:rPr>
          <w:rFonts w:ascii="標楷體" w:eastAsia="標楷體" w:hAnsi="標楷體"/>
          <w:color w:val="000000"/>
        </w:rPr>
        <w:t>不得合併使用。(107/7/1)</w:t>
      </w:r>
    </w:p>
    <w:p w14:paraId="6F2AF52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9.35.carmustine植入劑(如</w:t>
      </w:r>
      <w:proofErr w:type="spellStart"/>
      <w:r>
        <w:rPr>
          <w:rFonts w:ascii="標楷體" w:eastAsia="標楷體" w:hAnsi="標楷體"/>
          <w:color w:val="000000"/>
        </w:rPr>
        <w:t>Gliadel</w:t>
      </w:r>
      <w:proofErr w:type="spellEnd"/>
      <w:r>
        <w:rPr>
          <w:rFonts w:ascii="標楷體" w:eastAsia="標楷體" w:hAnsi="標楷體"/>
          <w:color w:val="000000"/>
        </w:rPr>
        <w:t xml:space="preserve"> Wafer)：(100/2/1)附表八之四</w:t>
      </w:r>
    </w:p>
    <w:p w14:paraId="5E0B96C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1.作為復發性多形神經膠母細胞瘤病人的手術輔助，且不得與temozolomide併用。</w:t>
      </w:r>
    </w:p>
    <w:p w14:paraId="7DA3764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14:paraId="02FE6269" w14:textId="77777777"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14:paraId="74120220" w14:textId="77777777"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w:t>
      </w:r>
      <w:proofErr w:type="spellStart"/>
      <w:r w:rsidRPr="00FC226B">
        <w:rPr>
          <w:rFonts w:ascii="標楷體" w:eastAsia="標楷體" w:hAnsi="標楷體"/>
          <w:szCs w:val="24"/>
        </w:rPr>
        <w:t>Afinitor</w:t>
      </w:r>
      <w:proofErr w:type="spellEnd"/>
      <w:r w:rsidRPr="00FC226B">
        <w:rPr>
          <w:rFonts w:ascii="標楷體" w:eastAsia="標楷體" w:hAnsi="標楷體"/>
          <w:szCs w:val="24"/>
        </w:rPr>
        <w:t xml:space="preserve">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14:paraId="71E8775E" w14:textId="77777777"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1.治療經VEGF-targeted療法無效後之晚期腎細胞癌患者。</w:t>
      </w:r>
    </w:p>
    <w:p w14:paraId="7E3837B9" w14:textId="77777777"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14:paraId="4DBEA7AC"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14:paraId="263347E1"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14:paraId="185946C7"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(3)不可合併使用化學藥物或其他標靶藥物。</w:t>
      </w:r>
    </w:p>
    <w:p w14:paraId="33FCF113"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(4)除因病人使用本品後，發生嚴重不良反應或耐受不良之情形外，本品與sunitinib不得轉換使用。</w:t>
      </w:r>
    </w:p>
    <w:p w14:paraId="09B922E6" w14:textId="77777777"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14:paraId="1E7C7F7D" w14:textId="77777777"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14:paraId="29339F26" w14:textId="77777777"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14:paraId="3C6D4C3F" w14:textId="77777777"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(3)不可合併使用化學藥物或其他標靶藥物。</w:t>
      </w:r>
    </w:p>
    <w:p w14:paraId="4812E5C0" w14:textId="77777777"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r w:rsidRPr="00FC226B">
        <w:rPr>
          <w:rFonts w:ascii="標楷體" w:eastAsia="標楷體" w:hAnsi="標楷體" w:hint="eastAsia"/>
          <w:szCs w:val="24"/>
        </w:rPr>
        <w:t>併用，作為先前已使用過非類固醇類之芳香環酶抑制劑治療無效，而未曾使用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之轉移性乳癌病人的治療。本品與</w:t>
      </w:r>
      <w:proofErr w:type="spellStart"/>
      <w:r w:rsidRPr="00FC226B">
        <w:rPr>
          <w:rFonts w:ascii="標楷體" w:eastAsia="標楷體" w:hAnsi="標楷體"/>
          <w:szCs w:val="24"/>
        </w:rPr>
        <w:t>tucidinostat</w:t>
      </w:r>
      <w:proofErr w:type="spellEnd"/>
      <w:r w:rsidRPr="00FC226B">
        <w:rPr>
          <w:rFonts w:ascii="標楷體" w:eastAsia="標楷體" w:hAnsi="標楷體" w:hint="eastAsia"/>
          <w:szCs w:val="24"/>
        </w:rPr>
        <w:t>僅得擇一</w:t>
      </w:r>
      <w:r w:rsidRPr="00FC226B">
        <w:rPr>
          <w:rFonts w:ascii="標楷體" w:eastAsia="標楷體" w:hAnsi="標楷體" w:hint="eastAsia"/>
          <w:szCs w:val="24"/>
        </w:rPr>
        <w:lastRenderedPageBreak/>
        <w:t>使用，除因耐受性不良，不得互換；且使用本品無效後，不得申請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14:paraId="1804E0ED" w14:textId="77777777"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晚期腎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14:paraId="0E35A656" w14:textId="77777777" w:rsidR="00B96EA0" w:rsidRDefault="008A162B" w:rsidP="008A162B">
      <w:pPr>
        <w:spacing w:line="400" w:lineRule="exact"/>
        <w:ind w:left="811" w:hanging="245"/>
      </w:pPr>
      <w:r w:rsidRPr="00FC226B">
        <w:rPr>
          <w:rFonts w:ascii="標楷體" w:eastAsia="標楷體" w:hAnsi="標楷體" w:hint="eastAsia"/>
          <w:szCs w:val="24"/>
        </w:rPr>
        <w:t>6.限每日最大劑量為10mg。（108/10/1）</w:t>
      </w:r>
    </w:p>
    <w:p w14:paraId="3B3AFA99" w14:textId="77777777"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w:t>
      </w:r>
      <w:proofErr w:type="spellStart"/>
      <w:r>
        <w:rPr>
          <w:rFonts w:ascii="標楷體" w:eastAsia="標楷體" w:hAnsi="標楷體"/>
          <w:szCs w:val="24"/>
        </w:rPr>
        <w:t>Votubia</w:t>
      </w:r>
      <w:proofErr w:type="spellEnd"/>
      <w:r>
        <w:rPr>
          <w:rFonts w:ascii="標楷體" w:eastAsia="標楷體" w:hAnsi="標楷體"/>
          <w:szCs w:val="24"/>
        </w:rPr>
        <w:t>)：（102/1/1、106/4/1、111/2/1）</w:t>
      </w:r>
    </w:p>
    <w:p w14:paraId="60AC92C0" w14:textId="77777777"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sclerosis)之腦室管膜下巨細胞星狀瘤(SEGA: subependymal giant cell astrocytoma)：</w:t>
      </w:r>
    </w:p>
    <w:p w14:paraId="5786C16A"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(1)限併有水腦症狀或其他顯著神經學症狀，且經神經外科專科醫師評估不適合接受或無法以外科切除手術的患者使用。</w:t>
      </w:r>
    </w:p>
    <w:p w14:paraId="67B6EE66"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14:paraId="6FE4B8A9"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14:paraId="348D2408"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14:paraId="25AC0B78" w14:textId="77777777"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2.結節性硬化症併有腎血管肌脂肪瘤之成年病患，且需符合以下條件(106/4/1、111/2/1)：</w:t>
      </w:r>
    </w:p>
    <w:p w14:paraId="5440B5C9" w14:textId="77777777"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限18歲以上病人，其腎血管肌脂肪瘤最長直徑已達4cm(含)以上且仍有持續進展之證據，且曾有發生臨床上有意義之出血或確認病灶有血管瘤(aneurysm)直徑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14:paraId="518ACCE4"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(2)需經事前審查核准後使用，每次申請之療程以6個月為限，申請時需檢送影像檢查(CT或MRI)資料。</w:t>
      </w:r>
    </w:p>
    <w:p w14:paraId="54E31DBE"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需每24週評估一次，申請續用時，除檢送治療前之影像資料，需檢送治療後(第24週、48週、72週…等)之影像檢查資料，若腫瘤總體積較治療前降低30%(含)以上，且無新增直徑1公分以上的腫瘤或grade2(含)以上腫瘤出血併發症，始得申請續用。(註：腫瘤出血併發症分級(grading)定義依Common Terminology Criteria for Adverse Events(CTCAE), version4.0.)</w:t>
      </w:r>
    </w:p>
    <w:p w14:paraId="27F8F6D7" w14:textId="77777777" w:rsidR="00B96EA0" w:rsidRDefault="007D66B8" w:rsidP="005142EB">
      <w:pPr>
        <w:spacing w:line="400" w:lineRule="exact"/>
        <w:ind w:left="1133" w:hanging="425"/>
      </w:pPr>
      <w:r>
        <w:rPr>
          <w:rFonts w:ascii="標楷體" w:eastAsia="標楷體" w:hAnsi="標楷體"/>
          <w:szCs w:val="24"/>
        </w:rPr>
        <w:t>(4)限每日最大劑量為10mg。</w:t>
      </w:r>
    </w:p>
    <w:p w14:paraId="15225067" w14:textId="77777777" w:rsidR="0011658A" w:rsidRPr="00417740" w:rsidRDefault="0011658A" w:rsidP="0011658A">
      <w:pPr>
        <w:spacing w:line="400" w:lineRule="exact"/>
        <w:ind w:left="824" w:hanging="567"/>
        <w:rPr>
          <w:rFonts w:ascii="標楷體" w:eastAsia="標楷體" w:hAnsi="標楷體"/>
        </w:rPr>
      </w:pPr>
      <w:bookmarkStart w:id="15" w:name="_Hlk209192660"/>
      <w:r w:rsidRPr="00417740">
        <w:rPr>
          <w:rFonts w:ascii="標楷體" w:eastAsia="標楷體" w:hAnsi="標楷體"/>
          <w:color w:val="000000"/>
        </w:rPr>
        <w:t>9.37.</w:t>
      </w:r>
      <w:r w:rsidRPr="00417740">
        <w:rPr>
          <w:rFonts w:ascii="標楷體" w:eastAsia="標楷體" w:hAnsi="標楷體"/>
        </w:rPr>
        <w:t xml:space="preserve"> </w:t>
      </w:r>
      <w:r w:rsidRPr="00417740">
        <w:rPr>
          <w:rFonts w:ascii="標楷體" w:eastAsia="標楷體" w:hAnsi="標楷體"/>
          <w:color w:val="000000"/>
        </w:rPr>
        <w:t>Bevacizumab(如Avastin)：（100/6/1、101/05/1、106/4/1、108/3/1、109/6/1、112/8/1、113/3/1、113/6/1、113/9/1、114/3/1、114/6/1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14:paraId="60733F08"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14:paraId="4045F7EA" w14:textId="77777777"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w:t>
      </w:r>
      <w:proofErr w:type="spellStart"/>
      <w:r w:rsidRPr="00417740">
        <w:rPr>
          <w:rFonts w:ascii="標楷體" w:eastAsia="標楷體" w:hAnsi="標楷體"/>
          <w:color w:val="000000"/>
        </w:rPr>
        <w:t>Folinicacid</w:t>
      </w:r>
      <w:proofErr w:type="spellEnd"/>
      <w:r w:rsidRPr="00417740">
        <w:rPr>
          <w:rFonts w:ascii="標楷體" w:eastAsia="標楷體" w:hAnsi="標楷體"/>
          <w:color w:val="000000"/>
        </w:rPr>
        <w:t>/5-fluorouracil/irinotecan）或FOLFOX（</w:t>
      </w:r>
      <w:proofErr w:type="spellStart"/>
      <w:r w:rsidRPr="00417740">
        <w:rPr>
          <w:rFonts w:ascii="標楷體" w:eastAsia="標楷體" w:hAnsi="標楷體"/>
          <w:color w:val="000000"/>
        </w:rPr>
        <w:t>Folinicacid</w:t>
      </w:r>
      <w:proofErr w:type="spellEnd"/>
      <w:r w:rsidRPr="00417740">
        <w:rPr>
          <w:rFonts w:ascii="標楷體" w:eastAsia="標楷體" w:hAnsi="標楷體"/>
          <w:color w:val="000000"/>
        </w:rPr>
        <w:t>/5-fluorouracil/oxaliplatin）或5-fluorouracil/leucovorin</w:t>
      </w:r>
      <w:r w:rsidRPr="00417740">
        <w:rPr>
          <w:rFonts w:ascii="標楷體" w:eastAsia="標楷體" w:hAnsi="標楷體"/>
          <w:color w:val="000000"/>
        </w:rPr>
        <w:lastRenderedPageBreak/>
        <w:t>的化學療法合併使用，作為轉移性大腸或直腸癌患者的第一線治療。(108/3/1)</w:t>
      </w:r>
    </w:p>
    <w:p w14:paraId="574495F6"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Ⅰ.使用總療程以36週為上限(106/4/1)。</w:t>
      </w:r>
    </w:p>
    <w:p w14:paraId="7D39E2EB"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Ⅱ.須經事前審查核准後使用，每次申請事前審查之療程以18週為限，再次申請必須提出客觀證據（如：影像學）證實無惡化，才可繼續使用。(106/4/1)</w:t>
      </w:r>
    </w:p>
    <w:p w14:paraId="30C3486F"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Ⅲ.本藥品不得與cetuximab、panitumumab併用。(108/3/1、113/3/1)</w:t>
      </w:r>
    </w:p>
    <w:p w14:paraId="4EBE95ED"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及</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以外)與含有5-fluorouracil/leucovorin/oxaliplatin的化學療法合併使用，作為先前接受過以 fluoropyrimidine為基礎的化學療法併用cetuximab或panitumumab無效且未曾接受過bevacizumab治療，RAS基因沒有突變的轉移性大腸或直腸癌病人的第二線治療。(114/3/1)</w:t>
      </w:r>
    </w:p>
    <w:p w14:paraId="008A8981"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Ⅰ.需檢附依全民健康保險醫療服務給付項目及支付標準伴隨式診斷編號30104B規定之認證實驗室檢驗之All-RAS基因突變分析檢測報告。</w:t>
      </w:r>
    </w:p>
    <w:p w14:paraId="5DC9DC9F"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Ⅱ.使用總療程以24週為上限。</w:t>
      </w:r>
    </w:p>
    <w:p w14:paraId="2421B9E6" w14:textId="77777777"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Ⅲ.須經事前審查核准後使用，每次申請事前審查之療程以12週為限，再次申請必須提出客觀證據（如：RECIST criteria）證實無惡化，才可繼續使用。</w:t>
      </w:r>
    </w:p>
    <w:p w14:paraId="3CE56E5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14:paraId="48C6EBE0"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2.惡性神經膠質瘤(WHO第4級)-神經膠母細胞瘤：</w:t>
      </w:r>
    </w:p>
    <w:p w14:paraId="1253DC4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(1)單獨使用可用於治療曾接受標準放射線治療且含temozolomide在內之化學藥物治療失敗之多型性神經膠母細胞瘤(Glioblastoma multiforme)復發之成人患者。(101/05/1)</w:t>
      </w:r>
    </w:p>
    <w:p w14:paraId="3636327C"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(2)須經事前審查核准後使用，每次申請事前審查之療程以12週為限，再次申請必須提出客觀證據（如：影像學）證實無惡化，才可繼續使用。</w:t>
      </w:r>
    </w:p>
    <w:p w14:paraId="583B9CB5"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14:paraId="01F7A78C" w14:textId="77777777"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以外）與carboplatin 及paclitaxel合併使用，接著單獨使用bevacizumab（除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14:paraId="14E3468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Ⅰ.初次申請為手術後一個月後起與化學治療併用5個療程。</w:t>
      </w:r>
    </w:p>
    <w:p w14:paraId="6E158A60"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14:paraId="4B6A73D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14:paraId="4DEAFFC2"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Ⅳ.每人以總共給付22個療程為上限。若病情惡化或停藥後再復發即不得再次申請。</w:t>
      </w:r>
    </w:p>
    <w:p w14:paraId="4B628A98"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及paclitaxel合併使用，作為曾接受過第一線含鉑類藥物(Platinum-based)化學治療間隔6-12個月內再復發之治療。接著單獨使用</w:t>
      </w:r>
      <w:r w:rsidRPr="00417740">
        <w:rPr>
          <w:rFonts w:ascii="標楷體" w:eastAsia="標楷體" w:hAnsi="標楷體"/>
          <w:color w:val="000000"/>
        </w:rPr>
        <w:lastRenderedPageBreak/>
        <w:t>bevacizumab治療，作為含鉑藥物具感受性之治療。</w:t>
      </w:r>
    </w:p>
    <w:p w14:paraId="1E6BD03F"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14:paraId="2920D15D"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14:paraId="6B0C9368"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w:t>
      </w:r>
      <w:proofErr w:type="spellStart"/>
      <w:r w:rsidRPr="00417740">
        <w:rPr>
          <w:rFonts w:ascii="標楷體" w:eastAsia="標楷體" w:hAnsi="標楷體"/>
          <w:color w:val="000000"/>
        </w:rPr>
        <w:t>Alymsys</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Vegzelma</w:t>
      </w:r>
      <w:proofErr w:type="spellEnd"/>
      <w:r w:rsidRPr="00417740">
        <w:rPr>
          <w:rFonts w:ascii="標楷體" w:eastAsia="標楷體" w:hAnsi="標楷體"/>
          <w:color w:val="000000"/>
        </w:rPr>
        <w:t>或</w:t>
      </w:r>
      <w:proofErr w:type="spellStart"/>
      <w:r w:rsidRPr="00417740">
        <w:rPr>
          <w:rFonts w:ascii="標楷體" w:eastAsia="標楷體" w:hAnsi="標楷體"/>
          <w:color w:val="000000"/>
        </w:rPr>
        <w:t>Mvasi</w:t>
      </w:r>
      <w:proofErr w:type="spellEnd"/>
      <w:r w:rsidRPr="00417740">
        <w:rPr>
          <w:rFonts w:ascii="標楷體" w:eastAsia="標楷體" w:hAnsi="標楷體"/>
          <w:color w:val="000000"/>
        </w:rPr>
        <w:t>)與</w:t>
      </w:r>
      <w:proofErr w:type="spellStart"/>
      <w:r w:rsidRPr="00417740">
        <w:rPr>
          <w:rFonts w:ascii="標楷體" w:eastAsia="標楷體" w:hAnsi="標楷體"/>
          <w:color w:val="000000"/>
        </w:rPr>
        <w:t>olaparib</w:t>
      </w:r>
      <w:proofErr w:type="spellEnd"/>
      <w:r w:rsidRPr="00417740">
        <w:rPr>
          <w:rFonts w:ascii="標楷體" w:eastAsia="標楷體" w:hAnsi="標楷體"/>
          <w:color w:val="000000"/>
        </w:rPr>
        <w:t>併用適用於晚期高度惡性上皮卵巢癌、輸卵管腫瘤或原發性腹膜癌，且對第一線含鉑化療合併bevacizumab有反應（完全反應或部分反應）之成年病人做為維持治療，患者需符合</w:t>
      </w:r>
      <w:proofErr w:type="spellStart"/>
      <w:r w:rsidRPr="00417740">
        <w:rPr>
          <w:rFonts w:ascii="標楷體" w:eastAsia="標楷體" w:hAnsi="標楷體"/>
          <w:color w:val="000000"/>
        </w:rPr>
        <w:t>olaparib</w:t>
      </w:r>
      <w:proofErr w:type="spellEnd"/>
      <w:r w:rsidRPr="00417740">
        <w:rPr>
          <w:rFonts w:ascii="標楷體" w:eastAsia="標楷體" w:hAnsi="標楷體"/>
          <w:color w:val="000000"/>
        </w:rPr>
        <w:t>給付規定，限用兩年。bevacizumab以15個月的療程為上限。(114/6/1、114/8/1)</w:t>
      </w:r>
    </w:p>
    <w:p w14:paraId="5C7FE694"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(4)須經事前審查核准後使用，再次申請必須提出客觀證據（如：影像學）證實無惡化，才可繼續使用。</w:t>
      </w:r>
    </w:p>
    <w:p w14:paraId="31BDA7E3"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1/2致病性或疑似致病性突變者，若已經申請niraparib用於第一線化學治療後維持性治療時不得另外申請bevacizumab併用，除因niraparib耐受性不良，在維持性治療可再換成bevacizumab（除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14:paraId="53DE8D6D"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14:paraId="1BE45FE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14:paraId="233FB11B"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(2)Bevacizumab與paclitaxel及topotecan合併使用，作為無法接受含鉑類藥物治療患者之持續性、復發性或轉移性之子宮頸癌。</w:t>
      </w:r>
    </w:p>
    <w:p w14:paraId="5D7A154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(3)須經事前審查核准後使用，每次申請事前審查之療程以15週為限，再次申請必須提出客觀證據（如：影像學）證實無惡化，才可繼續使用。(113/3/1)</w:t>
      </w:r>
    </w:p>
    <w:p w14:paraId="2F8F0EAC"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5.晚期、轉移性或復發性非鱗狀非小細胞肺癌(除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及</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以外)：(113/3/1、113/6/1、113/9/1、114/3/1)</w:t>
      </w:r>
    </w:p>
    <w:p w14:paraId="1E32BA12"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erlotinib併用，作為無法手術切除的轉移性(第Ⅳ期)且帶有表皮生長因子受體(EGFR) Exon 21 L858R 活化性突變之腦轉移非鱗狀非小細胞肺癌病患的第一線治療。</w:t>
      </w:r>
    </w:p>
    <w:p w14:paraId="1B19195C"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14:paraId="2CEEA994"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Ⅰ.每次申請之療程以 12 週為限。</w:t>
      </w:r>
    </w:p>
    <w:p w14:paraId="5AEC4D5C" w14:textId="77777777"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活化性突變檢測報告，且需符合全民健康保險藥品給付規定之通則十二。</w:t>
      </w:r>
    </w:p>
    <w:p w14:paraId="36609DE9"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Ⅲ.再次申請必須提出客觀證據（如：影像學）證實無惡化，才可繼續使用。</w:t>
      </w:r>
    </w:p>
    <w:p w14:paraId="3396C52B"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(3)Bevacizumab併用erlotinib於第一線治療時，該治療組合與gefitinib、afatinib 僅得擇一使用，除因耐受性不良，不得互換。</w:t>
      </w:r>
    </w:p>
    <w:p w14:paraId="3A16CE13"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lastRenderedPageBreak/>
        <w:t>(4)使用劑量：限7.5mg/kg，每三週1次。</w:t>
      </w:r>
    </w:p>
    <w:p w14:paraId="17EC855F" w14:textId="77777777"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6.與atezolizumab併用適用於未曾使用過全身性治療用藥之轉移性或無法手術切除且不適合局部治療或局部治療失敗之Child-Pugh A class晚期肝細胞癌，患者需符合atezolizumab之藥品給付規定。(112/8/1)</w:t>
      </w:r>
    </w:p>
    <w:p w14:paraId="67C55883" w14:textId="77777777"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w:t>
      </w:r>
      <w:proofErr w:type="spellStart"/>
      <w:r w:rsidRPr="00417740">
        <w:rPr>
          <w:rFonts w:ascii="標楷體" w:eastAsia="標楷體" w:hAnsi="標楷體"/>
          <w:color w:val="000000"/>
        </w:rPr>
        <w:t>Alymsys</w:t>
      </w:r>
      <w:proofErr w:type="spellEnd"/>
      <w:r w:rsidRPr="00417740">
        <w:rPr>
          <w:rFonts w:ascii="標楷體" w:eastAsia="標楷體" w:hAnsi="標楷體"/>
          <w:color w:val="000000"/>
        </w:rPr>
        <w:t>、Avastin、</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Vegzelma</w:t>
      </w:r>
      <w:proofErr w:type="spellEnd"/>
      <w:r w:rsidRPr="00417740">
        <w:rPr>
          <w:rFonts w:ascii="標楷體" w:eastAsia="標楷體" w:hAnsi="標楷體"/>
          <w:color w:val="000000"/>
        </w:rPr>
        <w:t>或</w:t>
      </w:r>
      <w:proofErr w:type="spellStart"/>
      <w:r w:rsidRPr="00417740">
        <w:rPr>
          <w:rFonts w:ascii="標楷體" w:eastAsia="標楷體" w:hAnsi="標楷體"/>
          <w:color w:val="000000"/>
        </w:rPr>
        <w:t>Mvasi</w:t>
      </w:r>
      <w:proofErr w:type="spellEnd"/>
      <w:r w:rsidRPr="00417740">
        <w:rPr>
          <w:rFonts w:ascii="標楷體" w:eastAsia="標楷體" w:hAnsi="標楷體"/>
          <w:color w:val="000000"/>
        </w:rPr>
        <w:t>)與atezolizumab及carboplatin、paclitaxel併用於轉移性非鱗狀非小細胞肺癌第一線治療，患者需符合免疫檢查點抑制劑之藥品給付規定。(114/6/1、114/8/1)</w:t>
      </w:r>
      <w:bookmarkEnd w:id="15"/>
    </w:p>
    <w:p w14:paraId="18E192FA"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w:t>
      </w:r>
      <w:proofErr w:type="spellStart"/>
      <w:r>
        <w:rPr>
          <w:rFonts w:ascii="標楷體" w:eastAsia="標楷體" w:hAnsi="標楷體"/>
          <w:color w:val="000000"/>
        </w:rPr>
        <w:t>Torisel</w:t>
      </w:r>
      <w:proofErr w:type="spellEnd"/>
      <w:r>
        <w:rPr>
          <w:rFonts w:ascii="標楷體" w:eastAsia="標楷體" w:hAnsi="標楷體"/>
          <w:color w:val="000000"/>
        </w:rPr>
        <w:t>)：（101/1/1）附表九之十一</w:t>
      </w:r>
    </w:p>
    <w:p w14:paraId="20D03E3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1.需經事前審查核准後使用，每次給付3個月藥量，送審時需檢送影像資料，每3個月評估一次。</w:t>
      </w:r>
    </w:p>
    <w:p w14:paraId="6FEE883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(1)治療不限細胞型的高風險晚期腎細胞癌。</w:t>
      </w:r>
    </w:p>
    <w:p w14:paraId="2CEC521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14:paraId="0116FBEE"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I.距離初次診斷出腎細胞癌之時間未達一年</w:t>
      </w:r>
    </w:p>
    <w:p w14:paraId="69CB8152"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r>
      <w:proofErr w:type="spellStart"/>
      <w:r>
        <w:rPr>
          <w:rFonts w:ascii="標楷體" w:eastAsia="標楷體" w:hAnsi="標楷體"/>
          <w:color w:val="000000"/>
        </w:rPr>
        <w:t>Karnofsky</w:t>
      </w:r>
      <w:proofErr w:type="spellEnd"/>
      <w:r>
        <w:rPr>
          <w:rFonts w:ascii="標楷體" w:eastAsia="標楷體" w:hAnsi="標楷體"/>
          <w:color w:val="000000"/>
        </w:rPr>
        <w:t xml:space="preserve"> Performance scale介於60至70之間</w:t>
      </w:r>
    </w:p>
    <w:p w14:paraId="3F2D18E8"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14:paraId="402153B9"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IV.矯正後血鈣值超過10mg/dL</w:t>
      </w:r>
    </w:p>
    <w:p w14:paraId="5995B912"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t>乳酸脫氫酶(lactate dehydrogenase)超過1.5倍正常值上限</w:t>
      </w:r>
    </w:p>
    <w:p w14:paraId="5FE9D1B6"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14:paraId="281F1BB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(3)無效後則不給付其他酪胺酸激酶阻斷劑TKI。</w:t>
      </w:r>
    </w:p>
    <w:p w14:paraId="4C772B3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2.病人若對藥物產生耐受性不佳（intolerance），則以原來藥物減量為原則，若嚴重耐受性不佳，可以換其他酪胺酸激酶阻斷劑（tyrosine kinase inhibitor, TKI）。</w:t>
      </w:r>
    </w:p>
    <w:p w14:paraId="12C116B3"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w:t>
      </w:r>
      <w:proofErr w:type="spellStart"/>
      <w:r>
        <w:rPr>
          <w:rFonts w:ascii="標楷體" w:eastAsia="標楷體" w:hAnsi="標楷體"/>
          <w:color w:val="000000"/>
        </w:rPr>
        <w:t>buserelin</w:t>
      </w:r>
      <w:proofErr w:type="spellEnd"/>
      <w:r>
        <w:rPr>
          <w:rFonts w:ascii="標楷體" w:eastAsia="標楷體" w:hAnsi="標楷體"/>
          <w:color w:val="000000"/>
        </w:rPr>
        <w:t>：（90/8/1、101/7/1）</w:t>
      </w:r>
    </w:p>
    <w:p w14:paraId="14909C5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14:paraId="0ACA316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2.攝護腺癌病人接受根除性攝護腺切除手術治療後，PSA逐漸升高有局部復發或遠處轉移之情況。</w:t>
      </w:r>
    </w:p>
    <w:p w14:paraId="09D65C6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3.癌症臨床期別為T2、T3，準備接受根除性攝護腺切除手術治療或其他定效治療，包括irradiation之前為求tumor volume reduction，作為neoadjuvant治療之目的。</w:t>
      </w:r>
    </w:p>
    <w:p w14:paraId="7FA33A99"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14:paraId="340BEA5B"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限用於與LHRH類似劑療法或手術去勢療法併用於進展性攝護腺癌。</w:t>
      </w:r>
    </w:p>
    <w:p w14:paraId="482A78C1" w14:textId="77777777"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w:t>
      </w:r>
      <w:proofErr w:type="spellStart"/>
      <w:r>
        <w:rPr>
          <w:rFonts w:ascii="標楷體" w:eastAsia="標楷體" w:hAnsi="標楷體"/>
          <w:color w:val="000000"/>
        </w:rPr>
        <w:t>Votrient</w:t>
      </w:r>
      <w:proofErr w:type="spellEnd"/>
      <w:r>
        <w:rPr>
          <w:rFonts w:ascii="標楷體" w:eastAsia="標楷體" w:hAnsi="標楷體"/>
          <w:color w:val="000000"/>
        </w:rPr>
        <w:t>）：（101/8/1、104/4/1、106/3/1、110/12/1、112/10/1）附表九之十三</w:t>
      </w:r>
    </w:p>
    <w:p w14:paraId="206759D5"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1.腎細胞癌：（106/3/1、110/12/1）</w:t>
      </w:r>
    </w:p>
    <w:p w14:paraId="37EE126D"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(1)可用於第一線治療晚期或轉移性腎細胞癌，其病理上為亮細胞癌(clear cell renal carcinoma)。</w:t>
      </w:r>
    </w:p>
    <w:p w14:paraId="4345B577"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(2)本品使用無效後，不得申請使用</w:t>
      </w:r>
      <w:proofErr w:type="spellStart"/>
      <w:r>
        <w:rPr>
          <w:rFonts w:ascii="標楷體" w:eastAsia="標楷體" w:hAnsi="標楷體"/>
          <w:color w:val="000000"/>
        </w:rPr>
        <w:t>temsirolimus</w:t>
      </w:r>
      <w:proofErr w:type="spellEnd"/>
      <w:r>
        <w:rPr>
          <w:rFonts w:ascii="標楷體" w:eastAsia="標楷體" w:hAnsi="標楷體"/>
          <w:color w:val="000000"/>
        </w:rPr>
        <w:t>。（110/12/1）</w:t>
      </w:r>
    </w:p>
    <w:p w14:paraId="644F7636"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lastRenderedPageBreak/>
        <w:t>(3)需檢送影像資料，每三個月評估一次。(106/3/1)</w:t>
      </w:r>
    </w:p>
    <w:p w14:paraId="5776E99B"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14:paraId="07ECC00B"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14:paraId="20902C95"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14:paraId="560B07A6" w14:textId="77777777" w:rsidR="00B96EA0" w:rsidRDefault="007D66B8" w:rsidP="005142EB">
      <w:pPr>
        <w:spacing w:line="400" w:lineRule="exact"/>
        <w:ind w:left="993" w:hanging="367"/>
      </w:pPr>
      <w:r>
        <w:rPr>
          <w:rFonts w:ascii="標楷體" w:eastAsia="標楷體" w:hAnsi="標楷體"/>
          <w:color w:val="000000"/>
        </w:rPr>
        <w:t>(2)須排除胃腸道基質瘤、脂肪惡性肉瘤、橫紋肌惡性肉瘤、軟骨惡性肉瘤、骨性惡性肉瘤、依文氏(Ewing</w:t>
      </w:r>
      <w:r>
        <w:rPr>
          <w:rFonts w:eastAsia="標楷體" w:cs="Calibri"/>
          <w:color w:val="000000"/>
        </w:rPr>
        <w:t>’</w:t>
      </w:r>
      <w:r>
        <w:rPr>
          <w:rFonts w:ascii="標楷體" w:eastAsia="標楷體" w:hAnsi="標楷體"/>
          <w:color w:val="000000"/>
        </w:rPr>
        <w:t>s sarcoma)惡性肉瘤、原發性神經外胚層腫瘤(primitive neuroectodermal tumor)或突起性表皮纖維惡性腫瘤(dermatofibrosarcoma protuberance)的患者。（104/4/1、112/10/1）</w:t>
      </w:r>
    </w:p>
    <w:p w14:paraId="00315C00"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(3)須經事前審查核准後使用，每次申請療程以三個月為限，每三個月需再次申請。(須檢附影像學報告)</w:t>
      </w:r>
    </w:p>
    <w:p w14:paraId="00A326AC" w14:textId="77777777" w:rsidR="00B96EA0" w:rsidRDefault="007D66B8" w:rsidP="005142EB">
      <w:pPr>
        <w:spacing w:line="400" w:lineRule="exact"/>
        <w:ind w:left="672" w:hanging="386"/>
      </w:pPr>
      <w:r>
        <w:rPr>
          <w:rFonts w:ascii="標楷體" w:eastAsia="標楷體" w:hAnsi="標楷體"/>
          <w:bCs/>
          <w:color w:val="000000"/>
        </w:rPr>
        <w:t>9.42.Bendamustine（如</w:t>
      </w:r>
      <w:proofErr w:type="spellStart"/>
      <w:r>
        <w:rPr>
          <w:rFonts w:ascii="標楷體" w:eastAsia="標楷體" w:hAnsi="標楷體"/>
          <w:bCs/>
          <w:color w:val="000000"/>
        </w:rPr>
        <w:t>Innomustine</w:t>
      </w:r>
      <w:proofErr w:type="spellEnd"/>
      <w:r>
        <w:rPr>
          <w:rFonts w:ascii="標楷體" w:eastAsia="標楷體" w:hAnsi="標楷體"/>
          <w:bCs/>
          <w:color w:val="000000"/>
        </w:rPr>
        <w:t>）</w:t>
      </w:r>
      <w:r>
        <w:rPr>
          <w:rFonts w:ascii="新細明體" w:hAnsi="新細明體"/>
          <w:bCs/>
          <w:color w:val="000000"/>
        </w:rPr>
        <w:t>：</w:t>
      </w:r>
      <w:r>
        <w:rPr>
          <w:rFonts w:ascii="標楷體" w:eastAsia="標楷體" w:hAnsi="標楷體"/>
          <w:bCs/>
          <w:color w:val="000000"/>
        </w:rPr>
        <w:t>(101/10/1、103/2/1、108/10/1、113/2/1)</w:t>
      </w:r>
    </w:p>
    <w:p w14:paraId="0E0F5095"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1.以本品作為第一線治療，限用於Binet C級之慢性淋巴性白血病病人(CLL)或Binet B級併有免疫性症候(如自體免疫性溶血、免疫性血小板低下紫瘢症等)相關疾病之CLL病人。</w:t>
      </w:r>
    </w:p>
    <w:p w14:paraId="7C931989"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B及C之第二線治療，在經歷至少一種標準內容的烷化基藥劑（alkylating agent）治療方法無效，或治療後雖有效但隨後疾病又繼續惡化進展的病人。</w:t>
      </w:r>
    </w:p>
    <w:p w14:paraId="3247A524"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3.曾接受至少一種化療之和緩性非何杰金氏淋巴瘤，六個月內曾以rituximab治療失敗之單一治療。(103/2/1)</w:t>
      </w:r>
    </w:p>
    <w:p w14:paraId="01972009" w14:textId="77777777"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合併rituximab適用於先前未曾接受治療的CD20陽性、第III/IV期和緩性非何杰金氏淋巴瘤。(108/10/1)</w:t>
      </w:r>
    </w:p>
    <w:p w14:paraId="1DB4B776" w14:textId="77777777"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合併rituximab用於先前未曾接受治療且不適合自體幹細胞移植的第III/IV期被套細胞淋巴瘤。(108/10/1)</w:t>
      </w:r>
    </w:p>
    <w:p w14:paraId="38EEFA91" w14:textId="77777777"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和rituximab併用，適用於第三線治療復發型(relapsed)或難治型(refractory)且未曾接受及不適合接受造血幹細胞移植的瀰漫性大型B細胞淋巴瘤（DLBCL）成年病人，患者需符合</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之藥品給付規定。(113/2/1)</w:t>
      </w:r>
    </w:p>
    <w:p w14:paraId="430F63B5"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14:paraId="4070DC70" w14:textId="77777777"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和rituximab併用時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14:paraId="3DF6241B" w14:textId="77777777" w:rsidR="003F14ED" w:rsidRDefault="003F14ED" w:rsidP="003F14ED">
      <w:pPr>
        <w:spacing w:line="400" w:lineRule="exact"/>
      </w:pPr>
      <w:r>
        <w:rPr>
          <w:rFonts w:ascii="標楷體" w:eastAsia="標楷體" w:hAnsi="標楷體" w:hint="eastAsia"/>
          <w:color w:val="000000"/>
          <w:szCs w:val="24"/>
        </w:rPr>
        <w:t>9.43.Lenalidomide(如Revlimid)：（101/12/1、106/10/1、109/2/1、109/8/1、112/4/1、114</w:t>
      </w:r>
      <w:r>
        <w:rPr>
          <w:rFonts w:ascii="標楷體" w:eastAsia="標楷體" w:hAnsi="標楷體" w:hint="eastAsia"/>
          <w:szCs w:val="24"/>
        </w:rPr>
        <w:t>/10/1、115/3/1、115/4/1</w:t>
      </w:r>
      <w:r>
        <w:rPr>
          <w:rFonts w:ascii="標楷體" w:eastAsia="標楷體" w:hAnsi="標楷體"/>
          <w:sz w:val="28"/>
          <w:szCs w:val="28"/>
        </w:rPr>
        <w:t>、</w:t>
      </w:r>
      <w:r w:rsidRPr="00C34C93">
        <w:rPr>
          <w:rFonts w:ascii="標楷體" w:eastAsia="標楷體" w:hAnsi="標楷體"/>
          <w:szCs w:val="24"/>
        </w:rPr>
        <w:t>115/5/1</w:t>
      </w:r>
      <w:r w:rsidRPr="00C34C93">
        <w:rPr>
          <w:rFonts w:ascii="標楷體" w:eastAsia="標楷體" w:hAnsi="標楷體" w:hint="eastAsia"/>
          <w:szCs w:val="24"/>
        </w:rPr>
        <w:t>）</w:t>
      </w:r>
    </w:p>
    <w:p w14:paraId="26D4045D" w14:textId="77777777" w:rsidR="003F14ED" w:rsidRDefault="003F14ED" w:rsidP="003F14ED">
      <w:pPr>
        <w:spacing w:line="400" w:lineRule="exact"/>
        <w:ind w:left="283"/>
        <w:rPr>
          <w:rFonts w:ascii="標楷體" w:eastAsia="標楷體" w:hAnsi="標楷體"/>
          <w:color w:val="000000"/>
          <w:szCs w:val="24"/>
        </w:rPr>
      </w:pPr>
      <w:r>
        <w:rPr>
          <w:rFonts w:ascii="標楷體" w:eastAsia="標楷體" w:hAnsi="標楷體" w:hint="eastAsia"/>
          <w:color w:val="000000"/>
          <w:szCs w:val="24"/>
        </w:rPr>
        <w:t>1.多發性骨髓瘤：</w:t>
      </w:r>
    </w:p>
    <w:p w14:paraId="2EB8347C"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lastRenderedPageBreak/>
        <w:t>(1)先前尚未接受過任何治療且不適用造血幹細胞移植的多發性骨髓瘤患者可使用lenalidomide併用dexamethasone作為第一線治療。開始治療時病患須同時符合下列I與Ⅱ的條件：（109/2/1、109/8/1、112/4/1）</w:t>
      </w:r>
    </w:p>
    <w:p w14:paraId="6BC24492" w14:textId="77777777" w:rsidR="003F14ED" w:rsidRDefault="003F14ED" w:rsidP="003F14ED">
      <w:pPr>
        <w:spacing w:line="400" w:lineRule="exact"/>
        <w:ind w:left="991" w:hanging="360"/>
      </w:pPr>
      <w:r>
        <w:rPr>
          <w:rFonts w:ascii="標楷體" w:eastAsia="標楷體" w:hAnsi="標楷體" w:hint="eastAsia"/>
          <w:color w:val="000000"/>
          <w:szCs w:val="24"/>
        </w:rPr>
        <w:t>Ⅰ.</w:t>
      </w:r>
      <w:r>
        <w:rPr>
          <w:rFonts w:ascii="標楷體" w:eastAsia="標楷體" w:hAnsi="標楷體" w:hint="eastAsia"/>
          <w:szCs w:val="24"/>
        </w:rPr>
        <w:t>骨髓漿細胞(plasma cells)比例≧10%，或是經切片確認且有≧1顆的plasmacytoma。（112/4/1）</w:t>
      </w:r>
    </w:p>
    <w:p w14:paraId="16CD98D7" w14:textId="77777777" w:rsidR="003F14ED" w:rsidRDefault="003F14ED" w:rsidP="003F14ED">
      <w:pPr>
        <w:spacing w:line="400" w:lineRule="exact"/>
        <w:ind w:left="991" w:hanging="360"/>
      </w:pPr>
      <w:r>
        <w:rPr>
          <w:rFonts w:ascii="標楷體" w:eastAsia="標楷體" w:hAnsi="標楷體" w:hint="eastAsia"/>
          <w:color w:val="000000"/>
          <w:szCs w:val="24"/>
        </w:rPr>
        <w:t>Ⅱ.</w:t>
      </w:r>
      <w:r>
        <w:rPr>
          <w:rFonts w:ascii="標楷體" w:eastAsia="標楷體" w:hAnsi="標楷體" w:hint="eastAsia"/>
          <w:szCs w:val="24"/>
        </w:rPr>
        <w:t>出現下列任一臨床症狀：（112/4/1）</w:t>
      </w:r>
    </w:p>
    <w:p w14:paraId="686D370F" w14:textId="77777777" w:rsidR="003F14ED" w:rsidRDefault="003F14ED" w:rsidP="003F14ED">
      <w:pPr>
        <w:spacing w:line="400" w:lineRule="exact"/>
        <w:ind w:left="1080" w:hanging="360"/>
      </w:pPr>
      <w:r>
        <w:rPr>
          <w:rFonts w:ascii="新細明體" w:hAnsi="新細明體" w:hint="eastAsia"/>
          <w:color w:val="000000"/>
          <w:szCs w:val="24"/>
        </w:rPr>
        <w:t>ⅰ</w:t>
      </w:r>
      <w:r>
        <w:rPr>
          <w:rFonts w:ascii="標楷體" w:eastAsia="標楷體" w:hAnsi="標楷體" w:hint="eastAsia"/>
          <w:color w:val="000000"/>
          <w:szCs w:val="24"/>
        </w:rPr>
        <w:t>.</w:t>
      </w:r>
      <w:r>
        <w:rPr>
          <w:rFonts w:ascii="標楷體" w:eastAsia="標楷體" w:hAnsi="標楷體" w:hint="eastAsia"/>
          <w:szCs w:val="24"/>
        </w:rPr>
        <w:t>腎功能不全：serum creatinine＞2.0mg/dL或estimated GFR (eGFR)＜40 ml/min，且無其他原因可以解釋。</w:t>
      </w:r>
    </w:p>
    <w:p w14:paraId="40E63B2D" w14:textId="77777777" w:rsidR="003F14ED" w:rsidRDefault="003F14ED" w:rsidP="003F14ED">
      <w:pPr>
        <w:spacing w:line="400" w:lineRule="exact"/>
        <w:ind w:left="1080" w:hanging="360"/>
      </w:pPr>
      <w:r>
        <w:rPr>
          <w:rFonts w:ascii="新細明體" w:hAnsi="新細明體" w:hint="eastAsia"/>
          <w:color w:val="000000"/>
          <w:szCs w:val="24"/>
        </w:rPr>
        <w:t>ⅱ.</w:t>
      </w:r>
      <w:r>
        <w:rPr>
          <w:rFonts w:ascii="標楷體" w:eastAsia="標楷體" w:hAnsi="標楷體" w:hint="eastAsia"/>
          <w:szCs w:val="24"/>
        </w:rPr>
        <w:t>高血鈣(corrected serum calcium＞11.0 mg/dL或2.75 mmol/L)。</w:t>
      </w:r>
    </w:p>
    <w:p w14:paraId="5B79096F" w14:textId="77777777" w:rsidR="003F14ED" w:rsidRDefault="003F14ED" w:rsidP="003F14ED">
      <w:pPr>
        <w:spacing w:line="400" w:lineRule="exact"/>
        <w:ind w:left="1080" w:hanging="360"/>
      </w:pPr>
      <w:r>
        <w:rPr>
          <w:rFonts w:ascii="新細明體" w:hAnsi="新細明體" w:hint="eastAsia"/>
          <w:color w:val="000000"/>
          <w:szCs w:val="24"/>
        </w:rPr>
        <w:t>ⅲ.</w:t>
      </w:r>
      <w:r>
        <w:rPr>
          <w:rFonts w:ascii="標楷體" w:eastAsia="標楷體" w:hAnsi="標楷體" w:hint="eastAsia"/>
          <w:szCs w:val="24"/>
        </w:rPr>
        <w:t>貧血(Hemoglobin＜10 gm/dL 且無其他原因可以解釋)。</w:t>
      </w:r>
    </w:p>
    <w:p w14:paraId="4D6BCA3B" w14:textId="77777777" w:rsidR="003F14ED" w:rsidRDefault="003F14ED" w:rsidP="003F14ED">
      <w:pPr>
        <w:spacing w:line="400" w:lineRule="exact"/>
        <w:ind w:left="1080" w:hanging="360"/>
      </w:pPr>
      <w:r>
        <w:rPr>
          <w:rFonts w:ascii="新細明體" w:hAnsi="新細明體" w:hint="eastAsia"/>
          <w:color w:val="000000"/>
          <w:szCs w:val="24"/>
        </w:rPr>
        <w:t>ⅳ.</w:t>
      </w:r>
      <w:r>
        <w:rPr>
          <w:rFonts w:ascii="標楷體" w:eastAsia="標楷體" w:hAnsi="標楷體" w:hint="eastAsia"/>
          <w:szCs w:val="24"/>
        </w:rPr>
        <w:t>影像檢查確認之osteolytic bone lesion(s)。</w:t>
      </w:r>
    </w:p>
    <w:p w14:paraId="3B3A0A48" w14:textId="77777777" w:rsidR="003F14ED" w:rsidRDefault="003F14ED" w:rsidP="003F14ED">
      <w:pPr>
        <w:spacing w:line="400" w:lineRule="exact"/>
        <w:ind w:left="1080" w:hanging="360"/>
      </w:pPr>
      <w:r>
        <w:rPr>
          <w:rFonts w:ascii="新細明體" w:hAnsi="新細明體" w:hint="eastAsia"/>
          <w:szCs w:val="24"/>
        </w:rPr>
        <w:t>ⅴ</w:t>
      </w:r>
      <w:r>
        <w:rPr>
          <w:rFonts w:ascii="標楷體" w:eastAsia="標楷體" w:hAnsi="標楷體" w:hint="eastAsia"/>
          <w:szCs w:val="24"/>
        </w:rPr>
        <w:t>.骨髓漿細胞(plasma cells)比例≧60%</w:t>
      </w:r>
    </w:p>
    <w:p w14:paraId="3CA9459F" w14:textId="77777777" w:rsidR="003F14ED" w:rsidRDefault="003F14ED" w:rsidP="003F14ED">
      <w:pPr>
        <w:spacing w:line="400" w:lineRule="exact"/>
        <w:ind w:left="1080" w:hanging="360"/>
      </w:pPr>
      <w:r>
        <w:rPr>
          <w:rFonts w:ascii="新細明體" w:hAnsi="新細明體" w:hint="eastAsia"/>
          <w:szCs w:val="24"/>
        </w:rPr>
        <w:t>ⅵ.</w:t>
      </w:r>
      <w:r>
        <w:rPr>
          <w:rFonts w:ascii="標楷體" w:eastAsia="標楷體" w:hAnsi="標楷體" w:hint="eastAsia"/>
          <w:szCs w:val="24"/>
        </w:rPr>
        <w:t>Serum free light-chain ratio≧100。</w:t>
      </w:r>
    </w:p>
    <w:p w14:paraId="44E0B9F5" w14:textId="77777777" w:rsidR="003F14ED" w:rsidRDefault="003F14ED" w:rsidP="003F14ED">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Ⅲ.每4個療程重新申請時，須重新評估是否適合接受造血幹細胞移植。若經重新評估為已適合接受造血幹細胞移植者，即須停止Rd之治療。（112/4/1）</w:t>
      </w:r>
    </w:p>
    <w:p w14:paraId="7C4AB3A2"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(2)與dexamethasone合併使用於先前已接受至少一種治療失敗之多發性骨髓瘤患者，且需同時符合下列I與Ⅱ的條件：（101/12/1、112/4/1）</w:t>
      </w:r>
    </w:p>
    <w:p w14:paraId="58DA4091" w14:textId="77777777" w:rsidR="003F14ED" w:rsidRDefault="003F14ED" w:rsidP="003F14ED">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Ⅰ.具有下列任一疾病惡化的指標： 病患開始治療前須在連續2次評估中均符合同一指標 (但若為</w:t>
      </w:r>
      <w:proofErr w:type="spellStart"/>
      <w:r>
        <w:rPr>
          <w:rFonts w:ascii="標楷體" w:eastAsia="標楷體" w:hAnsi="標楷體" w:hint="eastAsia"/>
          <w:color w:val="000000"/>
          <w:szCs w:val="24"/>
        </w:rPr>
        <w:t>plamacytoma</w:t>
      </w:r>
      <w:proofErr w:type="spellEnd"/>
      <w:r>
        <w:rPr>
          <w:rFonts w:ascii="標楷體" w:eastAsia="標楷體" w:hAnsi="標楷體" w:hint="eastAsia"/>
          <w:color w:val="000000"/>
          <w:szCs w:val="24"/>
        </w:rPr>
        <w:t xml:space="preserve"> 體積增加，或是新產生的bone lesion(s)或新plasmacytoma，則僅需1次評估)：（112/4/1）</w:t>
      </w:r>
    </w:p>
    <w:p w14:paraId="47EBD81C" w14:textId="77777777" w:rsidR="003F14ED" w:rsidRDefault="003F14ED" w:rsidP="003F14ED">
      <w:pPr>
        <w:spacing w:line="400" w:lineRule="exact"/>
        <w:ind w:left="1274" w:hanging="360"/>
      </w:pPr>
      <w:r>
        <w:rPr>
          <w:rFonts w:ascii="新細明體" w:hAnsi="新細明體" w:hint="eastAsia"/>
          <w:szCs w:val="24"/>
        </w:rPr>
        <w:t>ⅰ</w:t>
      </w:r>
      <w:r>
        <w:rPr>
          <w:rFonts w:ascii="標楷體" w:eastAsia="標楷體" w:hAnsi="標楷體" w:hint="eastAsia"/>
          <w:szCs w:val="24"/>
        </w:rPr>
        <w:t>.若前一線治療中M component 最低值≧5 g/dL，血清M蛋白需增加≧1 g/dL；若前一線治療中M component最低值＜5 g/dL，血清M蛋白需增加≧0.5g/dL。</w:t>
      </w:r>
    </w:p>
    <w:p w14:paraId="3DCE976B" w14:textId="77777777" w:rsidR="003F14ED" w:rsidRDefault="003F14ED" w:rsidP="003F14ED">
      <w:pPr>
        <w:spacing w:line="400" w:lineRule="exact"/>
        <w:ind w:left="1274" w:hanging="360"/>
      </w:pPr>
      <w:r>
        <w:rPr>
          <w:rFonts w:ascii="新細明體" w:hAnsi="新細明體" w:hint="eastAsia"/>
          <w:szCs w:val="24"/>
        </w:rPr>
        <w:t>ⅱ.</w:t>
      </w:r>
      <w:r>
        <w:rPr>
          <w:rFonts w:ascii="標楷體" w:eastAsia="標楷體" w:hAnsi="標楷體" w:hint="eastAsia"/>
          <w:szCs w:val="24"/>
        </w:rPr>
        <w:t>Urine M-protein需增加≧0.2 gm/24Hr，且需較前一線治療中的最低值增加≧25%。</w:t>
      </w:r>
    </w:p>
    <w:p w14:paraId="3993B744" w14:textId="77777777" w:rsidR="003F14ED" w:rsidRDefault="003F14ED" w:rsidP="003F14ED">
      <w:pPr>
        <w:spacing w:line="400" w:lineRule="exact"/>
        <w:ind w:left="1274" w:hanging="360"/>
      </w:pPr>
      <w:r>
        <w:rPr>
          <w:rFonts w:ascii="新細明體" w:hAnsi="新細明體" w:hint="eastAsia"/>
          <w:szCs w:val="24"/>
        </w:rPr>
        <w:t>ⅲ</w:t>
      </w:r>
      <w:r>
        <w:rPr>
          <w:rFonts w:ascii="標楷體" w:eastAsia="標楷體" w:hAnsi="標楷體" w:hint="eastAsia"/>
          <w:szCs w:val="24"/>
        </w:rPr>
        <w:t>.在non-secretary myeloma 病患，骨髓漿細胞 (plasma cells)之比例絕對值增加≧10%，且需較前一線治療中的最低值增加≧25%。</w:t>
      </w:r>
    </w:p>
    <w:p w14:paraId="72EA8BE9" w14:textId="77777777" w:rsidR="003F14ED" w:rsidRDefault="003F14ED" w:rsidP="003F14ED">
      <w:pPr>
        <w:spacing w:line="400" w:lineRule="exact"/>
        <w:ind w:left="1274" w:hanging="360"/>
      </w:pPr>
      <w:r>
        <w:rPr>
          <w:rFonts w:ascii="新細明體" w:hAnsi="新細明體" w:hint="eastAsia"/>
          <w:szCs w:val="24"/>
        </w:rPr>
        <w:t>ⅳ</w:t>
      </w:r>
      <w:r>
        <w:rPr>
          <w:rFonts w:ascii="標楷體" w:eastAsia="標楷體" w:hAnsi="標楷體" w:hint="eastAsia"/>
          <w:szCs w:val="24"/>
        </w:rPr>
        <w:t>.新產生的bone lesion(s)或plasmacytoma；且須經病理切片證實。</w:t>
      </w:r>
    </w:p>
    <w:p w14:paraId="2B064C2D" w14:textId="77777777" w:rsidR="003F14ED" w:rsidRDefault="003F14ED" w:rsidP="003F14ED">
      <w:pPr>
        <w:spacing w:line="400" w:lineRule="exact"/>
        <w:ind w:left="1274" w:hanging="360"/>
      </w:pPr>
      <w:r>
        <w:rPr>
          <w:rFonts w:ascii="新細明體" w:hAnsi="新細明體" w:hint="eastAsia"/>
          <w:szCs w:val="24"/>
        </w:rPr>
        <w:t>ⅴ</w:t>
      </w:r>
      <w:r>
        <w:rPr>
          <w:rFonts w:ascii="標楷體" w:eastAsia="標楷體" w:hAnsi="標楷體" w:hint="eastAsia"/>
          <w:szCs w:val="24"/>
        </w:rPr>
        <w:t>.Plasmacytoma體積增加≧50%。</w:t>
      </w:r>
    </w:p>
    <w:p w14:paraId="2BA52ECB" w14:textId="77777777" w:rsidR="003F14ED" w:rsidRDefault="003F14ED" w:rsidP="003F14ED">
      <w:pPr>
        <w:spacing w:line="400" w:lineRule="exact"/>
        <w:ind w:left="1274" w:hanging="360"/>
      </w:pPr>
      <w:r>
        <w:rPr>
          <w:rFonts w:ascii="新細明體" w:hAnsi="新細明體" w:hint="eastAsia"/>
          <w:szCs w:val="24"/>
        </w:rPr>
        <w:t>ⅵ</w:t>
      </w:r>
      <w:r>
        <w:rPr>
          <w:rFonts w:ascii="標楷體" w:eastAsia="標楷體" w:hAnsi="標楷體" w:hint="eastAsia"/>
          <w:szCs w:val="24"/>
        </w:rPr>
        <w:t>.周邊血液中漿細胞比例≧20%或漿細胞絕對值≧2000 cells/μL。</w:t>
      </w:r>
    </w:p>
    <w:p w14:paraId="7B00F06B" w14:textId="77777777" w:rsidR="003F14ED" w:rsidRDefault="003F14ED" w:rsidP="003F14ED">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Ⅱ.出現下列任一臨床症狀：（112/4/1）</w:t>
      </w:r>
    </w:p>
    <w:p w14:paraId="6E142E6E" w14:textId="77777777" w:rsidR="003F14ED" w:rsidRDefault="003F14ED" w:rsidP="003F14ED">
      <w:pPr>
        <w:spacing w:line="400" w:lineRule="exact"/>
        <w:ind w:left="1274" w:hanging="360"/>
      </w:pPr>
      <w:r>
        <w:rPr>
          <w:rFonts w:ascii="新細明體" w:hAnsi="新細明體" w:hint="eastAsia"/>
          <w:szCs w:val="24"/>
        </w:rPr>
        <w:t>ⅰ</w:t>
      </w:r>
      <w:r>
        <w:rPr>
          <w:rFonts w:ascii="標楷體" w:eastAsia="標楷體" w:hAnsi="標楷體" w:hint="eastAsia"/>
          <w:szCs w:val="24"/>
        </w:rPr>
        <w:t>.新產生的bone lesion(s)或plasmacytoma；且須經病理切片證實。</w:t>
      </w:r>
    </w:p>
    <w:p w14:paraId="17463204" w14:textId="77777777" w:rsidR="003F14ED" w:rsidRDefault="003F14ED" w:rsidP="003F14ED">
      <w:pPr>
        <w:spacing w:line="400" w:lineRule="exact"/>
        <w:ind w:left="1274" w:hanging="360"/>
      </w:pPr>
      <w:r>
        <w:rPr>
          <w:rFonts w:ascii="新細明體" w:hAnsi="新細明體" w:hint="eastAsia"/>
          <w:szCs w:val="24"/>
        </w:rPr>
        <w:t>ⅱ.</w:t>
      </w:r>
      <w:r>
        <w:rPr>
          <w:rFonts w:ascii="標楷體" w:eastAsia="標楷體" w:hAnsi="標楷體" w:hint="eastAsia"/>
          <w:szCs w:val="24"/>
        </w:rPr>
        <w:t>Plasmacytoma 體積增加≧50%。</w:t>
      </w:r>
    </w:p>
    <w:p w14:paraId="7AF98743" w14:textId="77777777" w:rsidR="003F14ED" w:rsidRDefault="003F14ED" w:rsidP="003F14ED">
      <w:pPr>
        <w:spacing w:line="400" w:lineRule="exact"/>
        <w:ind w:left="1274" w:hanging="360"/>
      </w:pPr>
      <w:r>
        <w:rPr>
          <w:rFonts w:ascii="新細明體" w:hAnsi="新細明體" w:cs="新細明體" w:hint="eastAsia"/>
          <w:szCs w:val="24"/>
        </w:rPr>
        <w:t>ⅲ</w:t>
      </w:r>
      <w:r>
        <w:rPr>
          <w:rFonts w:ascii="標楷體" w:eastAsia="標楷體" w:hAnsi="標楷體" w:hint="eastAsia"/>
          <w:szCs w:val="24"/>
        </w:rPr>
        <w:t>.高血鈣(corrected serum calcium＞11.0 mg/dL 或 2.75 mmol/L)。</w:t>
      </w:r>
    </w:p>
    <w:p w14:paraId="51C6FDF0" w14:textId="77777777" w:rsidR="003F14ED" w:rsidRDefault="003F14ED" w:rsidP="003F14ED">
      <w:pPr>
        <w:spacing w:line="400" w:lineRule="exact"/>
        <w:ind w:left="1274" w:hanging="360"/>
      </w:pPr>
      <w:r>
        <w:rPr>
          <w:rFonts w:ascii="新細明體" w:hAnsi="新細明體" w:cs="新細明體" w:hint="eastAsia"/>
          <w:szCs w:val="24"/>
        </w:rPr>
        <w:t>ⅳ</w:t>
      </w:r>
      <w:r>
        <w:rPr>
          <w:rFonts w:ascii="標楷體" w:eastAsia="標楷體" w:hAnsi="標楷體" w:hint="eastAsia"/>
          <w:szCs w:val="24"/>
        </w:rPr>
        <w:t>.貧血(Hemoglobin 下降幅度≧ 2gm/dL且無其他原因可以解釋)。</w:t>
      </w:r>
    </w:p>
    <w:p w14:paraId="5A08CFE8" w14:textId="77777777" w:rsidR="003F14ED" w:rsidRDefault="003F14ED" w:rsidP="003F14ED">
      <w:pPr>
        <w:spacing w:line="400" w:lineRule="exact"/>
        <w:ind w:left="1274" w:hanging="360"/>
      </w:pPr>
      <w:r>
        <w:rPr>
          <w:rFonts w:ascii="新細明體" w:hAnsi="新細明體" w:cs="新細明體" w:hint="eastAsia"/>
          <w:szCs w:val="24"/>
        </w:rPr>
        <w:t>ⅴ</w:t>
      </w:r>
      <w:r>
        <w:rPr>
          <w:rFonts w:ascii="標楷體" w:eastAsia="標楷體" w:hAnsi="標楷體" w:hint="eastAsia"/>
          <w:szCs w:val="24"/>
        </w:rPr>
        <w:t>.腎功能惡化(eGFR需下降幅度≧25%)，且無其他原因可以解釋。</w:t>
      </w:r>
    </w:p>
    <w:p w14:paraId="1F1CCA74" w14:textId="77777777" w:rsidR="003F14ED" w:rsidRDefault="003F14ED" w:rsidP="003F14ED">
      <w:pPr>
        <w:spacing w:line="400" w:lineRule="exact"/>
        <w:ind w:left="1274" w:hanging="360"/>
      </w:pPr>
      <w:r>
        <w:rPr>
          <w:rFonts w:ascii="新細明體" w:hAnsi="新細明體" w:cs="新細明體" w:hint="eastAsia"/>
          <w:szCs w:val="24"/>
        </w:rPr>
        <w:t>ⅵ</w:t>
      </w:r>
      <w:r>
        <w:rPr>
          <w:rFonts w:ascii="標楷體" w:eastAsia="標楷體" w:hAnsi="標楷體" w:hint="eastAsia"/>
          <w:szCs w:val="24"/>
        </w:rPr>
        <w:t>.出現其他 end-organ dysfunctions。</w:t>
      </w:r>
    </w:p>
    <w:p w14:paraId="2E8F8F72" w14:textId="77777777" w:rsidR="003F14ED" w:rsidRDefault="003F14ED" w:rsidP="003F14ED">
      <w:pPr>
        <w:spacing w:line="400" w:lineRule="exact"/>
        <w:ind w:left="708" w:hanging="360"/>
      </w:pPr>
      <w:r>
        <w:rPr>
          <w:rFonts w:ascii="標楷體" w:eastAsia="標楷體" w:hAnsi="標楷體" w:hint="eastAsia"/>
          <w:color w:val="000000"/>
          <w:szCs w:val="24"/>
        </w:rPr>
        <w:lastRenderedPageBreak/>
        <w:t>(3)須經事前審查核准後使用，每次申請事前審查之療程以4個療程為限，每4個療程須再次申請。</w:t>
      </w:r>
    </w:p>
    <w:p w14:paraId="547ED0F2" w14:textId="77777777" w:rsidR="003F14ED" w:rsidRDefault="003F14ED" w:rsidP="003F14ED">
      <w:pPr>
        <w:spacing w:line="400" w:lineRule="exact"/>
        <w:ind w:left="840" w:hanging="360"/>
        <w:rPr>
          <w:rFonts w:ascii="標楷體" w:eastAsia="標楷體" w:hAnsi="標楷體"/>
          <w:szCs w:val="24"/>
        </w:rPr>
      </w:pPr>
      <w:r>
        <w:rPr>
          <w:rFonts w:ascii="標楷體" w:eastAsia="標楷體" w:hAnsi="標楷體" w:hint="eastAsia"/>
          <w:szCs w:val="24"/>
        </w:rPr>
        <w:t>Ⅰ.每天限給付1粒。</w:t>
      </w:r>
    </w:p>
    <w:p w14:paraId="2022A729" w14:textId="77777777" w:rsidR="003F14ED" w:rsidRDefault="003F14ED" w:rsidP="003F14ED">
      <w:pPr>
        <w:spacing w:line="400" w:lineRule="exact"/>
        <w:ind w:left="840" w:hanging="360"/>
        <w:rPr>
          <w:rFonts w:ascii="標楷體" w:eastAsia="標楷體" w:hAnsi="標楷體"/>
          <w:szCs w:val="24"/>
        </w:rPr>
      </w:pPr>
      <w:r>
        <w:rPr>
          <w:rFonts w:ascii="標楷體" w:eastAsia="標楷體" w:hAnsi="標楷體" w:hint="eastAsia"/>
          <w:szCs w:val="24"/>
        </w:rPr>
        <w:t>Ⅱ.使用4個療程後，必須確定paraprotein(M-protein)未上升(即表示對藥物有反應或為穩定狀態)或對部分non-secretory type MM病人以骨髓檢查plasma cell為療效依據，方可繼續使用。</w:t>
      </w:r>
    </w:p>
    <w:p w14:paraId="6C73A22A"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(4)每人終生至多給付24個療程為限（每療程為4週）。使用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及Revlimid終生至多給付36個療程為限。（106/10/1、109/2/1、109/8/1、112/4/1、115/3/1、115/4/1）</w:t>
      </w:r>
    </w:p>
    <w:p w14:paraId="2B211008" w14:textId="77777777" w:rsidR="003F14ED" w:rsidRPr="00FA10D5"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(5)</w:t>
      </w:r>
      <w:r w:rsidRPr="00FA10D5">
        <w:rPr>
          <w:rFonts w:ascii="標楷體" w:eastAsia="標楷體" w:hAnsi="標楷體" w:hint="eastAsia"/>
          <w:color w:val="000000"/>
          <w:szCs w:val="24"/>
        </w:rPr>
        <w:t>115年2月28日以前已核定使用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或</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，及115年3月31日以前已核定使用Revlimid之病人，得經事前審查核准後，使用至總療程上限（即終生36個療程）或使用期間發生疾病惡化為止。（112/4/1、115/3/1、115/4/1）</w:t>
      </w:r>
    </w:p>
    <w:p w14:paraId="2E70D69A" w14:textId="77777777" w:rsidR="003F14ED" w:rsidRPr="00FA10D5" w:rsidRDefault="003F14ED" w:rsidP="003F14ED">
      <w:pPr>
        <w:spacing w:line="400" w:lineRule="exact"/>
        <w:ind w:left="283"/>
        <w:rPr>
          <w:rFonts w:ascii="標楷體" w:eastAsia="標楷體" w:hAnsi="標楷體"/>
          <w:szCs w:val="24"/>
        </w:rPr>
      </w:pPr>
      <w:r>
        <w:rPr>
          <w:rFonts w:ascii="標楷體" w:eastAsia="標楷體" w:hAnsi="標楷體" w:hint="eastAsia"/>
          <w:szCs w:val="24"/>
        </w:rPr>
        <w:t>2.瀰漫性大型B細胞淋巴瘤：(114/10/1</w:t>
      </w:r>
      <w:r>
        <w:rPr>
          <w:rFonts w:ascii="標楷體" w:eastAsia="標楷體" w:hAnsi="標楷體" w:hint="eastAsia"/>
          <w:color w:val="000000"/>
          <w:szCs w:val="24"/>
        </w:rPr>
        <w:t>、115/3/1</w:t>
      </w:r>
      <w:r w:rsidRPr="00FA10D5">
        <w:rPr>
          <w:rFonts w:ascii="標楷體" w:eastAsia="標楷體" w:hAnsi="標楷體" w:hint="eastAsia"/>
          <w:szCs w:val="24"/>
        </w:rPr>
        <w:t>、115/4/1</w:t>
      </w:r>
      <w:r>
        <w:rPr>
          <w:rFonts w:ascii="標楷體" w:eastAsia="標楷體" w:hAnsi="標楷體" w:hint="eastAsia"/>
          <w:szCs w:val="24"/>
        </w:rPr>
        <w:t>)</w:t>
      </w:r>
    </w:p>
    <w:p w14:paraId="39E5A7AA"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(1)Lenalidomide</w:t>
      </w:r>
      <w:r w:rsidRPr="00FA10D5">
        <w:rPr>
          <w:rFonts w:ascii="標楷體" w:eastAsia="標楷體" w:hAnsi="標楷體" w:hint="eastAsia"/>
          <w:color w:val="000000"/>
          <w:szCs w:val="24"/>
        </w:rPr>
        <w:t>(限使用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及Revlimid)</w:t>
      </w:r>
      <w:r>
        <w:rPr>
          <w:rFonts w:ascii="標楷體" w:eastAsia="標楷體" w:hAnsi="標楷體" w:hint="eastAsia"/>
          <w:color w:val="000000"/>
          <w:szCs w:val="24"/>
        </w:rPr>
        <w:t xml:space="preserve">與 </w:t>
      </w:r>
      <w:proofErr w:type="spellStart"/>
      <w:r>
        <w:rPr>
          <w:rFonts w:ascii="標楷體" w:eastAsia="標楷體" w:hAnsi="標楷體" w:hint="eastAsia"/>
          <w:color w:val="000000"/>
          <w:szCs w:val="24"/>
        </w:rPr>
        <w:t>tafasitamab</w:t>
      </w:r>
      <w:proofErr w:type="spellEnd"/>
      <w:r>
        <w:rPr>
          <w:rFonts w:ascii="標楷體" w:eastAsia="標楷體" w:hAnsi="標楷體" w:hint="eastAsia"/>
          <w:color w:val="000000"/>
          <w:szCs w:val="24"/>
        </w:rPr>
        <w:t>合併使用於經一線全身治療含rituximab治療復發型，不適合接受造血幹細胞移植瀰漫性大型B細胞淋巴瘤(DLBCL)成人病人，病人須符合</w:t>
      </w:r>
      <w:proofErr w:type="spellStart"/>
      <w:r>
        <w:rPr>
          <w:rFonts w:ascii="標楷體" w:eastAsia="標楷體" w:hAnsi="標楷體" w:hint="eastAsia"/>
          <w:color w:val="000000"/>
          <w:szCs w:val="24"/>
        </w:rPr>
        <w:t>tafasitamab</w:t>
      </w:r>
      <w:proofErr w:type="spellEnd"/>
      <w:r>
        <w:rPr>
          <w:rFonts w:ascii="標楷體" w:eastAsia="標楷體" w:hAnsi="標楷體" w:hint="eastAsia"/>
          <w:color w:val="000000"/>
          <w:szCs w:val="24"/>
        </w:rPr>
        <w:t>之藥品給付規定(114/10/1、115/3/1</w:t>
      </w:r>
      <w:r w:rsidRPr="00FA10D5">
        <w:rPr>
          <w:rFonts w:ascii="標楷體" w:eastAsia="標楷體" w:hAnsi="標楷體" w:hint="eastAsia"/>
          <w:color w:val="000000"/>
          <w:szCs w:val="24"/>
        </w:rPr>
        <w:t>、115/4/1</w:t>
      </w:r>
      <w:r>
        <w:rPr>
          <w:rFonts w:ascii="標楷體" w:eastAsia="標楷體" w:hAnsi="標楷體" w:hint="eastAsia"/>
          <w:color w:val="000000"/>
          <w:szCs w:val="24"/>
        </w:rPr>
        <w:t>）。</w:t>
      </w:r>
    </w:p>
    <w:p w14:paraId="3A5DF6CE"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(2)須經事前審查核准後使用。</w:t>
      </w:r>
    </w:p>
    <w:p w14:paraId="41D212B4" w14:textId="77777777" w:rsidR="003F14ED" w:rsidRDefault="003F14ED" w:rsidP="003F14ED">
      <w:pPr>
        <w:spacing w:line="400" w:lineRule="exact"/>
        <w:ind w:left="708" w:hanging="141"/>
      </w:pPr>
      <w:r>
        <w:rPr>
          <w:rFonts w:ascii="標楷體" w:eastAsia="標楷體" w:hAnsi="標楷體" w:hint="eastAsia"/>
          <w:color w:val="000000"/>
          <w:szCs w:val="24"/>
        </w:rPr>
        <w:t>Ⅰ.每人至多</w:t>
      </w:r>
      <w:r>
        <w:rPr>
          <w:rFonts w:ascii="標楷體" w:eastAsia="標楷體" w:hAnsi="標楷體" w:hint="eastAsia"/>
          <w:szCs w:val="24"/>
        </w:rPr>
        <w:t>給付12個療程。</w:t>
      </w:r>
    </w:p>
    <w:p w14:paraId="33246360" w14:textId="77777777" w:rsidR="003F14ED" w:rsidRDefault="003F14ED" w:rsidP="003F14ED">
      <w:pPr>
        <w:spacing w:line="400" w:lineRule="exact"/>
        <w:ind w:left="993" w:hanging="386"/>
      </w:pPr>
      <w:r>
        <w:rPr>
          <w:rFonts w:ascii="標楷體" w:eastAsia="標楷體" w:hAnsi="標楷體" w:hint="eastAsia"/>
          <w:szCs w:val="24"/>
        </w:rPr>
        <w:t>Ⅱ.每天限給付1粒。</w:t>
      </w:r>
    </w:p>
    <w:p w14:paraId="16052781" w14:textId="77777777" w:rsidR="003F14ED" w:rsidRPr="00C34C93" w:rsidRDefault="003F14ED" w:rsidP="003F14ED">
      <w:pPr>
        <w:spacing w:line="400" w:lineRule="exact"/>
        <w:ind w:left="709" w:hanging="386"/>
        <w:rPr>
          <w:rFonts w:ascii="標楷體" w:eastAsia="標楷體" w:hAnsi="標楷體"/>
          <w:szCs w:val="24"/>
        </w:rPr>
      </w:pPr>
      <w:r w:rsidRPr="00C34C93">
        <w:rPr>
          <w:rFonts w:ascii="標楷體" w:eastAsia="標楷體" w:hAnsi="標楷體"/>
          <w:szCs w:val="24"/>
        </w:rPr>
        <w:t>3.Lenalidomide(限使用Revlimid)與rituximab(限使用</w:t>
      </w:r>
      <w:proofErr w:type="spellStart"/>
      <w:r w:rsidRPr="00C34C93">
        <w:rPr>
          <w:rFonts w:ascii="標楷體" w:eastAsia="標楷體" w:hAnsi="標楷體"/>
          <w:szCs w:val="24"/>
        </w:rPr>
        <w:t>Rixathon</w:t>
      </w:r>
      <w:proofErr w:type="spellEnd"/>
      <w:r w:rsidRPr="00C34C93">
        <w:rPr>
          <w:rFonts w:ascii="標楷體" w:eastAsia="標楷體" w:hAnsi="標楷體"/>
          <w:szCs w:val="24"/>
        </w:rPr>
        <w:t>)併用，治療先前曾接受至少一線全身性治療之復發性或難治性濾泡性淋巴瘤成人病人：（115/5/1）</w:t>
      </w:r>
    </w:p>
    <w:p w14:paraId="5EC93A3B"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(1)</w:t>
      </w:r>
      <w:r w:rsidRPr="00C34C93">
        <w:rPr>
          <w:rFonts w:ascii="標楷體" w:eastAsia="標楷體" w:hAnsi="標楷體"/>
          <w:color w:val="000000"/>
          <w:szCs w:val="24"/>
        </w:rPr>
        <w:t>具CD20抗原陽性。</w:t>
      </w:r>
    </w:p>
    <w:p w14:paraId="68CBD661"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(2)</w:t>
      </w:r>
      <w:r w:rsidRPr="00C34C93">
        <w:rPr>
          <w:rFonts w:ascii="標楷體" w:eastAsia="標楷體" w:hAnsi="標楷體"/>
          <w:color w:val="000000"/>
          <w:szCs w:val="24"/>
        </w:rPr>
        <w:t>需符合WHO 淋巴瘤分類為I、II或IIIa期的診斷。</w:t>
      </w:r>
    </w:p>
    <w:p w14:paraId="6EEC251F"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(3)</w:t>
      </w:r>
      <w:r w:rsidRPr="00C34C93">
        <w:rPr>
          <w:rFonts w:ascii="標楷體" w:eastAsia="標楷體" w:hAnsi="標楷體"/>
          <w:color w:val="000000"/>
          <w:szCs w:val="24"/>
        </w:rPr>
        <w:t>開始使用前之疾病狀態需出現下列任一情形：</w:t>
      </w:r>
    </w:p>
    <w:p w14:paraId="745906F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有單一腫瘤直徑7公分以上者；</w:t>
      </w:r>
    </w:p>
    <w:p w14:paraId="166C9FAD" w14:textId="77777777" w:rsidR="003F14ED"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有三顆以上之腫瘤其直徑大於3公分以上者；</w:t>
      </w:r>
    </w:p>
    <w:p w14:paraId="60366C0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脾臟腫大，其長度16公分以上者；</w:t>
      </w:r>
    </w:p>
    <w:p w14:paraId="22DAA9D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對vital organs造成擠壓者；</w:t>
      </w:r>
    </w:p>
    <w:p w14:paraId="39B1CB5C"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周邊血中出現淋巴球增生超過5000/ mm3者；</w:t>
      </w:r>
    </w:p>
    <w:p w14:paraId="74D35BBD"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出現任一系列血球低下者（platelet&lt;100,000/ mm3，或 Hb&lt;10gm/dL，或absolute neutrophil count&lt;1500/mm3)。</w:t>
      </w:r>
    </w:p>
    <w:p w14:paraId="6B73614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B symptoms。</w:t>
      </w:r>
    </w:p>
    <w:p w14:paraId="44672E11" w14:textId="77777777" w:rsidR="003F14ED" w:rsidRPr="00C34C93"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(4)</w:t>
      </w:r>
      <w:r w:rsidRPr="00C34C93">
        <w:rPr>
          <w:rFonts w:ascii="標楷體" w:eastAsia="標楷體" w:hAnsi="標楷體"/>
          <w:color w:val="000000"/>
          <w:szCs w:val="24"/>
        </w:rPr>
        <w:t>需經事前審查核准後使用，每3個月需再次申請，再次申請時需檢附影像資料（CT或MRI），若未達partial remission或 complete remission，則不予給付。</w:t>
      </w:r>
    </w:p>
    <w:p w14:paraId="455F1D37" w14:textId="77777777" w:rsidR="003F14ED" w:rsidRPr="00C34C93"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(5)</w:t>
      </w:r>
      <w:r w:rsidRPr="00C34C93">
        <w:rPr>
          <w:rFonts w:ascii="標楷體" w:eastAsia="標楷體" w:hAnsi="標楷體"/>
          <w:color w:val="000000"/>
          <w:szCs w:val="24"/>
        </w:rPr>
        <w:t>每位病人最多給付12個療程，若病情惡化應即停止使用。</w:t>
      </w:r>
    </w:p>
    <w:p w14:paraId="7E652E49" w14:textId="3565F77F" w:rsidR="00B96EA0" w:rsidRPr="003F14ED"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lastRenderedPageBreak/>
        <w:t>(6)</w:t>
      </w:r>
      <w:r w:rsidRPr="00C34C93">
        <w:rPr>
          <w:rFonts w:ascii="標楷體" w:eastAsia="標楷體" w:hAnsi="標楷體"/>
          <w:color w:val="000000"/>
          <w:szCs w:val="24"/>
        </w:rPr>
        <w:t>每日限處方1粒。</w:t>
      </w:r>
    </w:p>
    <w:p w14:paraId="0AADAB39" w14:textId="77777777"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14:paraId="438E5132" w14:textId="77777777" w:rsidR="003225F7" w:rsidRDefault="003225F7" w:rsidP="003225F7">
      <w:pPr>
        <w:spacing w:line="400" w:lineRule="exact"/>
        <w:ind w:left="1080" w:hanging="840"/>
        <w:rPr>
          <w:rFonts w:ascii="標楷體" w:eastAsia="標楷體" w:hAnsi="標楷體"/>
          <w:color w:val="000000"/>
        </w:rPr>
      </w:pPr>
      <w:r>
        <w:rPr>
          <w:rFonts w:ascii="標楷體" w:eastAsia="標楷體" w:hAnsi="標楷體"/>
          <w:color w:val="000000"/>
        </w:rPr>
        <w:t>9.44.1.Azacitidine 注射劑（如</w:t>
      </w:r>
      <w:proofErr w:type="spellStart"/>
      <w:r>
        <w:rPr>
          <w:rFonts w:ascii="標楷體" w:eastAsia="標楷體" w:hAnsi="標楷體"/>
          <w:color w:val="000000"/>
        </w:rPr>
        <w:t>Vidaza</w:t>
      </w:r>
      <w:proofErr w:type="spellEnd"/>
      <w:r>
        <w:rPr>
          <w:rFonts w:ascii="標楷體" w:eastAsia="標楷體" w:hAnsi="標楷體"/>
          <w:color w:val="000000"/>
        </w:rPr>
        <w:t>）：（102/1/1、111/5/1、111/8/1、112/2/1、112/8/1、114/3/1、114/8/1</w:t>
      </w:r>
      <w:r>
        <w:rPr>
          <w:rFonts w:ascii="標楷體" w:eastAsia="標楷體" w:hAnsi="標楷體" w:hint="eastAsia"/>
          <w:color w:val="000000"/>
        </w:rPr>
        <w:t>、114/12/1</w:t>
      </w:r>
      <w:r>
        <w:rPr>
          <w:rFonts w:ascii="標楷體" w:eastAsia="標楷體" w:hAnsi="標楷體"/>
          <w:color w:val="000000"/>
        </w:rPr>
        <w:t>）</w:t>
      </w:r>
    </w:p>
    <w:p w14:paraId="45CDBA70" w14:textId="77777777" w:rsidR="003225F7" w:rsidRDefault="003225F7" w:rsidP="003225F7">
      <w:pPr>
        <w:spacing w:line="400" w:lineRule="exact"/>
        <w:ind w:left="851" w:hanging="284"/>
        <w:rPr>
          <w:rFonts w:ascii="標楷體" w:eastAsia="標楷體" w:hAnsi="標楷體"/>
        </w:rPr>
      </w:pPr>
      <w:r>
        <w:rPr>
          <w:rFonts w:ascii="標楷體" w:eastAsia="標楷體" w:hAnsi="標楷體"/>
        </w:rPr>
        <w:t xml:space="preserve">1.骨髓增生不良症候群高危險性病患：頑固性貧血併有過量芽細胞（RA with excess blasts, RAEB）、轉變中的頑固性貧血併有過量芽細胞（RAEB in transformation, RAEB-T）、及慢性骨髓單核細胞性白血病（chronic myelomonocytic leukemia, </w:t>
      </w:r>
      <w:proofErr w:type="spellStart"/>
      <w:r>
        <w:rPr>
          <w:rFonts w:ascii="標楷體" w:eastAsia="標楷體" w:hAnsi="標楷體"/>
        </w:rPr>
        <w:t>CMMoL</w:t>
      </w:r>
      <w:proofErr w:type="spellEnd"/>
      <w:r>
        <w:rPr>
          <w:rFonts w:ascii="標楷體" w:eastAsia="標楷體" w:hAnsi="標楷體"/>
        </w:rPr>
        <w:t>）。</w:t>
      </w:r>
    </w:p>
    <w:p w14:paraId="00763B46"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14:paraId="52CCA513"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使用本藥品之病患，倘疾病惡化至骨髓芽細胞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14:paraId="0FE5B009"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3</w:t>
      </w:r>
      <w:r>
        <w:rPr>
          <w:rFonts w:ascii="標楷體" w:eastAsia="標楷體" w:hAnsi="標楷體"/>
        </w:rPr>
        <w:t>)</w:t>
      </w:r>
      <w:r>
        <w:rPr>
          <w:rFonts w:ascii="標楷體" w:eastAsia="標楷體" w:hAnsi="標楷體" w:hint="eastAsia"/>
        </w:rPr>
        <w:t>不得併用</w:t>
      </w:r>
      <w:proofErr w:type="spellStart"/>
      <w:r>
        <w:rPr>
          <w:rFonts w:ascii="標楷體" w:eastAsia="標楷體" w:hAnsi="標楷體" w:hint="eastAsia"/>
        </w:rPr>
        <w:t>v</w:t>
      </w:r>
      <w:r>
        <w:rPr>
          <w:rFonts w:ascii="標楷體" w:eastAsia="標楷體" w:hAnsi="標楷體"/>
        </w:rPr>
        <w:t>enetoclax</w:t>
      </w:r>
      <w:proofErr w:type="spellEnd"/>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14:paraId="799EF7F2"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(4)本藥品與decitabine僅能擇一使用，除因耐受性不良，不得互換。若因無法耐受 decitabine而轉換至本藥品時需事前申請。使用本藥品無效後，不得再申請decitabine。（111/5/1）</w:t>
      </w:r>
    </w:p>
    <w:p w14:paraId="629B0555" w14:textId="77777777"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t>
      </w:r>
      <w:proofErr w:type="spellStart"/>
      <w:r>
        <w:rPr>
          <w:rFonts w:ascii="標楷體" w:eastAsia="標楷體" w:hAnsi="標楷體"/>
        </w:rPr>
        <w:t>Winduza</w:t>
      </w:r>
      <w:proofErr w:type="spellEnd"/>
      <w:r>
        <w:rPr>
          <w:rFonts w:ascii="標楷體" w:eastAsia="標楷體" w:hAnsi="標楷體"/>
        </w:rPr>
        <w:t xml:space="preserve">及Azacitidine Lyophilized </w:t>
      </w:r>
      <w:proofErr w:type="spellStart"/>
      <w:r>
        <w:rPr>
          <w:rFonts w:ascii="標楷體" w:eastAsia="標楷體" w:hAnsi="標楷體"/>
        </w:rPr>
        <w:t>Inj</w:t>
      </w:r>
      <w:proofErr w:type="spellEnd"/>
      <w:r>
        <w:rPr>
          <w:rFonts w:ascii="標楷體" w:eastAsia="標楷體" w:hAnsi="標楷體"/>
        </w:rPr>
        <w:t xml:space="preserve"> 100mg"GBC"以外)併用</w:t>
      </w:r>
      <w:proofErr w:type="spellStart"/>
      <w:r>
        <w:rPr>
          <w:rFonts w:ascii="標楷體" w:eastAsia="標楷體" w:hAnsi="標楷體"/>
        </w:rPr>
        <w:t>venetoclax</w:t>
      </w:r>
      <w:proofErr w:type="spellEnd"/>
      <w:r>
        <w:rPr>
          <w:rFonts w:ascii="標楷體" w:eastAsia="標楷體" w:hAnsi="標楷體"/>
        </w:rPr>
        <w:t>，使用於無法接受高強度化學治療之初診斷急性骨髓性白血病(AML)病人。(114/8/1)</w:t>
      </w:r>
    </w:p>
    <w:p w14:paraId="702888FC"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(1)需具有下列I.或Ⅱ.的條件之一：</w:t>
      </w:r>
    </w:p>
    <w:p w14:paraId="5E1C1618" w14:textId="77777777"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14:paraId="76887BF2" w14:textId="77777777" w:rsidR="003225F7" w:rsidRDefault="003225F7" w:rsidP="003225F7">
      <w:pPr>
        <w:spacing w:line="400" w:lineRule="exact"/>
        <w:ind w:left="1560" w:hanging="244"/>
        <w:rPr>
          <w:rFonts w:ascii="標楷體" w:eastAsia="標楷體" w:hAnsi="標楷體"/>
        </w:rPr>
      </w:pPr>
      <w:r>
        <w:rPr>
          <w:rFonts w:ascii="標楷體" w:eastAsia="標楷體" w:hAnsi="標楷體"/>
        </w:rPr>
        <w:t>Ⅱ.18歲以上但未滿75歲時，需ECOG performance status為 2 或 3，且符合下列任一條件者：</w:t>
      </w:r>
    </w:p>
    <w:p w14:paraId="6D07DBF6" w14:textId="77777777" w:rsidR="003225F7" w:rsidRDefault="003225F7" w:rsidP="003225F7">
      <w:pPr>
        <w:spacing w:line="400" w:lineRule="exact"/>
        <w:ind w:left="1985" w:hanging="244"/>
      </w:pPr>
      <w:r>
        <w:rPr>
          <w:rFonts w:ascii="新細明體" w:hAnsi="新細明體" w:cs="新細明體"/>
        </w:rPr>
        <w:t>ⅰ</w:t>
      </w:r>
      <w:r>
        <w:rPr>
          <w:rFonts w:ascii="標楷體" w:eastAsia="標楷體" w:hAnsi="標楷體"/>
        </w:rPr>
        <w:t>.具有心臟衰竭治療病史，且left ventricle ejection fraction (LVEF)＜50%。</w:t>
      </w:r>
    </w:p>
    <w:p w14:paraId="618E5FAE" w14:textId="77777777"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14:paraId="2DF98508" w14:textId="77777777"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14:paraId="5871502F"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14:paraId="0E1DF178"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14:paraId="2DC54CA1" w14:textId="77777777"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14:paraId="051993A2" w14:textId="77777777"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w:t>
      </w:r>
      <w:proofErr w:type="spellStart"/>
      <w:r w:rsidRPr="004C7F93">
        <w:rPr>
          <w:rFonts w:ascii="標楷體" w:eastAsia="標楷體" w:hAnsi="標楷體" w:hint="eastAsia"/>
          <w:color w:val="000000"/>
        </w:rPr>
        <w:t>Onureg</w:t>
      </w:r>
      <w:proofErr w:type="spellEnd"/>
      <w:r w:rsidRPr="004C7F93">
        <w:rPr>
          <w:rFonts w:ascii="標楷體" w:eastAsia="標楷體" w:hAnsi="標楷體" w:hint="eastAsia"/>
          <w:color w:val="000000"/>
        </w:rPr>
        <w:t>）：(114/5/1、114/10/1）</w:t>
      </w:r>
    </w:p>
    <w:p w14:paraId="41416AD8"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lastRenderedPageBreak/>
        <w:t>1.</w:t>
      </w:r>
      <w:r w:rsidRPr="004C7F93">
        <w:rPr>
          <w:rFonts w:ascii="標楷體" w:eastAsia="標楷體" w:hAnsi="標楷體" w:hint="eastAsia"/>
        </w:rPr>
        <w:tab/>
        <w:t>用於不適合接受造血幹細胞移植(HSCT)之急性骨髓性白血病 (AML)成人病人，作為維持治療，且須同時符合下列條件：</w:t>
      </w:r>
    </w:p>
    <w:p w14:paraId="05ACB4C4"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(1)55歲以上具中度或高度不良風險染色體核型變化(intermediate-risk or poor-risk cytogenetics)之急性骨髓性白血病 (AML)病人。</w:t>
      </w:r>
    </w:p>
    <w:p w14:paraId="4D9F83F1"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(2)在誘導治療後(不論是否接受鞏固治療)，首次達到完全緩解(CR)或完全緩解但血球計數未完全恢復正常 (</w:t>
      </w:r>
      <w:proofErr w:type="spellStart"/>
      <w:r w:rsidRPr="004C7F93">
        <w:rPr>
          <w:rFonts w:ascii="標楷體" w:eastAsia="標楷體" w:hAnsi="標楷體" w:hint="eastAsia"/>
        </w:rPr>
        <w:t>CRi</w:t>
      </w:r>
      <w:proofErr w:type="spellEnd"/>
      <w:r w:rsidRPr="004C7F93">
        <w:rPr>
          <w:rFonts w:ascii="標楷體" w:eastAsia="標楷體" w:hAnsi="標楷體" w:hint="eastAsia"/>
        </w:rPr>
        <w:t>)。</w:t>
      </w:r>
    </w:p>
    <w:p w14:paraId="7B958BFD"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14:paraId="33286824"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(定義為周邊血或骨髓觀察到的芽細胞超過5%或新出現髓外侵犯)或無法耐受藥物毒性為止。</w:t>
      </w:r>
    </w:p>
    <w:p w14:paraId="302FF10A"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14:paraId="3A3EDCCF"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w:t>
      </w:r>
      <w:proofErr w:type="spellStart"/>
      <w:r w:rsidRPr="004C7F93">
        <w:rPr>
          <w:rFonts w:ascii="標楷體" w:eastAsia="標楷體" w:hAnsi="標楷體" w:hint="eastAsia"/>
        </w:rPr>
        <w:t>midostaurin</w:t>
      </w:r>
      <w:proofErr w:type="spellEnd"/>
      <w:r w:rsidRPr="004C7F93">
        <w:rPr>
          <w:rFonts w:ascii="標楷體" w:eastAsia="標楷體" w:hAnsi="標楷體" w:hint="eastAsia"/>
        </w:rPr>
        <w:t>、</w:t>
      </w:r>
      <w:proofErr w:type="spellStart"/>
      <w:r w:rsidRPr="004C7F93">
        <w:rPr>
          <w:rFonts w:ascii="標楷體" w:eastAsia="標楷體" w:hAnsi="標楷體" w:hint="eastAsia"/>
        </w:rPr>
        <w:t>venetoclax</w:t>
      </w:r>
      <w:proofErr w:type="spellEnd"/>
      <w:r w:rsidRPr="004C7F93">
        <w:rPr>
          <w:rFonts w:ascii="標楷體" w:eastAsia="標楷體" w:hAnsi="標楷體" w:hint="eastAsia"/>
        </w:rPr>
        <w:t>及</w:t>
      </w:r>
      <w:proofErr w:type="spellStart"/>
      <w:r w:rsidRPr="004C7F93">
        <w:rPr>
          <w:rFonts w:ascii="標楷體" w:eastAsia="標楷體" w:hAnsi="標楷體" w:hint="eastAsia"/>
        </w:rPr>
        <w:t>gilteritinib</w:t>
      </w:r>
      <w:proofErr w:type="spellEnd"/>
      <w:r w:rsidRPr="004C7F93">
        <w:rPr>
          <w:rFonts w:ascii="標楷體" w:eastAsia="標楷體" w:hAnsi="標楷體" w:hint="eastAsia"/>
        </w:rPr>
        <w:t>等標靶藥品併用。</w:t>
      </w:r>
    </w:p>
    <w:p w14:paraId="18A9B251"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14:paraId="412A7AFC" w14:textId="77777777"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6.本藥品與</w:t>
      </w:r>
      <w:proofErr w:type="spellStart"/>
      <w:r w:rsidRPr="004C7F93">
        <w:rPr>
          <w:rFonts w:ascii="標楷體" w:eastAsia="標楷體" w:hAnsi="標楷體" w:hint="eastAsia"/>
        </w:rPr>
        <w:t>quizartinib</w:t>
      </w:r>
      <w:proofErr w:type="spellEnd"/>
      <w:r w:rsidRPr="004C7F93">
        <w:rPr>
          <w:rFonts w:ascii="標楷體" w:eastAsia="標楷體" w:hAnsi="標楷體" w:hint="eastAsia"/>
        </w:rPr>
        <w:t>僅得擇一使用，除因耐受性不良，不得互換。(114/10/1)</w:t>
      </w:r>
    </w:p>
    <w:p w14:paraId="15BCD9CF" w14:textId="77777777" w:rsidR="00B96EA0" w:rsidRDefault="007D66B8" w:rsidP="005142EB">
      <w:pPr>
        <w:spacing w:line="400" w:lineRule="exact"/>
        <w:ind w:left="720" w:hanging="480"/>
      </w:pPr>
      <w:r>
        <w:rPr>
          <w:rFonts w:ascii="標楷體" w:eastAsia="標楷體" w:hAnsi="標楷體"/>
          <w:color w:val="000000"/>
        </w:rPr>
        <w:t>9.45.</w:t>
      </w:r>
      <w:r>
        <w:rPr>
          <w:rFonts w:ascii="標楷體" w:eastAsia="標楷體" w:hAnsi="標楷體"/>
          <w:kern w:val="0"/>
          <w:szCs w:val="24"/>
        </w:rPr>
        <w:t>Afatinib（如</w:t>
      </w:r>
      <w:proofErr w:type="spellStart"/>
      <w:r>
        <w:rPr>
          <w:rFonts w:ascii="標楷體" w:eastAsia="標楷體" w:hAnsi="標楷體"/>
          <w:kern w:val="0"/>
          <w:szCs w:val="24"/>
        </w:rPr>
        <w:t>Giotrif</w:t>
      </w:r>
      <w:proofErr w:type="spellEnd"/>
      <w:r>
        <w:rPr>
          <w:rFonts w:ascii="標楷體" w:eastAsia="標楷體" w:hAnsi="標楷體"/>
          <w:kern w:val="0"/>
          <w:szCs w:val="24"/>
        </w:rPr>
        <w:t>）：(103/5/1、106/11/1、108/6/1、108/11/1</w:t>
      </w:r>
      <w:r>
        <w:rPr>
          <w:rFonts w:ascii="標楷體" w:eastAsia="標楷體" w:hAnsi="標楷體"/>
          <w:kern w:val="0"/>
        </w:rPr>
        <w:t>、109/4/1</w:t>
      </w:r>
      <w:r>
        <w:rPr>
          <w:rFonts w:ascii="標楷體" w:eastAsia="標楷體" w:hAnsi="標楷體"/>
        </w:rPr>
        <w:t>、109/6/1、109/10/1</w:t>
      </w:r>
      <w:r>
        <w:rPr>
          <w:rFonts w:ascii="新細明體" w:hAnsi="新細明體"/>
        </w:rPr>
        <w:t>、</w:t>
      </w:r>
      <w:r>
        <w:rPr>
          <w:rFonts w:ascii="標楷體" w:eastAsia="標楷體" w:hAnsi="標楷體"/>
        </w:rPr>
        <w:t>111/4/1</w:t>
      </w:r>
      <w:r>
        <w:rPr>
          <w:rFonts w:ascii="標楷體" w:eastAsia="標楷體" w:hAnsi="標楷體"/>
          <w:color w:val="000000"/>
        </w:rPr>
        <w:t>、113/3/1、113/6/1、113/10/1</w:t>
      </w:r>
      <w:r>
        <w:rPr>
          <w:rFonts w:ascii="標楷體" w:eastAsia="標楷體" w:hAnsi="標楷體"/>
          <w:kern w:val="0"/>
          <w:szCs w:val="24"/>
        </w:rPr>
        <w:t>)</w:t>
      </w:r>
    </w:p>
    <w:p w14:paraId="08FC9FE3" w14:textId="77777777" w:rsidR="00B96EA0" w:rsidRDefault="007D66B8" w:rsidP="005142EB">
      <w:pPr>
        <w:spacing w:line="400" w:lineRule="exact"/>
        <w:ind w:left="796" w:hanging="230"/>
      </w:pPr>
      <w:r>
        <w:rPr>
          <w:rFonts w:ascii="標楷體" w:eastAsia="標楷體" w:hAnsi="標楷體"/>
          <w:color w:val="000000"/>
        </w:rPr>
        <w:t>1.</w:t>
      </w:r>
      <w:r>
        <w:t xml:space="preserve"> </w:t>
      </w:r>
      <w:r>
        <w:rPr>
          <w:rFonts w:ascii="標楷體" w:eastAsia="標楷體" w:hAnsi="標楷體"/>
          <w:color w:val="000000"/>
        </w:rPr>
        <w:t>限單獨使用於：</w:t>
      </w:r>
    </w:p>
    <w:p w14:paraId="5E8E7817"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w:t>
      </w:r>
      <w:proofErr w:type="spellStart"/>
      <w:r>
        <w:rPr>
          <w:rFonts w:ascii="標楷體" w:eastAsia="標楷體" w:hAnsi="標楷體"/>
          <w:kern w:val="0"/>
          <w:szCs w:val="24"/>
        </w:rPr>
        <w:t>ⅢB</w:t>
      </w:r>
      <w:proofErr w:type="spellEnd"/>
      <w:r>
        <w:rPr>
          <w:rFonts w:ascii="標楷體" w:eastAsia="標楷體" w:hAnsi="標楷體"/>
          <w:kern w:val="0"/>
          <w:szCs w:val="24"/>
        </w:rPr>
        <w:t>、</w:t>
      </w:r>
      <w:proofErr w:type="spellStart"/>
      <w:r>
        <w:rPr>
          <w:rFonts w:ascii="標楷體" w:eastAsia="標楷體" w:hAnsi="標楷體"/>
          <w:kern w:val="0"/>
          <w:szCs w:val="24"/>
        </w:rPr>
        <w:t>ⅢC</w:t>
      </w:r>
      <w:proofErr w:type="spellEnd"/>
      <w:r>
        <w:rPr>
          <w:rFonts w:ascii="標楷體" w:eastAsia="標楷體" w:hAnsi="標楷體"/>
          <w:kern w:val="0"/>
          <w:szCs w:val="24"/>
        </w:rPr>
        <w:t>期或第Ⅳ期)之肺腺癌病患之第一線治療，需檢附EGFR基因檢測結果報告，且需符合全民健康保險藥品給付規定之通則十二。(108/6/1、108/11/1、113/6/1)</w:t>
      </w:r>
    </w:p>
    <w:p w14:paraId="1AA20624"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(2)先前已使用過第一線含鉑化學治療，但仍惡化的局部晚期或轉移性之鱗狀組織非小細胞肺癌之第二線治療。(108/6/1)</w:t>
      </w:r>
    </w:p>
    <w:p w14:paraId="54D24940" w14:textId="77777777" w:rsidR="00B96EA0" w:rsidRDefault="007D66B8" w:rsidP="005142EB">
      <w:pPr>
        <w:spacing w:line="400" w:lineRule="exact"/>
        <w:ind w:left="796" w:hanging="230"/>
      </w:pPr>
      <w:r>
        <w:rPr>
          <w:rFonts w:ascii="標楷體" w:eastAsia="標楷體" w:hAnsi="標楷體"/>
          <w:color w:val="000000"/>
        </w:rPr>
        <w:t>2.使用注意事項(106/11/1、108/6/1</w:t>
      </w:r>
      <w:r>
        <w:rPr>
          <w:rFonts w:ascii="標楷體" w:eastAsia="標楷體" w:hAnsi="標楷體"/>
          <w:kern w:val="0"/>
          <w:szCs w:val="24"/>
        </w:rPr>
        <w:t>、</w:t>
      </w:r>
      <w:r>
        <w:rPr>
          <w:rFonts w:ascii="標楷體" w:eastAsia="標楷體" w:hAnsi="標楷體"/>
          <w:kern w:val="0"/>
        </w:rPr>
        <w:t>109/4/1、109/10/1</w:t>
      </w:r>
      <w:r>
        <w:rPr>
          <w:rFonts w:ascii="新細明體" w:hAnsi="新細明體"/>
          <w:kern w:val="0"/>
        </w:rPr>
        <w:t>、</w:t>
      </w:r>
      <w:r>
        <w:rPr>
          <w:rFonts w:ascii="標楷體" w:eastAsia="標楷體" w:hAnsi="標楷體"/>
          <w:kern w:val="0"/>
        </w:rPr>
        <w:t>111/4/1</w:t>
      </w:r>
      <w:r>
        <w:rPr>
          <w:rFonts w:ascii="新細明體" w:hAnsi="新細明體"/>
          <w:kern w:val="0"/>
        </w:rPr>
        <w:t>、</w:t>
      </w:r>
      <w:r>
        <w:rPr>
          <w:rFonts w:ascii="標楷體" w:eastAsia="標楷體" w:hAnsi="標楷體"/>
          <w:color w:val="000000"/>
        </w:rPr>
        <w:t>113/3/1）</w:t>
      </w:r>
    </w:p>
    <w:p w14:paraId="2251029B"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(1)用於具有EGFR-TK基因突變之局部晚期或轉移性肺腺癌之第一線治療：病歷應留存確實患有肺腺癌之病理或細胞檢查報告，及EGFR-TK基因突變檢測報告。</w:t>
      </w:r>
    </w:p>
    <w:p w14:paraId="18DDAC6F" w14:textId="77777777" w:rsidR="00B96EA0" w:rsidRDefault="007D66B8" w:rsidP="005142EB">
      <w:pPr>
        <w:spacing w:line="400" w:lineRule="exact"/>
        <w:ind w:left="1046" w:hanging="348"/>
      </w:pPr>
      <w:r>
        <w:rPr>
          <w:rFonts w:ascii="標楷體" w:eastAsia="標楷體" w:hAnsi="標楷體"/>
          <w:kern w:val="0"/>
          <w:szCs w:val="24"/>
        </w:rPr>
        <w:t xml:space="preserve">(2)用於局部晚期或轉移性之鱗狀組織非小細胞肺癌之第二線治療：病歷應留存曾經接受含鉑類化學治療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color w:val="000000"/>
        </w:rPr>
        <w:t xml:space="preserve"> </w:t>
      </w:r>
    </w:p>
    <w:p w14:paraId="0B2CD3AD" w14:textId="77777777"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(3)每次處方以4週為限，再次處方時需於病歷記錄治療後相關臨床資料，如每4週需追蹤胸部X光或電腦斷層等影像檢查，每8至12週需進行完整療效評估（如胸部X光或電腦斷層）。(106/11/1）</w:t>
      </w:r>
    </w:p>
    <w:p w14:paraId="51C153E9" w14:textId="77777777"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(4)使用本藥品後，除因耐受性不良，否則不得轉換類似藥理機轉之其他酪胺酸激酶阻斷劑（tyrosine kinase inhibitor, TKI）。</w:t>
      </w:r>
    </w:p>
    <w:p w14:paraId="00BCF71A" w14:textId="77777777" w:rsidR="00B96EA0" w:rsidRDefault="007D66B8" w:rsidP="005142EB">
      <w:pPr>
        <w:spacing w:line="400" w:lineRule="exact"/>
        <w:ind w:left="1046" w:hanging="348"/>
      </w:pPr>
      <w:r>
        <w:rPr>
          <w:rFonts w:ascii="標楷體" w:eastAsia="標楷體" w:hAnsi="標楷體"/>
          <w:color w:val="000000"/>
        </w:rPr>
        <w:t>(5)本藥品與gefitinib及erlotinib不得併用。</w:t>
      </w:r>
      <w:r>
        <w:rPr>
          <w:rFonts w:ascii="標楷體" w:eastAsia="標楷體" w:hAnsi="標楷體"/>
          <w:kern w:val="0"/>
          <w:szCs w:val="24"/>
        </w:rPr>
        <w:t>(</w:t>
      </w:r>
      <w:r>
        <w:rPr>
          <w:rFonts w:ascii="標楷體" w:eastAsia="標楷體" w:hAnsi="標楷體"/>
          <w:kern w:val="0"/>
        </w:rPr>
        <w:t>109/4/1</w:t>
      </w:r>
      <w:r>
        <w:rPr>
          <w:rFonts w:ascii="標楷體" w:eastAsia="標楷體" w:hAnsi="標楷體"/>
          <w:kern w:val="0"/>
          <w:szCs w:val="24"/>
        </w:rPr>
        <w:t>)</w:t>
      </w:r>
    </w:p>
    <w:p w14:paraId="6C6051AC" w14:textId="77777777" w:rsidR="00B96EA0" w:rsidRDefault="007D66B8" w:rsidP="005142EB">
      <w:pPr>
        <w:spacing w:line="400" w:lineRule="exact"/>
        <w:ind w:left="1046" w:hanging="348"/>
      </w:pPr>
      <w:r>
        <w:rPr>
          <w:rFonts w:ascii="標楷體" w:eastAsia="標楷體" w:hAnsi="標楷體"/>
        </w:rPr>
        <w:lastRenderedPageBreak/>
        <w:t>(6)本藥品於第一線使用時，與</w:t>
      </w:r>
      <w:proofErr w:type="spellStart"/>
      <w:r>
        <w:rPr>
          <w:rFonts w:ascii="標楷體" w:eastAsia="標楷體" w:hAnsi="標楷體"/>
        </w:rPr>
        <w:t>osimertinib</w:t>
      </w:r>
      <w:proofErr w:type="spellEnd"/>
      <w:r>
        <w:rPr>
          <w:rFonts w:ascii="標楷體" w:eastAsia="標楷體" w:hAnsi="標楷體"/>
        </w:rPr>
        <w:t>、dacomitinib及bevacizumab併用erlotinib之治療組合僅得擇一使用，除因耐受性不良，不得互換。(109/6/1、109/10/1、111/4/1、113/3/1、113/10/1)</w:t>
      </w:r>
    </w:p>
    <w:p w14:paraId="462A1A4A" w14:textId="77777777" w:rsidR="00B96EA0" w:rsidRDefault="007D66B8" w:rsidP="005142EB">
      <w:pPr>
        <w:spacing w:line="400" w:lineRule="exact"/>
        <w:ind w:left="1414" w:hanging="336"/>
      </w:pPr>
      <w:r>
        <w:rPr>
          <w:rFonts w:ascii="標楷體" w:eastAsia="標楷體" w:hAnsi="標楷體"/>
          <w:color w:val="000000"/>
        </w:rPr>
        <w:t>Ⅰ.如需更換使用</w:t>
      </w:r>
      <w:proofErr w:type="spellStart"/>
      <w:r>
        <w:rPr>
          <w:rFonts w:ascii="標楷體" w:eastAsia="標楷體" w:hAnsi="標楷體"/>
          <w:color w:val="000000"/>
        </w:rPr>
        <w:t>osimertinib</w:t>
      </w:r>
      <w:proofErr w:type="spellEnd"/>
      <w:r>
        <w:rPr>
          <w:rFonts w:ascii="標楷體" w:eastAsia="標楷體" w:hAnsi="標楷體"/>
          <w:color w:val="000000"/>
        </w:rPr>
        <w:t>，必須符合</w:t>
      </w:r>
      <w:proofErr w:type="spellStart"/>
      <w:r>
        <w:rPr>
          <w:rFonts w:ascii="標楷體" w:eastAsia="標楷體" w:hAnsi="標楷體"/>
          <w:color w:val="000000"/>
        </w:rPr>
        <w:t>osimertinib</w:t>
      </w:r>
      <w:proofErr w:type="spellEnd"/>
      <w:r>
        <w:rPr>
          <w:rFonts w:ascii="標楷體" w:eastAsia="標楷體" w:hAnsi="標楷體"/>
          <w:color w:val="000000"/>
        </w:rPr>
        <w:t>第一線使用於具有EGFR Exon 19 Del或Exon 21 L858R基因突變之局部侵犯性或轉移性（即為IIIB、IIIC期或第Ⅳ期）肺腺癌病患之限制。(109/6/1、111/4/1、113/10/1)</w:t>
      </w:r>
    </w:p>
    <w:p w14:paraId="583F4FFD"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14:paraId="0FEC8537"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Ⅲ.如需更換使用bevacizumab併用erlotinib之治療組合，必須符合bevacizumab第一線使用於具有EGFR Exon 21 L858R突變且腦轉移之無法手術切除的轉移性（第Ⅳ期）非鱗狀非小細胞肺癌肺腺癌之限制。(113/3/1)</w:t>
      </w:r>
    </w:p>
    <w:p w14:paraId="7FBF3C75" w14:textId="77777777" w:rsidR="00B96EA0" w:rsidRDefault="007D66B8" w:rsidP="005142EB">
      <w:pPr>
        <w:spacing w:line="400" w:lineRule="exact"/>
        <w:ind w:left="566" w:hanging="283"/>
      </w:pPr>
      <w:r>
        <w:rPr>
          <w:rFonts w:ascii="標楷體" w:eastAsia="標楷體" w:hAnsi="標楷體"/>
          <w:color w:val="000000"/>
        </w:rPr>
        <w:t>9.46.Tegafur/</w:t>
      </w:r>
      <w:proofErr w:type="spellStart"/>
      <w:r>
        <w:rPr>
          <w:rFonts w:ascii="標楷體" w:eastAsia="標楷體" w:hAnsi="標楷體"/>
          <w:color w:val="000000"/>
        </w:rPr>
        <w:t>gimeracil</w:t>
      </w:r>
      <w:proofErr w:type="spellEnd"/>
      <w:r>
        <w:rPr>
          <w:rFonts w:ascii="標楷體" w:eastAsia="標楷體" w:hAnsi="標楷體"/>
          <w:color w:val="000000"/>
        </w:rPr>
        <w:t>/</w:t>
      </w:r>
      <w:proofErr w:type="spellStart"/>
      <w:r>
        <w:rPr>
          <w:rFonts w:ascii="標楷體" w:eastAsia="標楷體" w:hAnsi="標楷體"/>
          <w:color w:val="000000"/>
        </w:rPr>
        <w:t>oteracil</w:t>
      </w:r>
      <w:proofErr w:type="spellEnd"/>
      <w:r>
        <w:rPr>
          <w:rFonts w:ascii="標楷體" w:eastAsia="標楷體" w:hAnsi="標楷體"/>
          <w:color w:val="000000"/>
        </w:rPr>
        <w:t>複方製劑(如TS-1）：(103/6/1、105/12/1、109/2/1</w:t>
      </w:r>
      <w:r>
        <w:rPr>
          <w:rFonts w:ascii="標楷體" w:eastAsia="標楷體" w:hAnsi="標楷體"/>
        </w:rPr>
        <w:t>、113/2/1</w:t>
      </w:r>
      <w:r>
        <w:rPr>
          <w:rFonts w:ascii="標楷體" w:eastAsia="標楷體" w:hAnsi="標楷體"/>
          <w:color w:val="000000"/>
        </w:rPr>
        <w:t xml:space="preserve">) </w:t>
      </w:r>
    </w:p>
    <w:p w14:paraId="667F5E85"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14:paraId="3F5A04A2"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2.胃癌(105/12/1)</w:t>
      </w:r>
    </w:p>
    <w:p w14:paraId="7B709F67"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 xml:space="preserve">(1)胃癌術後輔助性化療，用於罹患TNMS </w:t>
      </w:r>
      <w:proofErr w:type="spellStart"/>
      <w:r>
        <w:rPr>
          <w:rFonts w:ascii="標楷體" w:eastAsia="標楷體" w:hAnsi="標楷體"/>
          <w:color w:val="000000"/>
        </w:rPr>
        <w:t>tageⅡ</w:t>
      </w:r>
      <w:proofErr w:type="spellEnd"/>
      <w:r>
        <w:rPr>
          <w:rFonts w:ascii="標楷體" w:eastAsia="標楷體" w:hAnsi="標楷體"/>
          <w:color w:val="000000"/>
        </w:rPr>
        <w:t>(排除T1)、</w:t>
      </w:r>
      <w:proofErr w:type="spellStart"/>
      <w:r>
        <w:rPr>
          <w:rFonts w:ascii="標楷體" w:eastAsia="標楷體" w:hAnsi="標楷體"/>
          <w:color w:val="000000"/>
        </w:rPr>
        <w:t>ⅢA</w:t>
      </w:r>
      <w:proofErr w:type="spellEnd"/>
      <w:r>
        <w:rPr>
          <w:rFonts w:ascii="標楷體" w:eastAsia="標楷體" w:hAnsi="標楷體"/>
          <w:color w:val="000000"/>
        </w:rPr>
        <w:t>或</w:t>
      </w:r>
      <w:proofErr w:type="spellStart"/>
      <w:r>
        <w:rPr>
          <w:rFonts w:ascii="標楷體" w:eastAsia="標楷體" w:hAnsi="標楷體"/>
          <w:color w:val="000000"/>
        </w:rPr>
        <w:t>ⅢB</w:t>
      </w:r>
      <w:proofErr w:type="spellEnd"/>
      <w:r>
        <w:rPr>
          <w:rFonts w:ascii="標楷體" w:eastAsia="標楷體" w:hAnsi="標楷體"/>
          <w:color w:val="000000"/>
        </w:rPr>
        <w:t>胃癌且接受過胃癌根除性手術的成年患者，限用1年。</w:t>
      </w:r>
    </w:p>
    <w:p w14:paraId="2AA0297B"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14:paraId="5D641F49"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14:paraId="651117EC"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14:paraId="5BCFA1DB"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(2)不得與標靶治療、其他化療或免疫檢查點抑制劑併用。</w:t>
      </w:r>
    </w:p>
    <w:p w14:paraId="478148B1" w14:textId="77777777" w:rsidR="00B96EA0" w:rsidRDefault="007D66B8" w:rsidP="005142EB">
      <w:pPr>
        <w:spacing w:line="400" w:lineRule="exact"/>
        <w:ind w:left="1092" w:hanging="525"/>
      </w:pPr>
      <w:r>
        <w:rPr>
          <w:rFonts w:ascii="標楷體" w:eastAsia="標楷體" w:hAnsi="標楷體"/>
          <w:color w:val="000000"/>
          <w:szCs w:val="24"/>
        </w:rPr>
        <w:t>4.與gemcitabine合併使用作為晚期或復發之膽道癌第一線治療。(</w:t>
      </w:r>
      <w:r>
        <w:rPr>
          <w:rFonts w:ascii="標楷體" w:eastAsia="標楷體" w:hAnsi="標楷體"/>
          <w:szCs w:val="24"/>
        </w:rPr>
        <w:t>113/2/1</w:t>
      </w:r>
      <w:r>
        <w:rPr>
          <w:rFonts w:ascii="標楷體" w:eastAsia="標楷體" w:hAnsi="標楷體"/>
          <w:color w:val="000000"/>
          <w:szCs w:val="24"/>
        </w:rPr>
        <w:t>)</w:t>
      </w:r>
    </w:p>
    <w:p w14:paraId="45CE8AFD" w14:textId="77777777"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w:t>
      </w:r>
      <w:proofErr w:type="spellStart"/>
      <w:r>
        <w:rPr>
          <w:rFonts w:ascii="標楷體" w:eastAsia="標楷體" w:hAnsi="標楷體"/>
          <w:color w:val="000000"/>
        </w:rPr>
        <w:t>Tykerb</w:t>
      </w:r>
      <w:proofErr w:type="spellEnd"/>
      <w:r>
        <w:rPr>
          <w:rFonts w:ascii="標楷體" w:eastAsia="標楷體" w:hAnsi="標楷體"/>
          <w:color w:val="000000"/>
        </w:rPr>
        <w:t>）：（103/9/1、106/11/1、110/2/1、114/2/1）</w:t>
      </w:r>
    </w:p>
    <w:p w14:paraId="1FB6D9D6"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 xml:space="preserve">1.與capecitabine併用，使用於曾接受anthracycline, </w:t>
      </w:r>
      <w:proofErr w:type="spellStart"/>
      <w:r>
        <w:rPr>
          <w:rFonts w:ascii="標楷體" w:eastAsia="標楷體" w:hAnsi="標楷體"/>
          <w:color w:val="000000"/>
        </w:rPr>
        <w:t>taxane</w:t>
      </w:r>
      <w:proofErr w:type="spellEnd"/>
      <w:r>
        <w:rPr>
          <w:rFonts w:ascii="標楷體" w:eastAsia="標楷體" w:hAnsi="標楷體"/>
          <w:color w:val="000000"/>
        </w:rPr>
        <w:t>以及trastuzumab治療後病況惡化之轉移性乳癌併有腦部轉移，且為HER2過度表現(IHC3+或FISH+)病人。</w:t>
      </w:r>
    </w:p>
    <w:p w14:paraId="44CFBCFC"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14:paraId="7091EC01" w14:textId="77777777"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 xml:space="preserve">Lapatinib、trastuzumab emtansine和trastuzumab </w:t>
      </w:r>
      <w:proofErr w:type="spellStart"/>
      <w:r>
        <w:rPr>
          <w:rFonts w:ascii="標楷體" w:eastAsia="標楷體" w:hAnsi="標楷體"/>
          <w:color w:val="000000"/>
        </w:rPr>
        <w:t>deruxtecan</w:t>
      </w:r>
      <w:proofErr w:type="spellEnd"/>
      <w:r>
        <w:rPr>
          <w:rFonts w:ascii="標楷體" w:eastAsia="標楷體" w:hAnsi="標楷體"/>
          <w:color w:val="000000"/>
        </w:rPr>
        <w:t>僅能擇一給付，不得互換。(110/2/1、114/2/1)</w:t>
      </w:r>
    </w:p>
    <w:p w14:paraId="2917E81D" w14:textId="77777777"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w:t>
      </w:r>
      <w:proofErr w:type="spellStart"/>
      <w:r>
        <w:rPr>
          <w:rFonts w:ascii="標楷體" w:eastAsia="標楷體" w:hAnsi="標楷體"/>
          <w:color w:val="000000"/>
        </w:rPr>
        <w:t>Halaven</w:t>
      </w:r>
      <w:proofErr w:type="spellEnd"/>
      <w:r>
        <w:rPr>
          <w:rFonts w:ascii="標楷體" w:eastAsia="標楷體" w:hAnsi="標楷體"/>
          <w:color w:val="000000"/>
        </w:rPr>
        <w:t>）：（103/12/1、106/11/1、108/12/1、110/2/1）</w:t>
      </w:r>
    </w:p>
    <w:p w14:paraId="15305CDB" w14:textId="77777777"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14:paraId="7B66F97F" w14:textId="77777777"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w:t>
      </w:r>
      <w:proofErr w:type="spellStart"/>
      <w:r>
        <w:rPr>
          <w:rFonts w:ascii="標楷體" w:eastAsia="標楷體" w:hAnsi="標楷體"/>
          <w:color w:val="000000"/>
        </w:rPr>
        <w:t>taxane</w:t>
      </w:r>
      <w:proofErr w:type="spellEnd"/>
      <w:r>
        <w:rPr>
          <w:rFonts w:ascii="標楷體" w:eastAsia="標楷體" w:hAnsi="標楷體"/>
          <w:color w:val="000000"/>
        </w:rPr>
        <w:t>兩種針對轉移性乳癌之化學治療輔助性治療。</w:t>
      </w:r>
    </w:p>
    <w:p w14:paraId="387E8954" w14:textId="77777777"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r>
        <w:rPr>
          <w:rFonts w:ascii="標楷體" w:eastAsia="標楷體" w:hAnsi="標楷體"/>
          <w:color w:val="000000"/>
        </w:rPr>
        <w:lastRenderedPageBreak/>
        <w:t>(106/11/1)</w:t>
      </w:r>
    </w:p>
    <w:p w14:paraId="69672FA8" w14:textId="77777777"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w:t>
      </w:r>
      <w:proofErr w:type="spellStart"/>
      <w:r>
        <w:rPr>
          <w:rFonts w:ascii="標楷體" w:eastAsia="標楷體" w:hAnsi="標楷體"/>
          <w:color w:val="000000"/>
        </w:rPr>
        <w:t>Eribulin</w:t>
      </w:r>
      <w:proofErr w:type="spellEnd"/>
      <w:r>
        <w:rPr>
          <w:rFonts w:ascii="標楷體" w:eastAsia="標楷體" w:hAnsi="標楷體"/>
          <w:color w:val="000000"/>
        </w:rPr>
        <w:t>與ixabepilone用於治療上述之轉移性乳癌患者時，僅得擇一使用，且不得互換（</w:t>
      </w:r>
      <w:proofErr w:type="spellStart"/>
      <w:r>
        <w:rPr>
          <w:rFonts w:ascii="標楷體" w:eastAsia="標楷體" w:hAnsi="標楷體"/>
          <w:color w:val="000000"/>
        </w:rPr>
        <w:t>eribulin</w:t>
      </w:r>
      <w:proofErr w:type="spellEnd"/>
      <w:r>
        <w:rPr>
          <w:rFonts w:ascii="標楷體" w:eastAsia="標楷體" w:hAnsi="標楷體"/>
          <w:color w:val="000000"/>
        </w:rPr>
        <w:t>限用於未曾使用過ixabepilone之病患）。(110/2/1)</w:t>
      </w:r>
    </w:p>
    <w:p w14:paraId="369C3F8F" w14:textId="77777777"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14:paraId="233F30A2" w14:textId="77777777"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14:paraId="4A398EF8" w14:textId="77777777"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(2)須經事前審查核准後使用，每次申請以3個療程為限，再次申請時應檢附前次治療結果評估資料證實無惡化，才可繼續使用。</w:t>
      </w:r>
    </w:p>
    <w:p w14:paraId="1D2E8AF3" w14:textId="77777777" w:rsidR="00B96EA0" w:rsidRDefault="007D66B8" w:rsidP="005142EB">
      <w:pPr>
        <w:snapToGrid w:val="0"/>
        <w:spacing w:line="400" w:lineRule="exact"/>
        <w:ind w:left="425"/>
      </w:pPr>
      <w:bookmarkStart w:id="16" w:name="_Hlk96441645"/>
      <w:r>
        <w:rPr>
          <w:rFonts w:ascii="標楷體" w:eastAsia="標楷體" w:hAnsi="標楷體"/>
          <w:color w:val="000000"/>
          <w:szCs w:val="24"/>
        </w:rPr>
        <w:t>9.49.</w:t>
      </w:r>
      <w:r>
        <w:t xml:space="preserve"> </w:t>
      </w:r>
      <w:r>
        <w:rPr>
          <w:rFonts w:ascii="標楷體" w:eastAsia="標楷體" w:hAnsi="標楷體"/>
          <w:color w:val="000000"/>
          <w:szCs w:val="24"/>
        </w:rPr>
        <w:t>Abiraterone(如Zytiga）：（103/12/1、105/9/1、106/9/1、108/3/1、109/5/1、109/10/1、110/2/1、110/3/1、110/11/1、111/3/1、112/9/1、113/8/1、113/9/1、114/6/1）</w:t>
      </w:r>
    </w:p>
    <w:bookmarkEnd w:id="16"/>
    <w:p w14:paraId="1D95515D" w14:textId="77777777"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1.與雄性素去除療法及prednisone或prednisolone併用，治療新診斷高風險轉移性的去勢敏感性前列腺癌(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)的成年男性(ECOG分數須</w:t>
      </w:r>
      <w:r>
        <w:rPr>
          <w:rFonts w:ascii="標楷體" w:eastAsia="標楷體" w:hAnsi="標楷體" w:cs="新細明體"/>
          <w:color w:val="000000"/>
          <w:szCs w:val="24"/>
        </w:rPr>
        <w:t>≦</w:t>
      </w:r>
      <w:r>
        <w:rPr>
          <w:rFonts w:ascii="標楷體" w:eastAsia="標楷體" w:hAnsi="標楷體"/>
          <w:color w:val="000000"/>
          <w:szCs w:val="24"/>
        </w:rPr>
        <w:t>1)。高風險需符合下列三項條件中至少兩項：(109/5/1</w:t>
      </w:r>
      <w:r>
        <w:rPr>
          <w:rFonts w:ascii="標楷體" w:eastAsia="標楷體" w:hAnsi="標楷體"/>
          <w:szCs w:val="24"/>
        </w:rPr>
        <w:t>、110/2/1、113/8/1）</w:t>
      </w:r>
    </w:p>
    <w:p w14:paraId="045F2266" w14:textId="77777777" w:rsidR="00B96EA0" w:rsidRDefault="007D66B8" w:rsidP="005142EB">
      <w:pPr>
        <w:snapToGrid w:val="0"/>
        <w:spacing w:line="400" w:lineRule="exact"/>
        <w:ind w:left="851"/>
      </w:pPr>
      <w:r>
        <w:rPr>
          <w:rFonts w:ascii="標楷體" w:eastAsia="標楷體" w:hAnsi="標楷體"/>
          <w:color w:val="000000"/>
          <w:szCs w:val="24"/>
        </w:rPr>
        <w:t>(1)葛里森分數(Gleason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14:paraId="50B74CB7"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(2)骨骼掃描出現三個(含)以上病灶且至少其中一處以上為非脊柱及非骨盆腔轉移；(109/5/1、113/8/1）</w:t>
      </w:r>
    </w:p>
    <w:p w14:paraId="2306E206"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14:paraId="5A19B5FA" w14:textId="77777777"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2.與prednisone或prednisolone併用，治療藥物或手術去勢抗性的轉移性前列腺癌(</w:t>
      </w:r>
      <w:proofErr w:type="spellStart"/>
      <w:r>
        <w:rPr>
          <w:rFonts w:ascii="標楷體" w:eastAsia="標楷體" w:hAnsi="標楷體"/>
          <w:color w:val="000000"/>
          <w:szCs w:val="24"/>
        </w:rPr>
        <w:t>mCRPC</w:t>
      </w:r>
      <w:proofErr w:type="spellEnd"/>
      <w:r>
        <w:rPr>
          <w:rFonts w:ascii="標楷體" w:eastAsia="標楷體" w:hAnsi="標楷體"/>
          <w:color w:val="000000"/>
          <w:szCs w:val="24"/>
        </w:rPr>
        <w:t>)，且在雄性素去除療法失敗後屬無症狀或輕度症狀(ECOG分數0或1)，未曾接受化學治療者：（106/9/1）</w:t>
      </w:r>
    </w:p>
    <w:p w14:paraId="276721B2" w14:textId="77777777"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8時，不得於使用化學治療前使用abiraterone。（106/9/1）</w:t>
      </w:r>
    </w:p>
    <w:p w14:paraId="3A847664"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(2)申請時需另檢附：</w:t>
      </w:r>
    </w:p>
    <w:p w14:paraId="06BEB42C"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14:paraId="5D12A74B" w14:textId="77777777"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t>II.三個月內影像報告證明無臟器轉移。（106/9/1）</w:t>
      </w:r>
    </w:p>
    <w:p w14:paraId="2FA8C1A3"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3.與prednisone或prednisolone併用，治療藥物或手術去勢抗性的轉移性前列腺癌(ECOG分數須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14:paraId="78195870" w14:textId="77777777"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及prednisone或prednisolone，用於具germline或 somatic BRCA 1/2致病性或疑似致病性突變之成人病人，患者需符合</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藥品給付規定。(114/6/1)</w:t>
      </w:r>
    </w:p>
    <w:p w14:paraId="7F62B2CD"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14:paraId="087254E4"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14:paraId="252F7064"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w:t>
      </w:r>
      <w:r>
        <w:rPr>
          <w:rFonts w:ascii="標楷體" w:eastAsia="標楷體" w:hAnsi="標楷體"/>
          <w:color w:val="000000"/>
          <w:szCs w:val="24"/>
        </w:rPr>
        <w:lastRenderedPageBreak/>
        <w:t>109/10/1)</w:t>
      </w:r>
    </w:p>
    <w:p w14:paraId="27F783B2" w14:textId="77777777"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14:paraId="5D84158F" w14:textId="77777777"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)的成年男性，總療程以36個月為上限（惟</w:t>
      </w:r>
      <w:proofErr w:type="spellStart"/>
      <w:r>
        <w:rPr>
          <w:rFonts w:ascii="標楷體" w:eastAsia="標楷體" w:hAnsi="標楷體"/>
          <w:color w:val="000000"/>
          <w:szCs w:val="24"/>
        </w:rPr>
        <w:t>Ateron</w:t>
      </w:r>
      <w:proofErr w:type="spellEnd"/>
      <w:r>
        <w:rPr>
          <w:rFonts w:ascii="標楷體" w:eastAsia="標楷體" w:hAnsi="標楷體"/>
          <w:color w:val="000000"/>
          <w:szCs w:val="24"/>
        </w:rPr>
        <w:t>總療程以24個月為上限）。(109/5/1、110/2/1、113/8/1、113/9/1）</w:t>
      </w:r>
    </w:p>
    <w:p w14:paraId="2F3BFD3F"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(5)去勢抗性前列腺癌(CRPC)病患若於化學治療前先使用過abiraterone，當化學治療失敗後不得再申請使用abiraterone。（106/9/1）</w:t>
      </w:r>
    </w:p>
    <w:p w14:paraId="2B6F1BC0"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abiraterone併用，終生僅給付一種治療，且除非出現嚴重不耐受反應導致必須永久停止治療，不得互換。(112/9/1、114/6/1)</w:t>
      </w:r>
    </w:p>
    <w:p w14:paraId="608861A0"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7.本品與radium-223 dichloride不得合併使用。(108/3/1)</w:t>
      </w:r>
    </w:p>
    <w:p w14:paraId="6B161EE6" w14:textId="77777777" w:rsidR="00B96EA0" w:rsidRDefault="007D66B8" w:rsidP="005142EB">
      <w:pPr>
        <w:spacing w:line="400" w:lineRule="exact"/>
        <w:ind w:left="283"/>
        <w:rPr>
          <w:rFonts w:ascii="標楷體" w:eastAsia="標楷體" w:hAnsi="標楷體"/>
        </w:rPr>
      </w:pPr>
      <w:r>
        <w:rPr>
          <w:rFonts w:ascii="標楷體" w:eastAsia="標楷體" w:hAnsi="標楷體"/>
        </w:rPr>
        <w:t>9.50.Crizotinib (如</w:t>
      </w:r>
      <w:proofErr w:type="spellStart"/>
      <w:r>
        <w:rPr>
          <w:rFonts w:ascii="標楷體" w:eastAsia="標楷體" w:hAnsi="標楷體"/>
        </w:rPr>
        <w:t>Xalkori</w:t>
      </w:r>
      <w:proofErr w:type="spellEnd"/>
      <w:r>
        <w:rPr>
          <w:rFonts w:ascii="標楷體" w:eastAsia="標楷體" w:hAnsi="標楷體"/>
        </w:rPr>
        <w:t>)：(104/9/1、106/11/1、107/5/1、108/7/1、108/9/1、108/12/1、110/7/1、111/2/1、111/8/1、112/11/1、113/6/1、113/9/1)</w:t>
      </w:r>
    </w:p>
    <w:p w14:paraId="4AAC4D59"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適用於ALK陽性之晚期非小細胞肺癌第一線治療，且於113年9月1日前經審核同意用藥，後續評估符合續用申請條件者。(106/11/1、111/8/1、113/9/1)</w:t>
      </w:r>
    </w:p>
    <w:p w14:paraId="4F202978"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14:paraId="1FE3CE24"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14:paraId="016803FD"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14:paraId="0E6DAA46"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14:paraId="2029FD19"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再次申請時需附上治療後相關臨床資料，如給藥4週後，需追蹤胸部X光或電腦斷層等影像檢查評估療效，往後每4週做胸部X光檢查，每3個月需追蹤其作為評估藥效的影像(如胸部X光或電腦斷層)，若病情惡化即不得再次申請。(108/12/1、112/11/1)</w:t>
      </w:r>
    </w:p>
    <w:p w14:paraId="05DF79DF"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Crizotinib</w:t>
      </w:r>
      <w:proofErr w:type="spellEnd"/>
      <w:r>
        <w:rPr>
          <w:rFonts w:ascii="標楷體" w:eastAsia="標楷體" w:hAnsi="標楷體"/>
        </w:rPr>
        <w:t>與</w:t>
      </w:r>
      <w:proofErr w:type="spellStart"/>
      <w:r>
        <w:rPr>
          <w:rFonts w:ascii="標楷體" w:eastAsia="標楷體" w:hAnsi="標楷體"/>
        </w:rPr>
        <w:t>ceritinib</w:t>
      </w:r>
      <w:proofErr w:type="spellEnd"/>
      <w:r>
        <w:rPr>
          <w:rFonts w:ascii="標楷體" w:eastAsia="標楷體" w:hAnsi="標楷體"/>
        </w:rPr>
        <w:t>、</w:t>
      </w:r>
      <w:proofErr w:type="spellStart"/>
      <w:r>
        <w:rPr>
          <w:rFonts w:ascii="標楷體" w:eastAsia="標楷體" w:hAnsi="標楷體"/>
        </w:rPr>
        <w:t>alectinib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用於ALK陽性之晚期非小細胞肺癌第一線治療時，僅得擇一使用，除因病人使用後，發生嚴重不良反應或耐受不良之情形外，不得互換。(108/7/1、108/12/1、111/8/1、112/11/1)</w:t>
      </w:r>
    </w:p>
    <w:p w14:paraId="69530A4E"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Crizotinib</w:t>
      </w:r>
      <w:proofErr w:type="spellEnd"/>
      <w:r>
        <w:rPr>
          <w:rFonts w:ascii="標楷體" w:eastAsia="標楷體" w:hAnsi="標楷體"/>
        </w:rPr>
        <w:t>與</w:t>
      </w:r>
      <w:proofErr w:type="spellStart"/>
      <w:r>
        <w:rPr>
          <w:rFonts w:ascii="標楷體" w:eastAsia="標楷體" w:hAnsi="標楷體"/>
        </w:rPr>
        <w:t>entrectinib</w:t>
      </w:r>
      <w:proofErr w:type="spellEnd"/>
      <w:r>
        <w:rPr>
          <w:rFonts w:ascii="標楷體" w:eastAsia="標楷體" w:hAnsi="標楷體"/>
        </w:rPr>
        <w:t>用於ROS-1陽性之晚期非小細胞肺癌時，僅得擇一使用，除因病人使用後，發生嚴重不良反應或耐受不良之情形外，不得互換。(110/7/1)</w:t>
      </w:r>
    </w:p>
    <w:p w14:paraId="31BF53ED"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14:paraId="05439AEA" w14:textId="77777777" w:rsidR="00C31B1C" w:rsidRPr="00DD4159" w:rsidRDefault="00C31B1C" w:rsidP="00A753B0">
      <w:pPr>
        <w:pStyle w:val="Default"/>
        <w:spacing w:line="400" w:lineRule="exact"/>
        <w:rPr>
          <w:rFonts w:ascii="標楷體" w:eastAsia="標楷體" w:hAnsi="標楷體"/>
          <w:bCs/>
        </w:rPr>
      </w:pPr>
      <w:bookmarkStart w:id="17" w:name="_Hlk230358315"/>
      <w:r w:rsidRPr="00891A66">
        <w:rPr>
          <w:rFonts w:ascii="標楷體" w:eastAsia="標楷體" w:hAnsi="標楷體"/>
          <w:bCs/>
        </w:rPr>
        <w:t>9.51.Regorafenib</w:t>
      </w:r>
      <w:r w:rsidRPr="00891A66">
        <w:rPr>
          <w:rFonts w:ascii="標楷體" w:eastAsia="標楷體" w:hAnsi="標楷體" w:hint="eastAsia"/>
          <w:bCs/>
        </w:rPr>
        <w:t>（如</w:t>
      </w:r>
      <w:proofErr w:type="spellStart"/>
      <w:r w:rsidRPr="00891A66">
        <w:rPr>
          <w:rFonts w:ascii="標楷體" w:eastAsia="標楷體" w:hAnsi="標楷體"/>
          <w:bCs/>
        </w:rPr>
        <w:t>Stivarga</w:t>
      </w:r>
      <w:proofErr w:type="spellEnd"/>
      <w:r w:rsidRPr="00891A66">
        <w:rPr>
          <w:rFonts w:ascii="標楷體" w:eastAsia="標楷體" w:hAnsi="標楷體" w:hint="eastAsia"/>
          <w:bCs/>
        </w:rPr>
        <w:t>）：（</w:t>
      </w:r>
      <w:r w:rsidRPr="00891A66">
        <w:rPr>
          <w:rFonts w:ascii="標楷體" w:eastAsia="標楷體" w:hAnsi="標楷體"/>
          <w:bCs/>
        </w:rPr>
        <w:t>104/9/1</w:t>
      </w:r>
      <w:r w:rsidRPr="00891A66">
        <w:rPr>
          <w:rFonts w:ascii="標楷體" w:eastAsia="標楷體" w:hAnsi="標楷體" w:hint="eastAsia"/>
          <w:bCs/>
        </w:rPr>
        <w:t>、</w:t>
      </w:r>
      <w:r w:rsidRPr="00891A66">
        <w:rPr>
          <w:rFonts w:ascii="標楷體" w:eastAsia="標楷體" w:hAnsi="標楷體"/>
          <w:bCs/>
        </w:rPr>
        <w:t>105/8/1</w:t>
      </w:r>
      <w:r w:rsidRPr="00891A66">
        <w:rPr>
          <w:rFonts w:ascii="標楷體" w:eastAsia="標楷體" w:hAnsi="標楷體" w:hint="eastAsia"/>
          <w:bCs/>
        </w:rPr>
        <w:t>、</w:t>
      </w:r>
      <w:r w:rsidRPr="00891A66">
        <w:rPr>
          <w:rFonts w:ascii="標楷體" w:eastAsia="標楷體" w:hAnsi="標楷體"/>
          <w:bCs/>
        </w:rPr>
        <w:t>107/12/1</w:t>
      </w:r>
      <w:r w:rsidRPr="00891A66">
        <w:rPr>
          <w:rFonts w:ascii="標楷體" w:eastAsia="標楷體" w:hAnsi="標楷體" w:hint="eastAsia"/>
          <w:bCs/>
        </w:rPr>
        <w:t>、</w:t>
      </w:r>
      <w:r w:rsidRPr="00891A66">
        <w:rPr>
          <w:rFonts w:ascii="標楷體" w:eastAsia="標楷體" w:hAnsi="標楷體"/>
          <w:bCs/>
        </w:rPr>
        <w:t>108/6/1</w:t>
      </w:r>
      <w:r w:rsidRPr="00891A66">
        <w:rPr>
          <w:rFonts w:ascii="標楷體" w:eastAsia="標楷體" w:hAnsi="標楷體" w:hint="eastAsia"/>
          <w:bCs/>
        </w:rPr>
        <w:t>、</w:t>
      </w:r>
      <w:r w:rsidRPr="00891A66">
        <w:rPr>
          <w:rFonts w:ascii="標楷體" w:eastAsia="標楷體" w:hAnsi="標楷體"/>
          <w:bCs/>
        </w:rPr>
        <w:t>110/5/1</w:t>
      </w:r>
      <w:r w:rsidRPr="00891A66">
        <w:rPr>
          <w:rFonts w:ascii="標楷體" w:eastAsia="標楷體" w:hAnsi="標楷體" w:hint="eastAsia"/>
          <w:bCs/>
        </w:rPr>
        <w:t>、</w:t>
      </w:r>
      <w:r w:rsidRPr="00891A66">
        <w:rPr>
          <w:rFonts w:ascii="標楷體" w:eastAsia="標楷體" w:hAnsi="標楷體"/>
          <w:bCs/>
        </w:rPr>
        <w:lastRenderedPageBreak/>
        <w:t>110/6/1</w:t>
      </w:r>
      <w:r w:rsidRPr="00891A66">
        <w:rPr>
          <w:rFonts w:ascii="標楷體" w:eastAsia="標楷體" w:hAnsi="標楷體" w:hint="eastAsia"/>
          <w:bCs/>
        </w:rPr>
        <w:t>、</w:t>
      </w:r>
      <w:r w:rsidRPr="00891A66">
        <w:rPr>
          <w:rFonts w:ascii="標楷體" w:eastAsia="標楷體" w:hAnsi="標楷體"/>
          <w:bCs/>
        </w:rPr>
        <w:t>113/6/1</w:t>
      </w:r>
      <w:r w:rsidRPr="00891A66">
        <w:rPr>
          <w:rFonts w:ascii="標楷體" w:eastAsia="標楷體" w:hAnsi="標楷體" w:hint="eastAsia"/>
          <w:bCs/>
        </w:rPr>
        <w:t>）</w:t>
      </w:r>
    </w:p>
    <w:p w14:paraId="0D9AB0CB" w14:textId="77777777" w:rsidR="00C31B1C" w:rsidRPr="00DD4159" w:rsidRDefault="00C31B1C" w:rsidP="00A753B0">
      <w:pPr>
        <w:pStyle w:val="Default"/>
        <w:spacing w:line="400" w:lineRule="exact"/>
        <w:ind w:firstLineChars="118" w:firstLine="283"/>
        <w:rPr>
          <w:rFonts w:ascii="標楷體" w:eastAsia="標楷體" w:hAnsi="標楷體"/>
        </w:rPr>
      </w:pPr>
      <w:r w:rsidRPr="00DD4159">
        <w:rPr>
          <w:rFonts w:ascii="標楷體" w:eastAsia="標楷體" w:hAnsi="標楷體"/>
        </w:rPr>
        <w:t>1.</w:t>
      </w:r>
      <w:r w:rsidRPr="00DD4159">
        <w:rPr>
          <w:rFonts w:ascii="標楷體" w:eastAsia="標楷體" w:hAnsi="標楷體" w:hint="eastAsia"/>
        </w:rPr>
        <w:t>轉移性大腸直腸癌</w:t>
      </w:r>
      <w:r w:rsidRPr="00DD4159">
        <w:rPr>
          <w:rFonts w:ascii="標楷體" w:eastAsia="標楷體" w:hAnsi="標楷體"/>
        </w:rPr>
        <w:t>(mCRC)</w:t>
      </w:r>
      <w:r w:rsidRPr="00DD4159">
        <w:rPr>
          <w:rFonts w:ascii="標楷體" w:eastAsia="標楷體" w:hAnsi="標楷體" w:hint="eastAsia"/>
        </w:rPr>
        <w:t>：</w:t>
      </w:r>
    </w:p>
    <w:p w14:paraId="027D0E8D" w14:textId="77777777" w:rsidR="00C31B1C" w:rsidRDefault="00C31B1C" w:rsidP="00A753B0">
      <w:pPr>
        <w:pStyle w:val="Default"/>
        <w:spacing w:line="400" w:lineRule="exact"/>
        <w:ind w:leftChars="177" w:left="425"/>
        <w:rPr>
          <w:rFonts w:ascii="標楷體" w:eastAsia="標楷體" w:hAnsi="標楷體"/>
          <w:color w:val="auto"/>
        </w:rPr>
      </w:pPr>
      <w:r w:rsidRPr="00DD4159">
        <w:rPr>
          <w:rFonts w:ascii="標楷體" w:eastAsia="標楷體" w:hAnsi="標楷體"/>
          <w:color w:val="auto"/>
        </w:rPr>
        <w:t>(1)</w:t>
      </w:r>
      <w:r w:rsidRPr="00DD4159">
        <w:rPr>
          <w:rFonts w:ascii="標楷體" w:eastAsia="標楷體" w:hAnsi="標楷體" w:hint="eastAsia"/>
          <w:color w:val="auto"/>
        </w:rPr>
        <w:t>用於治療先前曾接受下列療法的轉移性大腸直腸癌</w:t>
      </w:r>
      <w:r w:rsidRPr="00DD4159">
        <w:rPr>
          <w:rFonts w:ascii="標楷體" w:eastAsia="標楷體" w:hAnsi="標楷體"/>
          <w:color w:val="auto"/>
        </w:rPr>
        <w:t>(mCRC)</w:t>
      </w:r>
      <w:r w:rsidRPr="00DD4159">
        <w:rPr>
          <w:rFonts w:ascii="標楷體" w:eastAsia="標楷體" w:hAnsi="標楷體" w:hint="eastAsia"/>
          <w:color w:val="auto"/>
        </w:rPr>
        <w:t>患者，療法包括</w:t>
      </w:r>
      <w:r w:rsidRPr="00DD4159">
        <w:rPr>
          <w:rFonts w:ascii="標楷體" w:eastAsia="標楷體" w:hAnsi="標楷體"/>
          <w:color w:val="auto"/>
        </w:rPr>
        <w:t>fluoropyrimidine</w:t>
      </w:r>
      <w:r w:rsidRPr="00DD4159">
        <w:rPr>
          <w:rFonts w:ascii="標楷體" w:eastAsia="標楷體" w:hAnsi="標楷體" w:hint="eastAsia"/>
          <w:color w:val="auto"/>
        </w:rPr>
        <w:t>、</w:t>
      </w:r>
      <w:r w:rsidRPr="00DD4159">
        <w:rPr>
          <w:rFonts w:ascii="標楷體" w:eastAsia="標楷體" w:hAnsi="標楷體"/>
          <w:color w:val="auto"/>
        </w:rPr>
        <w:t>oxaliplatin</w:t>
      </w:r>
      <w:r w:rsidRPr="00DD4159">
        <w:rPr>
          <w:rFonts w:ascii="標楷體" w:eastAsia="標楷體" w:hAnsi="標楷體" w:hint="eastAsia"/>
          <w:color w:val="auto"/>
        </w:rPr>
        <w:t>、</w:t>
      </w:r>
      <w:r w:rsidRPr="00DD4159">
        <w:rPr>
          <w:rFonts w:ascii="標楷體" w:eastAsia="標楷體" w:hAnsi="標楷體"/>
          <w:color w:val="auto"/>
        </w:rPr>
        <w:t>irinotecan</w:t>
      </w:r>
      <w:r w:rsidRPr="00DD4159">
        <w:rPr>
          <w:rFonts w:ascii="標楷體" w:eastAsia="標楷體" w:hAnsi="標楷體" w:hint="eastAsia"/>
          <w:color w:val="auto"/>
        </w:rPr>
        <w:t>為基礎的化療，和抗血管內皮生長因子</w:t>
      </w:r>
      <w:r w:rsidRPr="00DD4159">
        <w:rPr>
          <w:rFonts w:ascii="標楷體" w:eastAsia="標楷體" w:hAnsi="標楷體"/>
          <w:color w:val="auto"/>
        </w:rPr>
        <w:t>(anti-VEGF)</w:t>
      </w:r>
      <w:r w:rsidRPr="00DD4159">
        <w:rPr>
          <w:rFonts w:ascii="標楷體" w:eastAsia="標楷體" w:hAnsi="標楷體" w:hint="eastAsia"/>
          <w:color w:val="auto"/>
        </w:rPr>
        <w:t>等療法；若</w:t>
      </w:r>
      <w:r w:rsidRPr="00DD4159">
        <w:rPr>
          <w:rFonts w:ascii="標楷體" w:eastAsia="標楷體" w:hAnsi="標楷體"/>
          <w:color w:val="auto"/>
        </w:rPr>
        <w:t>K-</w:t>
      </w:r>
      <w:proofErr w:type="spellStart"/>
      <w:r w:rsidRPr="00DD4159">
        <w:rPr>
          <w:rFonts w:ascii="標楷體" w:eastAsia="標楷體" w:hAnsi="標楷體"/>
          <w:color w:val="auto"/>
        </w:rPr>
        <w:t>ras</w:t>
      </w:r>
      <w:proofErr w:type="spellEnd"/>
      <w:r w:rsidRPr="00DD4159">
        <w:rPr>
          <w:rFonts w:ascii="標楷體" w:eastAsia="標楷體" w:hAnsi="標楷體" w:hint="eastAsia"/>
          <w:color w:val="auto"/>
        </w:rPr>
        <w:t>為原生型</w:t>
      </w:r>
      <w:r w:rsidRPr="00DD4159">
        <w:rPr>
          <w:rFonts w:ascii="標楷體" w:eastAsia="標楷體" w:hAnsi="標楷體"/>
          <w:color w:val="auto"/>
        </w:rPr>
        <w:t>(wild type)</w:t>
      </w:r>
      <w:r w:rsidRPr="00DD4159">
        <w:rPr>
          <w:rFonts w:ascii="標楷體" w:eastAsia="標楷體" w:hAnsi="標楷體" w:hint="eastAsia"/>
          <w:color w:val="auto"/>
        </w:rPr>
        <w:t>，則需再加上接受過抗表皮生長因子受體</w:t>
      </w:r>
      <w:r w:rsidRPr="00DD4159">
        <w:rPr>
          <w:rFonts w:ascii="標楷體" w:eastAsia="標楷體" w:hAnsi="標楷體"/>
          <w:color w:val="auto"/>
        </w:rPr>
        <w:t>(anti-EGFR)</w:t>
      </w:r>
      <w:r w:rsidRPr="00DD4159">
        <w:rPr>
          <w:rFonts w:ascii="標楷體" w:eastAsia="標楷體" w:hAnsi="標楷體" w:hint="eastAsia"/>
          <w:color w:val="auto"/>
        </w:rPr>
        <w:t>療法。需檢附</w:t>
      </w:r>
      <w:r w:rsidRPr="00DD4159">
        <w:rPr>
          <w:rFonts w:ascii="標楷體" w:eastAsia="標楷體" w:hAnsi="標楷體"/>
          <w:color w:val="auto"/>
        </w:rPr>
        <w:t>All-RAS</w:t>
      </w:r>
      <w:r w:rsidRPr="00DD4159">
        <w:rPr>
          <w:rFonts w:ascii="標楷體" w:eastAsia="標楷體" w:hAnsi="標楷體" w:hint="eastAsia"/>
          <w:color w:val="auto"/>
        </w:rPr>
        <w:t>基因突變分析檢測結果報告，且需符合全民健康保險藥品給付規定之通則十二。（</w:t>
      </w:r>
      <w:r w:rsidRPr="00DD4159">
        <w:rPr>
          <w:rFonts w:ascii="標楷體" w:eastAsia="標楷體" w:hAnsi="標楷體"/>
          <w:color w:val="auto"/>
        </w:rPr>
        <w:t>110/6/1</w:t>
      </w:r>
      <w:r w:rsidRPr="00DD4159">
        <w:rPr>
          <w:rFonts w:ascii="標楷體" w:eastAsia="標楷體" w:hAnsi="標楷體" w:hint="eastAsia"/>
          <w:color w:val="auto"/>
        </w:rPr>
        <w:t>、</w:t>
      </w:r>
      <w:r w:rsidRPr="00DD4159">
        <w:rPr>
          <w:rFonts w:ascii="標楷體" w:eastAsia="標楷體" w:hAnsi="標楷體"/>
          <w:color w:val="auto"/>
        </w:rPr>
        <w:t>113/6/1</w:t>
      </w:r>
      <w:r w:rsidRPr="00DD4159">
        <w:rPr>
          <w:rFonts w:ascii="標楷體" w:eastAsia="標楷體" w:hAnsi="標楷體" w:hint="eastAsia"/>
          <w:color w:val="auto"/>
        </w:rPr>
        <w:t>）</w:t>
      </w:r>
    </w:p>
    <w:p w14:paraId="12A3F08C" w14:textId="77777777" w:rsidR="00C31B1C" w:rsidRPr="00DD4159" w:rsidRDefault="00C31B1C" w:rsidP="00A753B0">
      <w:pPr>
        <w:pStyle w:val="Default"/>
        <w:spacing w:line="400" w:lineRule="exact"/>
        <w:ind w:leftChars="177" w:left="425"/>
        <w:rPr>
          <w:rFonts w:ascii="標楷體" w:eastAsia="標楷體" w:hAnsi="標楷體"/>
          <w:color w:val="auto"/>
        </w:rPr>
      </w:pPr>
      <w:r w:rsidRPr="00DD4159">
        <w:rPr>
          <w:rFonts w:ascii="標楷體" w:eastAsia="標楷體" w:hAnsi="標楷體"/>
          <w:color w:val="auto"/>
        </w:rPr>
        <w:t>(2)</w:t>
      </w:r>
      <w:r w:rsidRPr="00DD4159">
        <w:rPr>
          <w:rFonts w:ascii="標楷體" w:eastAsia="標楷體" w:hAnsi="標楷體" w:hint="eastAsia"/>
          <w:color w:val="auto"/>
        </w:rPr>
        <w:t>須經事前審查核准後使用，每次申請事前審查之療程以</w:t>
      </w:r>
      <w:r w:rsidRPr="00DD4159">
        <w:rPr>
          <w:rFonts w:ascii="標楷體" w:eastAsia="標楷體" w:hAnsi="標楷體"/>
          <w:color w:val="auto"/>
        </w:rPr>
        <w:t>8</w:t>
      </w:r>
      <w:r w:rsidRPr="00DD4159">
        <w:rPr>
          <w:rFonts w:ascii="標楷體" w:eastAsia="標楷體" w:hAnsi="標楷體" w:hint="eastAsia"/>
          <w:color w:val="auto"/>
        </w:rPr>
        <w:t>週為限，再次申請必須提出客觀證據（如：影像學）證實無惡化，才可繼續使用。</w:t>
      </w:r>
    </w:p>
    <w:p w14:paraId="364FDC9D" w14:textId="77777777" w:rsidR="00C31B1C" w:rsidRPr="00DD4159" w:rsidRDefault="00C31B1C" w:rsidP="00A753B0">
      <w:pPr>
        <w:pStyle w:val="Default"/>
        <w:spacing w:line="400" w:lineRule="exact"/>
        <w:ind w:firstLineChars="118" w:firstLine="283"/>
        <w:rPr>
          <w:rFonts w:ascii="標楷體" w:eastAsia="標楷體" w:hAnsi="標楷體"/>
        </w:rPr>
      </w:pPr>
      <w:r w:rsidRPr="00DD4159">
        <w:rPr>
          <w:rFonts w:ascii="標楷體" w:eastAsia="標楷體" w:hAnsi="標楷體"/>
        </w:rPr>
        <w:t>2.</w:t>
      </w:r>
      <w:r w:rsidRPr="00DD4159">
        <w:rPr>
          <w:rFonts w:ascii="標楷體" w:eastAsia="標楷體" w:hAnsi="標楷體" w:hint="eastAsia"/>
        </w:rPr>
        <w:t>胃腸道間質瘤</w:t>
      </w:r>
      <w:r w:rsidRPr="00DD4159">
        <w:rPr>
          <w:rFonts w:ascii="標楷體" w:eastAsia="標楷體" w:hAnsi="標楷體"/>
        </w:rPr>
        <w:t>(GIST) (105/8/1</w:t>
      </w:r>
      <w:r w:rsidRPr="00DD4159">
        <w:rPr>
          <w:rFonts w:ascii="標楷體" w:eastAsia="標楷體" w:hAnsi="標楷體" w:hint="eastAsia"/>
        </w:rPr>
        <w:t>）</w:t>
      </w:r>
    </w:p>
    <w:p w14:paraId="30CF54E5"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先前曾接受</w:t>
      </w:r>
      <w:r w:rsidRPr="00DD4159">
        <w:rPr>
          <w:rFonts w:ascii="標楷體" w:eastAsia="標楷體" w:hAnsi="標楷體"/>
        </w:rPr>
        <w:t>imatinib</w:t>
      </w:r>
      <w:r w:rsidRPr="00DD4159">
        <w:rPr>
          <w:rFonts w:ascii="標楷體" w:eastAsia="標楷體" w:hAnsi="標楷體" w:hint="eastAsia"/>
        </w:rPr>
        <w:t>與</w:t>
      </w:r>
      <w:r w:rsidRPr="00DD4159">
        <w:rPr>
          <w:rFonts w:ascii="標楷體" w:eastAsia="標楷體" w:hAnsi="標楷體"/>
        </w:rPr>
        <w:t>sunitinib</w:t>
      </w:r>
      <w:r w:rsidRPr="00DD4159">
        <w:rPr>
          <w:rFonts w:ascii="標楷體" w:eastAsia="標楷體" w:hAnsi="標楷體" w:hint="eastAsia"/>
        </w:rPr>
        <w:t>治療的局部晚期、無法切除或轉移性的胃腸道間質瘤患者。</w:t>
      </w:r>
    </w:p>
    <w:p w14:paraId="1CF89136" w14:textId="77777777" w:rsidR="00C31B1C" w:rsidRPr="00DD4159"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需經事前審查核准後使用，每次申請之療程以</w:t>
      </w:r>
      <w:r w:rsidRPr="00DD4159">
        <w:rPr>
          <w:rFonts w:ascii="標楷體" w:eastAsia="標楷體" w:hAnsi="標楷體"/>
        </w:rPr>
        <w:t>3</w:t>
      </w:r>
      <w:r w:rsidRPr="00DD4159">
        <w:rPr>
          <w:rFonts w:ascii="標楷體" w:eastAsia="標楷體" w:hAnsi="標楷體" w:hint="eastAsia"/>
        </w:rPr>
        <w:t>個月為限，送審時需檢送影像資料，每</w:t>
      </w:r>
      <w:r w:rsidRPr="00DD4159">
        <w:rPr>
          <w:rFonts w:ascii="標楷體" w:eastAsia="標楷體" w:hAnsi="標楷體"/>
        </w:rPr>
        <w:t>3</w:t>
      </w:r>
      <w:r w:rsidRPr="00DD4159">
        <w:rPr>
          <w:rFonts w:ascii="標楷體" w:eastAsia="標楷體" w:hAnsi="標楷體" w:hint="eastAsia"/>
        </w:rPr>
        <w:t>個月評估一次。</w:t>
      </w:r>
    </w:p>
    <w:p w14:paraId="06E78B0E" w14:textId="77777777" w:rsidR="00C31B1C" w:rsidRPr="00DD4159" w:rsidRDefault="00C31B1C" w:rsidP="00A753B0">
      <w:pPr>
        <w:pStyle w:val="Default"/>
        <w:spacing w:line="400" w:lineRule="exact"/>
        <w:ind w:firstLineChars="118" w:firstLine="283"/>
        <w:rPr>
          <w:rFonts w:ascii="標楷體" w:eastAsia="標楷體" w:hAnsi="標楷體"/>
        </w:rPr>
      </w:pPr>
      <w:r w:rsidRPr="00DD4159">
        <w:rPr>
          <w:rFonts w:ascii="標楷體" w:eastAsia="標楷體" w:hAnsi="標楷體"/>
        </w:rPr>
        <w:t>3.</w:t>
      </w:r>
      <w:r w:rsidRPr="00DD4159">
        <w:rPr>
          <w:rFonts w:ascii="標楷體" w:eastAsia="標楷體" w:hAnsi="標楷體" w:hint="eastAsia"/>
        </w:rPr>
        <w:t>肝細胞癌</w:t>
      </w:r>
      <w:r w:rsidRPr="00DD4159">
        <w:rPr>
          <w:rFonts w:ascii="標楷體" w:eastAsia="標楷體" w:hAnsi="標楷體"/>
        </w:rPr>
        <w:t>(HCC)</w:t>
      </w:r>
      <w:r w:rsidRPr="00DD4159">
        <w:rPr>
          <w:rFonts w:ascii="標楷體" w:eastAsia="標楷體" w:hAnsi="標楷體" w:hint="eastAsia"/>
        </w:rPr>
        <w:t>：</w:t>
      </w:r>
      <w:r w:rsidRPr="00DD4159">
        <w:rPr>
          <w:rFonts w:ascii="標楷體" w:eastAsia="標楷體" w:hAnsi="標楷體"/>
        </w:rPr>
        <w:t>(108/6/1</w:t>
      </w:r>
      <w:r w:rsidRPr="00DD4159">
        <w:rPr>
          <w:rFonts w:ascii="標楷體" w:eastAsia="標楷體" w:hAnsi="標楷體" w:hint="eastAsia"/>
        </w:rPr>
        <w:t>、</w:t>
      </w:r>
      <w:r w:rsidRPr="00DD4159">
        <w:rPr>
          <w:rFonts w:ascii="標楷體" w:eastAsia="標楷體" w:hAnsi="標楷體"/>
        </w:rPr>
        <w:t>110/5/1)</w:t>
      </w:r>
    </w:p>
    <w:p w14:paraId="7BCE41AB"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適用於曾接受</w:t>
      </w:r>
      <w:r w:rsidRPr="00DD4159">
        <w:rPr>
          <w:rFonts w:ascii="標楷體" w:eastAsia="標楷體" w:hAnsi="標楷體"/>
        </w:rPr>
        <w:t>sorafenib</w:t>
      </w:r>
      <w:r w:rsidRPr="00DD4159">
        <w:rPr>
          <w:rFonts w:ascii="標楷體" w:eastAsia="標楷體" w:hAnsi="標楷體" w:hint="eastAsia"/>
        </w:rPr>
        <w:t>治療失敗後之轉移性或無法手術切除且不適合局部治療或局部治療失敗之</w:t>
      </w:r>
      <w:r w:rsidRPr="00DD4159">
        <w:rPr>
          <w:rFonts w:ascii="標楷體" w:eastAsia="標楷體" w:hAnsi="標楷體"/>
        </w:rPr>
        <w:t>Child-Pugh A class</w:t>
      </w:r>
      <w:r w:rsidRPr="00DD4159">
        <w:rPr>
          <w:rFonts w:ascii="標楷體" w:eastAsia="標楷體" w:hAnsi="標楷體" w:hint="eastAsia"/>
        </w:rPr>
        <w:t>晚期肝細胞癌成人患者。</w:t>
      </w:r>
    </w:p>
    <w:p w14:paraId="32BA360E"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需經事前審查核准後使用，初次申請之療程以</w:t>
      </w:r>
      <w:r w:rsidRPr="00DD4159">
        <w:rPr>
          <w:rFonts w:ascii="標楷體" w:eastAsia="標楷體" w:hAnsi="標楷體"/>
        </w:rPr>
        <w:t>12</w:t>
      </w:r>
      <w:r w:rsidRPr="00DD4159">
        <w:rPr>
          <w:rFonts w:ascii="標楷體" w:eastAsia="標楷體" w:hAnsi="標楷體" w:hint="eastAsia"/>
        </w:rPr>
        <w:t>週為限，之後每</w:t>
      </w:r>
      <w:r w:rsidRPr="00DD4159">
        <w:rPr>
          <w:rFonts w:ascii="標楷體" w:eastAsia="標楷體" w:hAnsi="標楷體"/>
        </w:rPr>
        <w:t>8</w:t>
      </w:r>
      <w:r w:rsidRPr="00DD4159">
        <w:rPr>
          <w:rFonts w:ascii="標楷體" w:eastAsia="標楷體" w:hAnsi="標楷體" w:hint="eastAsia"/>
        </w:rPr>
        <w:t>週評估一次。送審時需檢送影像資料，無疾病惡化方可繼續使用。</w:t>
      </w:r>
    </w:p>
    <w:p w14:paraId="2CB89785"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(3)</w:t>
      </w:r>
      <w:r w:rsidRPr="00DD4159">
        <w:rPr>
          <w:rFonts w:ascii="標楷體" w:eastAsia="標楷體" w:hAnsi="標楷體" w:hint="eastAsia"/>
        </w:rPr>
        <w:t>每日至多處方</w:t>
      </w:r>
      <w:r w:rsidRPr="00DD4159">
        <w:rPr>
          <w:rFonts w:ascii="標楷體" w:eastAsia="標楷體" w:hAnsi="標楷體"/>
        </w:rPr>
        <w:t>4</w:t>
      </w:r>
      <w:r w:rsidRPr="00DD4159">
        <w:rPr>
          <w:rFonts w:ascii="標楷體" w:eastAsia="標楷體" w:hAnsi="標楷體" w:hint="eastAsia"/>
        </w:rPr>
        <w:t>粒。</w:t>
      </w:r>
    </w:p>
    <w:p w14:paraId="40999A64" w14:textId="77777777" w:rsidR="00C31B1C" w:rsidRPr="00DD4159"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(4)Regorafenib</w:t>
      </w:r>
      <w:r w:rsidRPr="00DD4159">
        <w:rPr>
          <w:rFonts w:ascii="標楷體" w:eastAsia="標楷體" w:hAnsi="標楷體" w:hint="eastAsia"/>
        </w:rPr>
        <w:t>與</w:t>
      </w:r>
      <w:r w:rsidRPr="00DD4159">
        <w:rPr>
          <w:rFonts w:ascii="標楷體" w:eastAsia="標楷體" w:hAnsi="標楷體"/>
        </w:rPr>
        <w:t>ramucirumab</w:t>
      </w:r>
      <w:r w:rsidRPr="00DD4159">
        <w:rPr>
          <w:rFonts w:ascii="標楷體" w:eastAsia="標楷體" w:hAnsi="標楷體" w:hint="eastAsia"/>
        </w:rPr>
        <w:t>、</w:t>
      </w:r>
      <w:r w:rsidRPr="00DD4159">
        <w:rPr>
          <w:rFonts w:ascii="標楷體" w:eastAsia="標楷體" w:hAnsi="標楷體"/>
        </w:rPr>
        <w:t>nivolumab</w:t>
      </w:r>
      <w:r w:rsidRPr="00DD4159">
        <w:rPr>
          <w:rFonts w:ascii="標楷體" w:eastAsia="標楷體" w:hAnsi="標楷體" w:hint="eastAsia"/>
        </w:rPr>
        <w:t>僅能擇一使用，不得互換。</w:t>
      </w:r>
      <w:r w:rsidRPr="00DD4159">
        <w:rPr>
          <w:rFonts w:ascii="標楷體" w:eastAsia="標楷體" w:hAnsi="標楷體"/>
        </w:rPr>
        <w:t>(110/5/1)</w:t>
      </w:r>
    </w:p>
    <w:p w14:paraId="4AED9BEC" w14:textId="5FC4B655" w:rsidR="00B96EA0" w:rsidRPr="00C31B1C" w:rsidRDefault="00C31B1C" w:rsidP="00A753B0">
      <w:pPr>
        <w:pStyle w:val="Default"/>
        <w:spacing w:line="400" w:lineRule="exact"/>
        <w:ind w:firstLineChars="118" w:firstLine="283"/>
        <w:rPr>
          <w:rFonts w:ascii="標楷體" w:eastAsia="標楷體" w:hAnsi="標楷體"/>
        </w:rPr>
      </w:pPr>
      <w:r w:rsidRPr="00C31B1C">
        <w:rPr>
          <w:rFonts w:ascii="標楷體" w:eastAsia="標楷體" w:hAnsi="標楷體" w:hint="eastAsia"/>
        </w:rPr>
        <w:t>4.本藥品不得與</w:t>
      </w:r>
      <w:r w:rsidRPr="00C31B1C">
        <w:rPr>
          <w:rFonts w:ascii="標楷體" w:eastAsia="標楷體" w:hAnsi="標楷體"/>
        </w:rPr>
        <w:t>trifluridine/</w:t>
      </w:r>
      <w:proofErr w:type="spellStart"/>
      <w:r w:rsidRPr="00C31B1C">
        <w:rPr>
          <w:rFonts w:ascii="標楷體" w:eastAsia="標楷體" w:hAnsi="標楷體"/>
        </w:rPr>
        <w:t>tipiracil</w:t>
      </w:r>
      <w:proofErr w:type="spellEnd"/>
      <w:r w:rsidRPr="00C31B1C">
        <w:rPr>
          <w:rFonts w:ascii="標楷體" w:eastAsia="標楷體" w:hAnsi="標楷體" w:hint="eastAsia"/>
        </w:rPr>
        <w:t>併用。</w:t>
      </w:r>
      <w:r w:rsidRPr="00C31B1C">
        <w:rPr>
          <w:rFonts w:ascii="標楷體" w:eastAsia="標楷體" w:hAnsi="標楷體"/>
        </w:rPr>
        <w:t>(107/12/1)</w:t>
      </w:r>
      <w:bookmarkEnd w:id="17"/>
    </w:p>
    <w:p w14:paraId="1883830E" w14:textId="77777777"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w:t>
      </w:r>
      <w:proofErr w:type="spellStart"/>
      <w:r>
        <w:rPr>
          <w:rFonts w:ascii="標楷體" w:eastAsia="標楷體" w:hAnsi="標楷體"/>
          <w:color w:val="000000"/>
        </w:rPr>
        <w:t>Zelboraf</w:t>
      </w:r>
      <w:proofErr w:type="spellEnd"/>
      <w:r>
        <w:rPr>
          <w:rFonts w:ascii="標楷體" w:eastAsia="標楷體" w:hAnsi="標楷體"/>
          <w:color w:val="000000"/>
        </w:rPr>
        <w:t>)：(104/11/1、110/3/1、113/6/1）</w:t>
      </w:r>
    </w:p>
    <w:p w14:paraId="08476D28" w14:textId="77777777"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w:t>
      </w:r>
      <w:proofErr w:type="spellStart"/>
      <w:r>
        <w:rPr>
          <w:rFonts w:ascii="標楷體" w:eastAsia="標楷體" w:hAnsi="標楷體"/>
          <w:color w:val="000000"/>
        </w:rPr>
        <w:t>ⅢC</w:t>
      </w:r>
      <w:proofErr w:type="spellEnd"/>
      <w:r>
        <w:rPr>
          <w:rFonts w:ascii="標楷體" w:eastAsia="標楷體" w:hAnsi="標楷體"/>
          <w:color w:val="000000"/>
        </w:rPr>
        <w:t>期)或轉移性(第Ⅳ期)黑色素瘤之病人。需檢附BRAF V600基因突變分析檢測報告，且需符合全民健康保險藥品給付規定之通則十二。(113/6/1)</w:t>
      </w:r>
    </w:p>
    <w:p w14:paraId="37334C6E"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2.需經事前審查核准後使用，每次申請療程以三個月為限，如發現病情惡化應停止使用。再申請應檢附前次治療結果評估資料。</w:t>
      </w:r>
    </w:p>
    <w:p w14:paraId="4607FAF1"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3.本品與dabrafenib (併用trametinib) 僅能擇一使用，除因耐受性不良，不得互換。(110/3/1）</w:t>
      </w:r>
    </w:p>
    <w:p w14:paraId="3B32C75E" w14:textId="77777777" w:rsidR="00B96EA0" w:rsidRDefault="00616C7C" w:rsidP="005142EB">
      <w:pPr>
        <w:spacing w:line="400" w:lineRule="exact"/>
        <w:ind w:left="283"/>
        <w:rPr>
          <w:rFonts w:ascii="標楷體" w:eastAsia="標楷體" w:hAnsi="標楷體"/>
          <w:color w:val="000000"/>
        </w:rPr>
      </w:pPr>
      <w:bookmarkStart w:id="18" w:name="_Hlk70328576"/>
      <w:r w:rsidRPr="000D391A">
        <w:rPr>
          <w:rFonts w:ascii="標楷體" w:eastAsia="標楷體" w:hAnsi="標楷體" w:hint="eastAsia"/>
          <w:color w:val="000000"/>
        </w:rPr>
        <w:t>9.53.Panitumumab（如</w:t>
      </w:r>
      <w:proofErr w:type="spellStart"/>
      <w:r w:rsidRPr="000D391A">
        <w:rPr>
          <w:rFonts w:ascii="標楷體" w:eastAsia="標楷體" w:hAnsi="標楷體" w:hint="eastAsia"/>
          <w:color w:val="000000"/>
        </w:rPr>
        <w:t>Vectibix</w:t>
      </w:r>
      <w:proofErr w:type="spellEnd"/>
      <w:r w:rsidRPr="000D391A">
        <w:rPr>
          <w:rFonts w:ascii="標楷體" w:eastAsia="標楷體" w:hAnsi="標楷體" w:hint="eastAsia"/>
          <w:color w:val="000000"/>
        </w:rPr>
        <w:t>）：(105/4/1、107/6/1、110/6/1、113/6/1、115/2/1)</w:t>
      </w:r>
    </w:p>
    <w:p w14:paraId="2617367E" w14:textId="77777777" w:rsidR="00D91496" w:rsidRPr="00D91496" w:rsidRDefault="007D66B8" w:rsidP="00D91496">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w:t>
      </w:r>
      <w:bookmarkEnd w:id="18"/>
      <w:r w:rsidR="00D91496" w:rsidRPr="00D91496">
        <w:rPr>
          <w:rFonts w:ascii="標楷體" w:eastAsia="標楷體" w:hAnsi="標楷體" w:hint="eastAsia"/>
          <w:color w:val="000000"/>
          <w:kern w:val="2"/>
          <w:szCs w:val="24"/>
        </w:rPr>
        <w:t xml:space="preserve"> </w:t>
      </w:r>
      <w:r w:rsidR="00D91496" w:rsidRPr="00D91496">
        <w:rPr>
          <w:rFonts w:ascii="標楷體" w:eastAsia="標楷體" w:hAnsi="標楷體" w:hint="eastAsia"/>
          <w:color w:val="000000"/>
        </w:rPr>
        <w:t>與FOLFOX（</w:t>
      </w:r>
      <w:proofErr w:type="spellStart"/>
      <w:r w:rsidR="00D91496" w:rsidRPr="00D91496">
        <w:rPr>
          <w:rFonts w:ascii="標楷體" w:eastAsia="標楷體" w:hAnsi="標楷體" w:hint="eastAsia"/>
          <w:color w:val="000000"/>
        </w:rPr>
        <w:t>folinicacid</w:t>
      </w:r>
      <w:proofErr w:type="spellEnd"/>
      <w:r w:rsidR="00D91496" w:rsidRPr="00D91496">
        <w:rPr>
          <w:rFonts w:ascii="標楷體" w:eastAsia="標楷體" w:hAnsi="標楷體" w:hint="eastAsia"/>
          <w:color w:val="000000"/>
        </w:rPr>
        <w:t>/ 5-fluorouracil/oxaliplatin）或FOLFIRI（folinic acid/ 5-fluorouracil/irinotecan）合併使用於治療RAS原生型(wild-type)之轉移性直腸結腸癌病人之第一線治療。需檢附All-RAS基因突變分析檢測報告，且需符合全民健康保險藥品給付規定之通則十二。(98/8/1、110/6/1、113/6/1、115/2/1)</w:t>
      </w:r>
    </w:p>
    <w:p w14:paraId="63925557"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lastRenderedPageBreak/>
        <w:t>(1)本藥品須經事前審查核准後使用，每次申請之療程以18週為限，再次申請必須提出客觀證據(如：影像學)證實無惡化，才可繼續使用。</w:t>
      </w:r>
    </w:p>
    <w:p w14:paraId="7FE0D513"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(2)Panitumumab與cetuximab二者僅能擇一使用。 (107/6/1、115/2/1)</w:t>
      </w:r>
    </w:p>
    <w:p w14:paraId="6F5B3E5F"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(3)本藥品不得與bevacizumab併用。(107/6/1)</w:t>
      </w:r>
    </w:p>
    <w:p w14:paraId="1A74C81D"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(4)經手術完全切除(R</w:t>
      </w:r>
      <w:r w:rsidRPr="00D91496">
        <w:rPr>
          <w:rFonts w:ascii="標楷體" w:eastAsia="標楷體" w:hAnsi="標楷體"/>
          <w:color w:val="000000"/>
        </w:rPr>
        <w:t>0</w:t>
      </w:r>
      <w:r w:rsidRPr="00D91496">
        <w:rPr>
          <w:rFonts w:ascii="標楷體" w:eastAsia="標楷體" w:hAnsi="標楷體" w:hint="eastAsia"/>
          <w:color w:val="000000"/>
        </w:rPr>
        <w:t>切除)且查無轉移病灶者不得申請給付。(115/2/1)</w:t>
      </w:r>
    </w:p>
    <w:p w14:paraId="0D2DAEEB" w14:textId="77777777" w:rsidR="00D91496" w:rsidRPr="00D91496" w:rsidRDefault="00D91496" w:rsidP="00D91496">
      <w:pPr>
        <w:tabs>
          <w:tab w:val="left" w:pos="1418"/>
        </w:tabs>
        <w:spacing w:line="400" w:lineRule="exact"/>
        <w:ind w:left="849" w:hanging="283"/>
        <w:rPr>
          <w:rFonts w:ascii="標楷體" w:eastAsia="標楷體" w:hAnsi="標楷體"/>
          <w:color w:val="000000"/>
        </w:rPr>
      </w:pPr>
      <w:r w:rsidRPr="00D91496">
        <w:rPr>
          <w:rFonts w:ascii="標楷體" w:eastAsia="標楷體" w:hAnsi="標楷體" w:hint="eastAsia"/>
          <w:color w:val="000000"/>
        </w:rPr>
        <w:t>2.治療已接受過含 5 fluorouracil 、 irinotecan 及oxaliplatin二線以上之細胞毒性治療失敗、RAS原生型(wild-type)的轉移性直腸結腸癌的病人。需檢附All-RAS基因突變分析檢測報告，且需符合全民健康保險藥品給付規定之通則十二。 (115/2/1)</w:t>
      </w:r>
    </w:p>
    <w:p w14:paraId="2C9C318F"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(1)病人先前未曾接受過抗表皮生長因子受體(anti-EGFR)藥品治療。</w:t>
      </w:r>
    </w:p>
    <w:p w14:paraId="7F25F9A9"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(2)本藥品須經事前審查核准後使用，每次申請之療程以9週為限，再次申請必須提出客觀證據(如：影像學)證實無惡化，才可繼續使用。</w:t>
      </w:r>
    </w:p>
    <w:p w14:paraId="6EE7C9DE" w14:textId="77777777" w:rsidR="00B96EA0"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(3)使用總療程以 18 週為上限。</w:t>
      </w:r>
    </w:p>
    <w:p w14:paraId="4D38450E" w14:textId="77777777" w:rsidR="002203D3" w:rsidRDefault="002203D3" w:rsidP="002203D3">
      <w:pPr>
        <w:tabs>
          <w:tab w:val="left" w:pos="1418"/>
        </w:tabs>
        <w:snapToGrid w:val="0"/>
        <w:spacing w:line="400" w:lineRule="exact"/>
        <w:ind w:left="763" w:hanging="480"/>
      </w:pPr>
      <w:bookmarkStart w:id="19"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14:paraId="02BE0A39" w14:textId="77777777"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 xml:space="preserve">1.治療高風險非轉移性去勢抗性前列腺癌(high risk </w:t>
      </w:r>
      <w:proofErr w:type="spellStart"/>
      <w:r>
        <w:rPr>
          <w:rFonts w:ascii="標楷體" w:eastAsia="標楷體" w:hAnsi="標楷體"/>
          <w:color w:val="000000"/>
          <w:szCs w:val="24"/>
        </w:rPr>
        <w:t>nmCRPC</w:t>
      </w:r>
      <w:proofErr w:type="spellEnd"/>
      <w:r>
        <w:rPr>
          <w:rFonts w:ascii="標楷體" w:eastAsia="標楷體" w:hAnsi="標楷體"/>
          <w:color w:val="000000"/>
          <w:szCs w:val="24"/>
        </w:rPr>
        <w:t>)的成年男性。(112/9/1)</w:t>
      </w:r>
    </w:p>
    <w:p w14:paraId="4F9AE1E8" w14:textId="77777777"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(1)須經事前審查核准後使用。</w:t>
      </w:r>
    </w:p>
    <w:p w14:paraId="03D959C7" w14:textId="77777777"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t>(2)初次申請時需檢附病理報告、使用雄性素去除療法紀錄，系列PSA和睪固酮數據，三個月內影像報告證明無遠端轉移。</w:t>
      </w:r>
    </w:p>
    <w:p w14:paraId="4455DF44" w14:textId="77777777"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(3)ECOG分數須≦1。</w:t>
      </w:r>
    </w:p>
    <w:p w14:paraId="2D63017B" w14:textId="77777777"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time≦10個月，PSA倍增之時間，應依線性回歸模型計算，且其參數取得需基於下列原則：</w:t>
      </w:r>
    </w:p>
    <w:p w14:paraId="4A3C93FD"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14:paraId="1106359E"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14:paraId="3643A6AC"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14:paraId="5C5DD7C5" w14:textId="77777777"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14:paraId="172B7EC1" w14:textId="77777777"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註：</w:t>
      </w:r>
    </w:p>
    <w:p w14:paraId="7AAA71F3" w14:textId="77777777"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nadir≧25%，且PSA≧2 ng/mL，並於至少3週後，再次抽血確認PSA值有上升趨勢。</w:t>
      </w:r>
    </w:p>
    <w:p w14:paraId="77E26E2F"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2.治療高風險轉移性的去勢敏感性前列腺癌(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)，且與雄性素去除療法併用，總療</w:t>
      </w:r>
      <w:r>
        <w:rPr>
          <w:rFonts w:ascii="標楷體" w:eastAsia="標楷體" w:hAnsi="標楷體"/>
          <w:color w:val="000000"/>
          <w:szCs w:val="24"/>
        </w:rPr>
        <w:lastRenderedPageBreak/>
        <w:t>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14:paraId="44AA0B78" w14:textId="77777777"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r>
        <w:rPr>
          <w:rFonts w:ascii="標楷體" w:eastAsia="標楷體" w:hAnsi="標楷體" w:cs="新細明體"/>
          <w:szCs w:val="24"/>
        </w:rPr>
        <w:t>≧</w:t>
      </w:r>
      <w:r>
        <w:rPr>
          <w:rFonts w:ascii="標楷體" w:eastAsia="標楷體" w:hAnsi="標楷體"/>
          <w:szCs w:val="24"/>
        </w:rPr>
        <w:t>8。</w:t>
      </w:r>
    </w:p>
    <w:p w14:paraId="4A86C0F3" w14:textId="77777777"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(2)骨骼掃描出現三個(含)以上病灶且至少其中一處以上為非脊柱及非骨盆腔轉移。（111/3/1、113/8/1）</w:t>
      </w:r>
    </w:p>
    <w:p w14:paraId="2EA5199F"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14:paraId="0ED4BF75"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w:t>
      </w:r>
      <w:proofErr w:type="spellStart"/>
      <w:r>
        <w:rPr>
          <w:rFonts w:ascii="標楷體" w:eastAsia="標楷體" w:hAnsi="標楷體"/>
          <w:color w:val="000000"/>
          <w:szCs w:val="24"/>
        </w:rPr>
        <w:t>mCRPC</w:t>
      </w:r>
      <w:proofErr w:type="spellEnd"/>
      <w:r>
        <w:rPr>
          <w:rFonts w:ascii="標楷體" w:eastAsia="標楷體" w:hAnsi="標楷體"/>
          <w:color w:val="000000"/>
          <w:szCs w:val="24"/>
        </w:rPr>
        <w:t>)，且在雄性素去除療法失敗後屬無症狀或輕度症狀(ECOG分數0或1)，未曾接受化學治療者：(106/9/1)</w:t>
      </w:r>
    </w:p>
    <w:p w14:paraId="12C1A50D"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8時，不得於使用化學治療前使用enzalutamide。(106/9/1)</w:t>
      </w:r>
    </w:p>
    <w:p w14:paraId="29E5AA62"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(2)申請時需另檢附：(106/9/1)</w:t>
      </w:r>
    </w:p>
    <w:p w14:paraId="6AC63017" w14:textId="77777777"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14:paraId="502FCEED" w14:textId="77777777"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14:paraId="55223B94"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4.治療藥物或手術去勢抗性的轉移性前列腺癌(ECOG分數須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14:paraId="1D5482AC"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項須經事前審查核准後使用，每3個月需再次申請。（111/3/1、112/9/1）</w:t>
      </w:r>
    </w:p>
    <w:p w14:paraId="4E25B529"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14:paraId="17A3B3F9"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14:paraId="7E3C1545"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14:paraId="6208F2A6"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6.去勢抗性前列腺癌(CRPC)病患若於化學治療前先使用過enzalutamide，當化學治療失敗後不得再申請使用enzalutamide。(106/9/1)</w:t>
      </w:r>
    </w:p>
    <w:p w14:paraId="0C51AA71"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abiraterone併用，終生僅給付一種治療，且除非出現嚴重不耐受反應導致必須永久停止治療，不得互換。(112/9/1、114/6/1)</w:t>
      </w:r>
    </w:p>
    <w:p w14:paraId="34046640" w14:textId="77777777"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8.本品與radium-223 dichloride不得合併使用。(108/3/1)</w:t>
      </w:r>
      <w:bookmarkEnd w:id="19"/>
    </w:p>
    <w:p w14:paraId="27D37DBE" w14:textId="77777777"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20"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proofErr w:type="spellStart"/>
      <w:r w:rsidRPr="001A2DB7">
        <w:rPr>
          <w:rFonts w:ascii="標楷體" w:eastAsia="標楷體" w:hAnsi="標楷體"/>
          <w:color w:val="000000"/>
          <w:kern w:val="0"/>
          <w:szCs w:val="24"/>
        </w:rPr>
        <w:t>Jakavi</w:t>
      </w:r>
      <w:proofErr w:type="spellEnd"/>
      <w:r w:rsidRPr="001A2DB7">
        <w:rPr>
          <w:rFonts w:ascii="標楷體" w:eastAsia="標楷體" w:hAnsi="標楷體"/>
          <w:color w:val="000000"/>
          <w:kern w:val="0"/>
          <w:szCs w:val="24"/>
        </w:rPr>
        <w:t>)</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14:paraId="778BA95A" w14:textId="77777777"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14:paraId="43ECDEE7"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lastRenderedPageBreak/>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14:paraId="71300B79" w14:textId="77777777"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 xml:space="preserve">AML </w:t>
      </w:r>
      <w:proofErr w:type="spellStart"/>
      <w:r w:rsidRPr="001A2DB7">
        <w:rPr>
          <w:rFonts w:ascii="標楷體" w:eastAsia="標楷體" w:hAnsi="標楷體"/>
          <w:color w:val="000000"/>
          <w:kern w:val="0"/>
          <w:szCs w:val="24"/>
        </w:rPr>
        <w:t>tranformation</w:t>
      </w:r>
      <w:proofErr w:type="spellEnd"/>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14:paraId="5B350CB4"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14:paraId="1D353706"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14:paraId="1D8CAEA8"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14:paraId="391535D4"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14:paraId="7DBED4D6"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14:paraId="1CF8193E"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14:paraId="74ED30F8"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14:paraId="4A7C84F1"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w:t>
      </w:r>
      <w:proofErr w:type="spellStart"/>
      <w:r w:rsidRPr="001A2DB7">
        <w:rPr>
          <w:rFonts w:ascii="標楷體" w:eastAsia="標楷體" w:hAnsi="標楷體"/>
        </w:rPr>
        <w:t>Jakavi</w:t>
      </w:r>
      <w:proofErr w:type="spellEnd"/>
      <w:r w:rsidRPr="001A2DB7">
        <w:rPr>
          <w:rFonts w:ascii="標楷體" w:eastAsia="標楷體" w:hAnsi="標楷體"/>
        </w:rPr>
        <w:t xml:space="preserve">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proofErr w:type="spellStart"/>
      <w:r w:rsidRPr="001A2DB7">
        <w:rPr>
          <w:rFonts w:ascii="標楷體" w:eastAsia="標楷體" w:hAnsi="標楷體"/>
        </w:rPr>
        <w:t>Jakavi</w:t>
      </w:r>
      <w:proofErr w:type="spellEnd"/>
      <w:r w:rsidRPr="001A2DB7">
        <w:rPr>
          <w:rFonts w:ascii="標楷體" w:eastAsia="標楷體" w:hAnsi="標楷體"/>
        </w:rPr>
        <w:t xml:space="preserve">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併用。</w:t>
      </w:r>
    </w:p>
    <w:p w14:paraId="2604EC4A"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proofErr w:type="spellStart"/>
      <w:r w:rsidRPr="001A2DB7">
        <w:rPr>
          <w:rFonts w:ascii="標楷體" w:eastAsia="標楷體" w:hAnsi="標楷體"/>
        </w:rPr>
        <w:t>fedratinib</w:t>
      </w:r>
      <w:proofErr w:type="spellEnd"/>
      <w:r w:rsidRPr="00EB5347">
        <w:rPr>
          <w:rFonts w:ascii="標楷體" w:eastAsia="標楷體" w:hAnsi="標楷體" w:hint="eastAsia"/>
        </w:rPr>
        <w:t>、</w:t>
      </w:r>
      <w:proofErr w:type="spellStart"/>
      <w:r w:rsidRPr="00EB5347">
        <w:rPr>
          <w:rFonts w:ascii="標楷體" w:eastAsia="標楷體" w:hAnsi="標楷體"/>
        </w:rPr>
        <w:t>momelotinib</w:t>
      </w:r>
      <w:proofErr w:type="spellEnd"/>
      <w:r w:rsidRPr="00EB5347">
        <w:rPr>
          <w:rFonts w:ascii="標楷體" w:eastAsia="標楷體" w:hAnsi="標楷體" w:hint="eastAsia"/>
        </w:rPr>
        <w:t>用於中度風險或高風險之骨髓纖維化治療時，僅得擇一給付。</w:t>
      </w:r>
      <w:proofErr w:type="spellStart"/>
      <w:r w:rsidRPr="00EB5347">
        <w:rPr>
          <w:rFonts w:ascii="標楷體" w:eastAsia="標楷體" w:hAnsi="標楷體" w:hint="eastAsia"/>
        </w:rPr>
        <w:t>f</w:t>
      </w:r>
      <w:r w:rsidRPr="00EB5347">
        <w:rPr>
          <w:rFonts w:ascii="標楷體" w:eastAsia="標楷體" w:hAnsi="標楷體"/>
        </w:rPr>
        <w:t>edratinib</w:t>
      </w:r>
      <w:proofErr w:type="spellEnd"/>
      <w:r w:rsidRPr="00EB5347">
        <w:rPr>
          <w:rFonts w:ascii="標楷體" w:eastAsia="標楷體" w:hAnsi="標楷體" w:hint="eastAsia"/>
        </w:rPr>
        <w:t>、</w:t>
      </w:r>
      <w:proofErr w:type="spellStart"/>
      <w:r w:rsidRPr="00EB5347">
        <w:rPr>
          <w:rFonts w:ascii="標楷體" w:eastAsia="標楷體" w:hAnsi="標楷體"/>
        </w:rPr>
        <w:t>momelotinib</w:t>
      </w:r>
      <w:proofErr w:type="spellEnd"/>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14:paraId="25E9AB73" w14:textId="77777777" w:rsidR="0007073E" w:rsidRPr="001A2DB7" w:rsidRDefault="0007073E" w:rsidP="0007073E">
      <w:pPr>
        <w:suppressAutoHyphens w:val="0"/>
        <w:autoSpaceDE w:val="0"/>
        <w:adjustRightInd w:val="0"/>
        <w:spacing w:line="400" w:lineRule="exact"/>
        <w:ind w:leftChars="146" w:left="566" w:hangingChars="90" w:hanging="216"/>
        <w:textAlignment w:val="auto"/>
        <w:rPr>
          <w:rFonts w:ascii="標楷體" w:eastAsia="標楷體" w:hAnsi="標楷體"/>
          <w:color w:val="000000"/>
          <w:szCs w:val="24"/>
        </w:rPr>
      </w:pPr>
      <w:r w:rsidRPr="001A2DB7">
        <w:rPr>
          <w:rFonts w:ascii="標楷體" w:eastAsia="標楷體" w:hAnsi="標楷體"/>
          <w:color w:val="000000"/>
          <w:szCs w:val="24"/>
        </w:rPr>
        <w:t>2.移植物抗宿主疾病，限用</w:t>
      </w:r>
      <w:proofErr w:type="spellStart"/>
      <w:r w:rsidRPr="001A2DB7">
        <w:rPr>
          <w:rFonts w:ascii="標楷體" w:eastAsia="標楷體" w:hAnsi="標楷體"/>
          <w:color w:val="000000"/>
          <w:szCs w:val="24"/>
        </w:rPr>
        <w:t>Jakavi</w:t>
      </w:r>
      <w:proofErr w:type="spellEnd"/>
      <w:r w:rsidRPr="001A2DB7">
        <w:rPr>
          <w:rFonts w:ascii="標楷體" w:eastAsia="標楷體" w:hAnsi="標楷體"/>
          <w:color w:val="000000"/>
          <w:szCs w:val="24"/>
        </w:rPr>
        <w:t xml:space="preserve"> 5mg，每日最多使用4 粒。(113/3/1)</w:t>
      </w:r>
    </w:p>
    <w:p w14:paraId="10632915" w14:textId="77777777"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(1)用於治療</w:t>
      </w:r>
      <w:r w:rsidRPr="001A2DB7">
        <w:rPr>
          <w:rFonts w:ascii="標楷體" w:eastAsia="標楷體" w:hAnsi="標楷體"/>
          <w:color w:val="auto"/>
        </w:rPr>
        <w:t>12</w:t>
      </w:r>
      <w:r w:rsidRPr="001A2DB7">
        <w:rPr>
          <w:rFonts w:ascii="標楷體" w:eastAsia="標楷體" w:hAnsi="標楷體"/>
          <w:kern w:val="3"/>
        </w:rPr>
        <w:t xml:space="preserve">歲以上之青少年及成人，且先前曾接受皮質類固醇(corticosteroids)後反應不佳的第2級(含)以上急性移植物抗宿主疾病(acute graft-versus-host </w:t>
      </w:r>
      <w:proofErr w:type="spellStart"/>
      <w:r w:rsidRPr="001A2DB7">
        <w:rPr>
          <w:rFonts w:ascii="標楷體" w:eastAsia="標楷體" w:hAnsi="標楷體"/>
          <w:kern w:val="3"/>
        </w:rPr>
        <w:t>disease,GvHD</w:t>
      </w:r>
      <w:proofErr w:type="spellEnd"/>
      <w:r w:rsidRPr="001A2DB7">
        <w:rPr>
          <w:rFonts w:ascii="標楷體" w:eastAsia="標楷體" w:hAnsi="標楷體"/>
          <w:kern w:val="3"/>
        </w:rPr>
        <w:t>)病人。</w:t>
      </w:r>
    </w:p>
    <w:p w14:paraId="472BB6FD"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14:paraId="7317CFC3"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Ⅱ.續用時需經事前審查核准後使用，限續申請一次並以2個月為限，申請時須檢附先前治療處方紀錄及療效評估。用藥後，若有疾病持續進展，則應停藥。</w:t>
      </w:r>
    </w:p>
    <w:p w14:paraId="738A7375"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14:paraId="217C4704"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Ⅳ.若後續轉變為慢性移植物抗宿主疾病（chronic GvHD）時，需依慢性移植物抗宿主疾病之給付規定申請。</w:t>
      </w:r>
    </w:p>
    <w:p w14:paraId="37BD3381"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14:paraId="706DA78A"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ⅰ</w:t>
      </w:r>
      <w:r w:rsidRPr="001A2DB7">
        <w:rPr>
          <w:rFonts w:ascii="標楷體" w:eastAsia="標楷體" w:hAnsi="標楷體"/>
          <w:color w:val="000000"/>
          <w:szCs w:val="24"/>
        </w:rPr>
        <w:t>.≧1mg/kg/day methylprednisolone (or equivalent prednisone dose) 3</w:t>
      </w:r>
      <w:r w:rsidRPr="001A2DB7">
        <w:rPr>
          <w:rFonts w:ascii="標楷體" w:eastAsia="標楷體" w:hAnsi="標楷體"/>
          <w:color w:val="000000"/>
          <w:szCs w:val="24"/>
        </w:rPr>
        <w:lastRenderedPageBreak/>
        <w:t>天後，疾病仍持續進展。</w:t>
      </w:r>
    </w:p>
    <w:p w14:paraId="39C14481"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ⅱ</w:t>
      </w:r>
      <w:r w:rsidRPr="001A2DB7">
        <w:rPr>
          <w:rFonts w:ascii="標楷體" w:eastAsia="標楷體" w:hAnsi="標楷體"/>
          <w:color w:val="000000"/>
          <w:szCs w:val="24"/>
        </w:rPr>
        <w:t>.≧1mg/kg/day methylprednisolone (or equivalent prednisone dose) 開始的5天後未見改善。</w:t>
      </w:r>
    </w:p>
    <w:p w14:paraId="466DEDF1"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.發生皮質類固醇依賴性：在逐漸調降皮質類固醇期間，無法將methylprednisolone (or equivalent prednisone dose)劑量調降&lt;0.5mg/kg/day維持至少7天。</w:t>
      </w:r>
    </w:p>
    <w:p w14:paraId="024E11AB"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G3之嚴重不良反應情形。</w:t>
      </w:r>
    </w:p>
    <w:p w14:paraId="08087BCE" w14:textId="77777777"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 xml:space="preserve">(2)用於治療12歲以上之青少年及成人，且先前曾接受皮質類固醇(corticosteroids)後反應不佳的慢性移植物抗宿主疾病(chronic graft-versus-host </w:t>
      </w:r>
      <w:proofErr w:type="spellStart"/>
      <w:r w:rsidRPr="001A2DB7">
        <w:rPr>
          <w:rFonts w:ascii="標楷體" w:eastAsia="標楷體" w:hAnsi="標楷體"/>
          <w:kern w:val="3"/>
        </w:rPr>
        <w:t>disease,GvHD</w:t>
      </w:r>
      <w:proofErr w:type="spellEnd"/>
      <w:r w:rsidRPr="001A2DB7">
        <w:rPr>
          <w:rFonts w:ascii="標楷體" w:eastAsia="標楷體" w:hAnsi="標楷體"/>
          <w:kern w:val="3"/>
        </w:rPr>
        <w:t>)病人。</w:t>
      </w:r>
    </w:p>
    <w:p w14:paraId="48824788" w14:textId="77777777"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Ⅰ.限用於發生肺部之慢性移植物抗宿主疾病，須同時符合下列條件:</w:t>
      </w:r>
    </w:p>
    <w:p w14:paraId="48FF17FE"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14:paraId="7D4855E5"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thickening或bronchiectasis 等肺部侵犯的表徵。</w:t>
      </w:r>
    </w:p>
    <w:p w14:paraId="5B141E3D"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14:paraId="2DD8E14E"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Ⅲ.第一次療程為3個月，續用申請之療程以3個月為限，送審時需檢送療效評估，每3個月評估一次。用藥後，若有疾病持續進展，則不予同意使用。</w:t>
      </w:r>
    </w:p>
    <w:p w14:paraId="74482A53"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14:paraId="0F8CACD0"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14:paraId="22CE6861"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14:paraId="63870948"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，治療至少1個月後，疾病仍未改善。</w:t>
      </w:r>
    </w:p>
    <w:p w14:paraId="4E7C0A43" w14:textId="77777777"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.發生皮質類固醇依賴性：在逐漸調降皮質類固醇期間，無法將劑量調降至每日0.25 mg/kg 以下維持至少7 天。</w:t>
      </w:r>
    </w:p>
    <w:p w14:paraId="07A296E4" w14:textId="77777777"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20"/>
    </w:p>
    <w:p w14:paraId="0383678C" w14:textId="77777777"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 xml:space="preserve">Brentuximab </w:t>
      </w:r>
      <w:proofErr w:type="spellStart"/>
      <w:r w:rsidR="008B0582">
        <w:rPr>
          <w:rFonts w:ascii="標楷體" w:eastAsia="標楷體" w:hAnsi="標楷體"/>
          <w:color w:val="000000"/>
        </w:rPr>
        <w:t>vedotin</w:t>
      </w:r>
      <w:proofErr w:type="spellEnd"/>
      <w:r w:rsidR="008B0582">
        <w:rPr>
          <w:rFonts w:ascii="標楷體" w:eastAsia="標楷體" w:hAnsi="標楷體"/>
          <w:color w:val="000000"/>
        </w:rPr>
        <w:t>(如</w:t>
      </w:r>
      <w:proofErr w:type="spellStart"/>
      <w:r w:rsidR="008B0582">
        <w:rPr>
          <w:rFonts w:ascii="標楷體" w:eastAsia="標楷體" w:hAnsi="標楷體"/>
          <w:color w:val="000000"/>
        </w:rPr>
        <w:t>Adcetris</w:t>
      </w:r>
      <w:proofErr w:type="spellEnd"/>
      <w:r w:rsidR="008B0582">
        <w:rPr>
          <w:rFonts w:ascii="標楷體" w:eastAsia="標楷體" w:hAnsi="標楷體"/>
          <w:color w:val="000000"/>
        </w:rPr>
        <w:t>)：(105/10/1、106/4/1、109/2/1、111/2/1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14:paraId="63281A9B" w14:textId="77777777"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14:paraId="1491A7B8" w14:textId="77777777"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1.何杰金氏淋巴瘤(HL)：（111/2/1)</w:t>
      </w:r>
    </w:p>
    <w:p w14:paraId="32DBF78A"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(1)與doxorubicin、vinblastine和dacarbazine併用適用於先前未曾接受治療，且IPS (International Prognostic Score)為4-7 分的CD30+第IV期何杰金氏淋巴瘤(HL)成人病人。（111/2/1）</w:t>
      </w:r>
    </w:p>
    <w:p w14:paraId="3BB43DBA"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lastRenderedPageBreak/>
        <w:t>(2)CD30+何杰金氏淋巴瘤(HL)病患接受ASCT後仍具有高復發風險之病患：需先前未曾使用過本品，並於ASCT前具有下列任一危險因子者：(109/2/1)</w:t>
      </w:r>
    </w:p>
    <w:p w14:paraId="0CB0E52F"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Ⅰ.對於第1線治療未達完全緩解。</w:t>
      </w:r>
    </w:p>
    <w:p w14:paraId="79550307"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14:paraId="4D622445" w14:textId="77777777" w:rsidR="008B0582" w:rsidRDefault="008B0582" w:rsidP="008B0582">
      <w:pPr>
        <w:tabs>
          <w:tab w:val="left" w:pos="1418"/>
        </w:tabs>
        <w:spacing w:line="400" w:lineRule="exact"/>
        <w:ind w:left="1701" w:hanging="370"/>
        <w:rPr>
          <w:rFonts w:ascii="標楷體" w:eastAsia="標楷體" w:hAnsi="標楷體"/>
          <w:color w:val="000000"/>
        </w:rPr>
      </w:pPr>
      <w:proofErr w:type="spellStart"/>
      <w:r>
        <w:rPr>
          <w:rFonts w:ascii="標楷體" w:eastAsia="標楷體" w:hAnsi="標楷體"/>
          <w:color w:val="000000"/>
        </w:rPr>
        <w:t>Ⅲ.ASCT</w:t>
      </w:r>
      <w:proofErr w:type="spellEnd"/>
      <w:r>
        <w:rPr>
          <w:rFonts w:ascii="標楷體" w:eastAsia="標楷體" w:hAnsi="標楷體"/>
          <w:color w:val="000000"/>
        </w:rPr>
        <w:t>前出現的復發具有淋巴結外侵犯。</w:t>
      </w:r>
    </w:p>
    <w:p w14:paraId="4916474E" w14:textId="77777777"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 xml:space="preserve">(3)治療復發或頑固型CD30+何杰金氏淋巴瘤(HL)： </w:t>
      </w:r>
    </w:p>
    <w:p w14:paraId="76BA45D0" w14:textId="77777777"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14:paraId="63152B88" w14:textId="77777777"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Ⅱ.無法使用ASCT或多重藥物化療，且先前至少已接受兩種治療。</w:t>
      </w:r>
    </w:p>
    <w:p w14:paraId="3E33DAB2" w14:textId="77777777"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14:paraId="6659B3C8"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14:paraId="1A52E6AF"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Ⅱ.前述(2)之病患：每次申請療程以4個療程為限，再申請應檢附疾病無惡化之評估資料，若病情惡化即須停止使用。曾依本項核准使用之病患，若之後疾病惡化或復發後將不再給付本藥品。(109/2/1、111/2/1)</w:t>
      </w:r>
    </w:p>
    <w:p w14:paraId="7968980B"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Ⅲ.前述(3)之病患：每次申請療程以4個療程為限，再申請應檢附前次治療結果評估資料。若病人病情已達完全緩解，得再給付4個療程;若病情惡化即須停止使用。(106/4/1、109/2/1、111/2/1)</w:t>
      </w:r>
    </w:p>
    <w:p w14:paraId="3C9DE159"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14:paraId="0FDAD6D8" w14:textId="77777777"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2.全身性退行分化型大細胞淋巴瘤(systemic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)：（111/2/1)</w:t>
      </w:r>
    </w:p>
    <w:p w14:paraId="5970E932"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(1)與cyclophosphamide、doxorubicin和prednisone併用適用於先前未曾接受治療且為ALK陰性的全身性退行分化型大細胞淋巴瘤(systemic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)成人病人。（111/2/1）</w:t>
      </w:r>
    </w:p>
    <w:p w14:paraId="5BAEFD00"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(2)治療復發或頑固型全身性退行分化型大細胞淋巴瘤(systemic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w:t>
      </w:r>
    </w:p>
    <w:p w14:paraId="632CE109"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14:paraId="4BC1EFA9"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14:paraId="6A13F49E"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Ⅱ.前述(2)之病患：每次申請療程以4個療程為限，再申請應檢附前次治療結果評估資料。若病人病情已達完全緩解，得再給付4個療程;若病情惡化即須停止使用。(106/4/1、109/2/1、111/2/1)</w:t>
      </w:r>
    </w:p>
    <w:p w14:paraId="1A9C4384"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Ⅲ.同一病患於前述(1)及(2)之終身給付療程數以總共16個療程為上限。(111/2/1)</w:t>
      </w:r>
    </w:p>
    <w:p w14:paraId="77D6EAED" w14:textId="77777777"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lastRenderedPageBreak/>
        <w:t>3.CD30+皮膚T細胞淋巴瘤(CTCL)：（111/2/1</w:t>
      </w:r>
      <w:r>
        <w:rPr>
          <w:rFonts w:ascii="標楷體" w:eastAsia="標楷體" w:hAnsi="標楷體" w:hint="eastAsia"/>
          <w:color w:val="000000"/>
        </w:rPr>
        <w:t>、114/12/1</w:t>
      </w:r>
      <w:r>
        <w:rPr>
          <w:rFonts w:ascii="標楷體" w:eastAsia="標楷體" w:hAnsi="標楷體"/>
          <w:color w:val="000000"/>
        </w:rPr>
        <w:t>）</w:t>
      </w:r>
    </w:p>
    <w:p w14:paraId="0AFF8D59"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之全身性化學藥物治療的CD30+皮膚T細胞淋巴瘤(CTCL)成人病人，病人須診斷為蕈狀肉芽腫 (MF，第</w:t>
      </w:r>
      <w:proofErr w:type="spellStart"/>
      <w:r>
        <w:rPr>
          <w:rFonts w:ascii="標楷體" w:eastAsia="標楷體" w:hAnsi="標楷體"/>
          <w:color w:val="000000"/>
        </w:rPr>
        <w:t>ⅡB</w:t>
      </w:r>
      <w:proofErr w:type="spellEnd"/>
      <w:r>
        <w:rPr>
          <w:rFonts w:ascii="標楷體" w:eastAsia="標楷體" w:hAnsi="標楷體"/>
          <w:color w:val="000000"/>
        </w:rPr>
        <w:t>期或以上)、Sezary症候群(SS)或原發性皮膚退行分化型大細胞淋巴瘤（</w:t>
      </w:r>
      <w:proofErr w:type="spellStart"/>
      <w:r>
        <w:rPr>
          <w:rFonts w:ascii="標楷體" w:eastAsia="標楷體" w:hAnsi="標楷體"/>
          <w:color w:val="000000"/>
        </w:rPr>
        <w:t>pcALCL</w:t>
      </w:r>
      <w:proofErr w:type="spellEnd"/>
      <w:r>
        <w:rPr>
          <w:rFonts w:ascii="標楷體" w:eastAsia="標楷體" w:hAnsi="標楷體"/>
          <w:color w:val="000000"/>
        </w:rPr>
        <w:t>），且CD30需於超過10%的腫瘤細胞呈現陽性。（111/2/1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14:paraId="08DE3D91" w14:textId="77777777"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(2)須經事前審查核准後使用，首次申請療程以4個療程為限，再申請應檢附前次治療結果評估資料。若病人病情已達完全緩解，得再給付2個療程；若病情惡化即須停止使用。健保給付以6個療程為上限。（111/2/1）</w:t>
      </w:r>
    </w:p>
    <w:p w14:paraId="50EC99EC" w14:textId="77777777"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w:t>
      </w:r>
      <w:proofErr w:type="spellStart"/>
      <w:r>
        <w:rPr>
          <w:rFonts w:ascii="標楷體" w:eastAsia="標楷體" w:hAnsi="標楷體"/>
          <w:color w:val="000000"/>
        </w:rPr>
        <w:t>Evoltra</w:t>
      </w:r>
      <w:proofErr w:type="spellEnd"/>
      <w:r>
        <w:rPr>
          <w:rFonts w:ascii="標楷體" w:eastAsia="標楷體" w:hAnsi="標楷體"/>
          <w:color w:val="000000"/>
        </w:rPr>
        <w:t>）：（106/1/1、109/12/1）</w:t>
      </w:r>
    </w:p>
    <w:p w14:paraId="1FD9E00F"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1.使用於先前接受至少兩種化療療程(如TPOG之療程表)治療無效或已復發第二次或以上之急性淋巴母細胞白血病(acute lymphoblastic leukemia)病，且計畫進行造血幹細胞移植的病人(限21歲以下)，每位病人限給付一療程。</w:t>
      </w:r>
    </w:p>
    <w:p w14:paraId="04755374"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2.須事前審查核准後使用，申請時須檢附完整之造血幹細胞移植計畫，並詳細記載確認捐贈者名單、確認移植之執行醫院及移植前調適治療等資料。</w:t>
      </w:r>
    </w:p>
    <w:p w14:paraId="240F3EDE"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3.不得與blinatumomab併用。（109/12/1）</w:t>
      </w:r>
    </w:p>
    <w:p w14:paraId="77EB8730" w14:textId="77777777" w:rsidR="00B96EA0" w:rsidRDefault="007D66B8" w:rsidP="005142EB">
      <w:pPr>
        <w:tabs>
          <w:tab w:val="left" w:pos="1418"/>
        </w:tabs>
        <w:spacing w:line="400" w:lineRule="exact"/>
        <w:ind w:left="849" w:hanging="566"/>
      </w:pPr>
      <w:r>
        <w:rPr>
          <w:rFonts w:ascii="標楷體" w:eastAsia="標楷體" w:hAnsi="標楷體"/>
          <w:color w:val="000000"/>
        </w:rPr>
        <w:t>9.58.Axitinib(如Inlyta)</w:t>
      </w:r>
      <w:r>
        <w:rPr>
          <w:rFonts w:ascii="新細明體" w:hAnsi="新細明體"/>
          <w:color w:val="000000"/>
        </w:rPr>
        <w:t>：</w:t>
      </w:r>
      <w:r>
        <w:rPr>
          <w:rFonts w:ascii="標楷體" w:eastAsia="標楷體" w:hAnsi="標楷體"/>
          <w:color w:val="000000"/>
        </w:rPr>
        <w:t>（106/1/1、108/12/1）</w:t>
      </w:r>
    </w:p>
    <w:p w14:paraId="21AE33A7"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1.治療已接受過sunitinib或cytokine治療失敗的晚期腎細胞癌病患。</w:t>
      </w:r>
    </w:p>
    <w:p w14:paraId="330040D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2.無效後則不給付</w:t>
      </w:r>
      <w:proofErr w:type="spellStart"/>
      <w:r>
        <w:rPr>
          <w:rFonts w:ascii="標楷體" w:eastAsia="標楷體" w:hAnsi="標楷體"/>
          <w:color w:val="000000"/>
        </w:rPr>
        <w:t>temsirolimus</w:t>
      </w:r>
      <w:proofErr w:type="spellEnd"/>
      <w:r>
        <w:rPr>
          <w:rFonts w:ascii="標楷體" w:eastAsia="標楷體" w:hAnsi="標楷體"/>
          <w:color w:val="000000"/>
        </w:rPr>
        <w:t>。(108/12/1)</w:t>
      </w:r>
    </w:p>
    <w:p w14:paraId="2BC47AA2" w14:textId="77777777"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14:paraId="2BA15C5D" w14:textId="77777777" w:rsidR="00B96EA0" w:rsidRDefault="007D66B8" w:rsidP="005142EB">
      <w:pPr>
        <w:tabs>
          <w:tab w:val="left" w:pos="1418"/>
        </w:tabs>
        <w:spacing w:line="400" w:lineRule="exact"/>
        <w:ind w:left="567" w:hanging="245"/>
      </w:pPr>
      <w:r>
        <w:rPr>
          <w:rFonts w:ascii="標楷體" w:eastAsia="標楷體" w:hAnsi="標楷體"/>
        </w:rPr>
        <w:t>9.59.Ceritinib(如</w:t>
      </w:r>
      <w:proofErr w:type="spellStart"/>
      <w:r>
        <w:rPr>
          <w:rFonts w:ascii="標楷體" w:eastAsia="標楷體" w:hAnsi="標楷體"/>
        </w:rPr>
        <w:t>Zykadia</w:t>
      </w:r>
      <w:proofErr w:type="spellEnd"/>
      <w:r>
        <w:rPr>
          <w:rFonts w:ascii="標楷體" w:eastAsia="標楷體" w:hAnsi="標楷體"/>
        </w:rPr>
        <w:t>)：(106/9/1、106/11/1、108/7/1、108/12/1、111/2/1、111/8/1、112/11/1、113/6/1)</w:t>
      </w:r>
    </w:p>
    <w:p w14:paraId="68612882"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14:paraId="725C036D"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14:paraId="4EFC64A2"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14:paraId="43AD7464"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14:paraId="7056FC7D"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(108/12/1、112/11/1)</w:t>
      </w:r>
    </w:p>
    <w:p w14:paraId="54213148"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Ceritinib</w:t>
      </w:r>
      <w:proofErr w:type="spellEnd"/>
      <w:r>
        <w:rPr>
          <w:rFonts w:ascii="標楷體" w:eastAsia="標楷體" w:hAnsi="標楷體"/>
        </w:rPr>
        <w:t>與</w:t>
      </w:r>
      <w:proofErr w:type="spellStart"/>
      <w:r>
        <w:rPr>
          <w:rFonts w:ascii="標楷體" w:eastAsia="標楷體" w:hAnsi="標楷體"/>
        </w:rPr>
        <w:t>crizotinib</w:t>
      </w:r>
      <w:proofErr w:type="spellEnd"/>
      <w:r>
        <w:rPr>
          <w:rFonts w:ascii="標楷體" w:eastAsia="標楷體" w:hAnsi="標楷體"/>
        </w:rPr>
        <w:t>、</w:t>
      </w:r>
      <w:proofErr w:type="spellStart"/>
      <w:r>
        <w:rPr>
          <w:rFonts w:ascii="標楷體" w:eastAsia="標楷體" w:hAnsi="標楷體"/>
        </w:rPr>
        <w:t>alectinib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用於ALK陽性之晚期非小細胞肺癌第一線治療時，僅得擇一使用，除因病人使用後，發生嚴重不良反應或耐受不良之情形外，不得互換。(108/7/1、108/12/1、111/8/1、112/11/1)</w:t>
      </w:r>
    </w:p>
    <w:p w14:paraId="186C8A53"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lastRenderedPageBreak/>
        <w:t>每日最大劑量限450mg。(108/7/1)</w:t>
      </w:r>
    </w:p>
    <w:p w14:paraId="17034C99" w14:textId="77777777" w:rsidR="00B96EA0" w:rsidRDefault="007D66B8" w:rsidP="005142EB">
      <w:pPr>
        <w:pStyle w:val="a9"/>
        <w:suppressAutoHyphens w:val="0"/>
        <w:spacing w:line="400" w:lineRule="exact"/>
        <w:ind w:left="283"/>
        <w:textAlignment w:val="auto"/>
        <w:rPr>
          <w:rFonts w:ascii="標楷體" w:eastAsia="標楷體" w:hAnsi="標楷體"/>
        </w:rPr>
      </w:pPr>
      <w:r>
        <w:rPr>
          <w:rFonts w:ascii="標楷體" w:eastAsia="標楷體" w:hAnsi="標楷體"/>
        </w:rPr>
        <w:t>9.60.Alectinib(如</w:t>
      </w:r>
      <w:proofErr w:type="spellStart"/>
      <w:r>
        <w:rPr>
          <w:rFonts w:ascii="標楷體" w:eastAsia="標楷體" w:hAnsi="標楷體"/>
        </w:rPr>
        <w:t>Alecensa</w:t>
      </w:r>
      <w:proofErr w:type="spellEnd"/>
      <w:r>
        <w:rPr>
          <w:rFonts w:ascii="標楷體" w:eastAsia="標楷體" w:hAnsi="標楷體"/>
        </w:rPr>
        <w:t>)：(106/11/1、108/12/1、111/2/1、111/8/1、112/11/1、113/6/1)</w:t>
      </w:r>
    </w:p>
    <w:p w14:paraId="749E5721"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14:paraId="79818D1D"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14:paraId="7A0F82C0"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每次申請事前審查之療程以三個月為限，每三個月需再次申請。</w:t>
      </w:r>
    </w:p>
    <w:p w14:paraId="4017EB46"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14:paraId="70A9A914"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14:paraId="37C85D80"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proofErr w:type="spellStart"/>
      <w:r>
        <w:rPr>
          <w:rFonts w:ascii="標楷體" w:eastAsia="標楷體" w:hAnsi="標楷體"/>
        </w:rPr>
        <w:t>Alectinib</w:t>
      </w:r>
      <w:proofErr w:type="spellEnd"/>
      <w:r>
        <w:rPr>
          <w:rFonts w:ascii="標楷體" w:eastAsia="標楷體" w:hAnsi="標楷體"/>
        </w:rPr>
        <w:t>與</w:t>
      </w:r>
      <w:proofErr w:type="spellStart"/>
      <w:r>
        <w:rPr>
          <w:rFonts w:ascii="標楷體" w:eastAsia="標楷體" w:hAnsi="標楷體"/>
        </w:rPr>
        <w:t>ceritinib</w:t>
      </w:r>
      <w:proofErr w:type="spellEnd"/>
      <w:r>
        <w:rPr>
          <w:rFonts w:ascii="標楷體" w:eastAsia="標楷體" w:hAnsi="標楷體"/>
        </w:rPr>
        <w:t>、</w:t>
      </w:r>
      <w:proofErr w:type="spellStart"/>
      <w:r>
        <w:rPr>
          <w:rFonts w:ascii="標楷體" w:eastAsia="標楷體" w:hAnsi="標楷體"/>
        </w:rPr>
        <w:t>crizotinib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用於ALK陽性之晚期非小細胞肺癌第一線治療時，僅得擇一使用，除因病人使用後，發生嚴重不良反應或耐受不良之情形外，不得互換。(108/12/1、111/8/1、112/11/1)</w:t>
      </w:r>
    </w:p>
    <w:p w14:paraId="1CB7CD72"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每日最大劑量限1200mg。(108/12/1)</w:t>
      </w:r>
    </w:p>
    <w:p w14:paraId="2D15EAE7" w14:textId="77777777" w:rsidR="00213DC8" w:rsidRPr="00213DC8" w:rsidRDefault="00213DC8" w:rsidP="00446BB6">
      <w:pPr>
        <w:tabs>
          <w:tab w:val="left" w:pos="1418"/>
        </w:tabs>
        <w:spacing w:line="400" w:lineRule="exact"/>
        <w:ind w:left="709" w:hanging="339"/>
        <w:rPr>
          <w:rFonts w:ascii="標楷體" w:eastAsia="標楷體" w:hAnsi="標楷體"/>
          <w:color w:val="000000"/>
        </w:rPr>
      </w:pPr>
      <w:bookmarkStart w:id="21" w:name="_Hlk209189883"/>
      <w:r w:rsidRPr="00213DC8">
        <w:rPr>
          <w:rFonts w:ascii="標楷體" w:eastAsia="標楷體" w:hAnsi="標楷體" w:hint="eastAsia"/>
          <w:color w:val="000000"/>
        </w:rPr>
        <w:t>9.61.Ibrutinib (如Imbruvica)：(106/11/1、108/9/1、111/1/1、112/7/1、112/12/1、113/2/1、114/10/1、115/5/1)</w:t>
      </w:r>
    </w:p>
    <w:p w14:paraId="3CE17CC1" w14:textId="77777777" w:rsidR="00213DC8" w:rsidRPr="00213DC8" w:rsidRDefault="00213DC8" w:rsidP="00446BB6">
      <w:pPr>
        <w:tabs>
          <w:tab w:val="left" w:pos="1418"/>
        </w:tabs>
        <w:spacing w:line="400" w:lineRule="exact"/>
        <w:ind w:left="993" w:hanging="339"/>
        <w:rPr>
          <w:rFonts w:ascii="標楷體" w:eastAsia="標楷體" w:hAnsi="標楷體"/>
          <w:color w:val="000000"/>
        </w:rPr>
      </w:pPr>
      <w:r w:rsidRPr="00213DC8">
        <w:rPr>
          <w:rFonts w:ascii="標楷體" w:eastAsia="標楷體" w:hAnsi="標楷體" w:hint="eastAsia"/>
          <w:color w:val="000000"/>
        </w:rPr>
        <w:t>1.單獨使用於先前接受過至少一種化學或標靶治療方式無效或復發的被套細胞淋巴瘤成年病人。（106/11/1、112/7/1、112/12/1、115/5/1)</w:t>
      </w:r>
    </w:p>
    <w:p w14:paraId="317BD3FA"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14:paraId="767FEBD1"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 xml:space="preserve">(2)若疾病進展，則必須停止使用。（106/11/1、112/7/1) </w:t>
      </w:r>
    </w:p>
    <w:p w14:paraId="2486B480"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(3)每日至多處方4粒。(108/9/1)</w:t>
      </w:r>
    </w:p>
    <w:p w14:paraId="5EC76AD7"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(4)</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、ibrutinib和acalabrutinib僅能擇一使用，唯有在出現無法忍受其副作用時方可互換。與acalabrutinib互換時二者使用總療程合併計算，以全部20個月為上限。（112/7/1、112/12/1、115/5/1）</w:t>
      </w:r>
    </w:p>
    <w:p w14:paraId="235A99DE"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2.單獨使用於慢性淋巴球性白血病(CLL)成年病人。（108/9/1、112/7/1、113/2/1、115/5/1)</w:t>
      </w:r>
    </w:p>
    <w:p w14:paraId="65CD925E"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(1)ECOG 分數須≦2。(115/5/1)</w:t>
      </w:r>
    </w:p>
    <w:p w14:paraId="1A750D3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(2)需符合下列任一情況：</w:t>
      </w:r>
    </w:p>
    <w:p w14:paraId="1789EF59"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Ⅰ.具有17p缺失。</w:t>
      </w:r>
    </w:p>
    <w:p w14:paraId="21AFEB6C"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Ⅱ.非IGHV突變且曾接受至少1種包括alkylating agent與anti-CD20(如R-CVP、RCHOP、rituximab加</w:t>
      </w:r>
      <w:proofErr w:type="spellStart"/>
      <w:r w:rsidRPr="00213DC8">
        <w:rPr>
          <w:rFonts w:ascii="標楷體" w:eastAsia="標楷體" w:hAnsi="標楷體" w:hint="eastAsia"/>
          <w:color w:val="000000"/>
        </w:rPr>
        <w:t>bendamustine</w:t>
      </w:r>
      <w:proofErr w:type="spellEnd"/>
      <w:r w:rsidRPr="00213DC8">
        <w:rPr>
          <w:rFonts w:ascii="標楷體" w:eastAsia="標楷體" w:hAnsi="標楷體" w:hint="eastAsia"/>
          <w:color w:val="000000"/>
        </w:rPr>
        <w:t>等)的治療2個療程以上仍惡化或復發者。(115/5/1)</w:t>
      </w:r>
    </w:p>
    <w:p w14:paraId="74E749A6"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lastRenderedPageBreak/>
        <w:t>Ⅲ.CLL病人需先前曾接受至少2線治療(排除僅有口服藥物之療程)，治療中須包括alkylating agent與anti-CD20(如R-CVP、RCHOP、rituximab加</w:t>
      </w:r>
      <w:proofErr w:type="spellStart"/>
      <w:r w:rsidRPr="00213DC8">
        <w:rPr>
          <w:rFonts w:ascii="標楷體" w:eastAsia="標楷體" w:hAnsi="標楷體" w:hint="eastAsia"/>
          <w:color w:val="000000"/>
        </w:rPr>
        <w:t>bendamustine</w:t>
      </w:r>
      <w:proofErr w:type="spellEnd"/>
      <w:r w:rsidRPr="00213DC8">
        <w:rPr>
          <w:rFonts w:ascii="標楷體" w:eastAsia="標楷體" w:hAnsi="標楷體" w:hint="eastAsia"/>
          <w:color w:val="000000"/>
        </w:rPr>
        <w:t>等)的治療，每線治療至少2個療程以上後，仍惡化或復發者。(115/5/1)</w:t>
      </w:r>
    </w:p>
    <w:p w14:paraId="68016714"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(3)開始使用前之疾病狀態需出現下列任一情形：</w:t>
      </w:r>
    </w:p>
    <w:p w14:paraId="18DC5B2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Ⅰ.進行性的血液相惡化至Hb &lt; 10.0 gm/dL或PLT &lt; 100 K/</w:t>
      </w:r>
      <w:proofErr w:type="spellStart"/>
      <w:r w:rsidRPr="00213DC8">
        <w:rPr>
          <w:rFonts w:ascii="標楷體" w:eastAsia="標楷體" w:hAnsi="標楷體" w:hint="eastAsia"/>
          <w:color w:val="000000"/>
        </w:rPr>
        <w:t>uL</w:t>
      </w:r>
      <w:proofErr w:type="spellEnd"/>
      <w:r w:rsidRPr="00213DC8">
        <w:rPr>
          <w:rFonts w:ascii="標楷體" w:eastAsia="標楷體" w:hAnsi="標楷體" w:hint="eastAsia"/>
          <w:color w:val="000000"/>
        </w:rPr>
        <w:t>，且無其他原因可以解釋。</w:t>
      </w:r>
    </w:p>
    <w:p w14:paraId="58A2E9A6"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Ⅱ.脾臟腫大超過左肋骨下緣6cm。</w:t>
      </w:r>
    </w:p>
    <w:p w14:paraId="7CEA5B6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Ⅲ.淋巴結腫大，最長徑超過10cm。</w:t>
      </w:r>
    </w:p>
    <w:p w14:paraId="45C12694"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Ⅳ.周邊血液淋巴球在2個月內增加50%以上，或倍增時間(doubling time)小於6個月。</w:t>
      </w:r>
    </w:p>
    <w:p w14:paraId="1DF1E36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Ⅴ.出現自體免疫併發症，且經類固醇治療無效。</w:t>
      </w:r>
    </w:p>
    <w:p w14:paraId="63AD552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Ⅵ.出現具症狀的淋巴結外病灶。</w:t>
      </w:r>
    </w:p>
    <w:p w14:paraId="0BA9CE7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(4)需經事前審查核准後使用，每3個月需再次申請。再次申請時需檢附療效評估資料，若未達</w:t>
      </w:r>
      <w:proofErr w:type="spellStart"/>
      <w:r w:rsidRPr="00213DC8">
        <w:rPr>
          <w:rFonts w:ascii="標楷體" w:eastAsia="標楷體" w:hAnsi="標楷體" w:hint="eastAsia"/>
          <w:color w:val="000000"/>
        </w:rPr>
        <w:t>iwCLL</w:t>
      </w:r>
      <w:proofErr w:type="spellEnd"/>
      <w:r w:rsidRPr="00213DC8">
        <w:rPr>
          <w:rFonts w:ascii="標楷體" w:eastAsia="標楷體" w:hAnsi="標楷體" w:hint="eastAsia"/>
          <w:color w:val="000000"/>
        </w:rPr>
        <w:t xml:space="preserve"> (International Workshop on CLL)最新定義之partial remission或complete remission，則不予給付。</w:t>
      </w:r>
    </w:p>
    <w:p w14:paraId="0C6224F1"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(5)在具有17p缺失病人，ibrutinib、acalabrutinib、</w:t>
      </w:r>
      <w:proofErr w:type="spellStart"/>
      <w:r w:rsidRPr="00213DC8">
        <w:rPr>
          <w:rFonts w:ascii="標楷體" w:eastAsia="標楷體" w:hAnsi="標楷體" w:hint="eastAsia"/>
          <w:color w:val="000000"/>
        </w:rPr>
        <w:t>venetoclax</w:t>
      </w:r>
      <w:proofErr w:type="spellEnd"/>
      <w:r w:rsidRPr="00213DC8">
        <w:rPr>
          <w:rFonts w:ascii="標楷體" w:eastAsia="標楷體" w:hAnsi="標楷體" w:hint="eastAsia"/>
          <w:color w:val="000000"/>
        </w:rPr>
        <w:t>與</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四者僅能擇一使用，唯有在出現無法忍受其副作用時方可互換。四者使用總療程合併計算，以全部24個月為上限。（108/9/1、112/7/1、114/10/1）</w:t>
      </w:r>
    </w:p>
    <w:p w14:paraId="2C2FDB23"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(6)在非IGHV突變二線以上病人及CLL三線以上病人，ibrutinib、acalabrutinib與</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三者僅能擇一使用，唯有在出現無法忍受其副作用時方可互換。三者使用總療程合併計算，以全部24個月為上限。（115/5/1)</w:t>
      </w:r>
    </w:p>
    <w:p w14:paraId="2EE204AC" w14:textId="0EEBA0D7" w:rsidR="00B96EA0"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(7)每日至多處方3粒</w:t>
      </w:r>
      <w:r w:rsidR="004C3CC5" w:rsidRPr="004C3CC5">
        <w:rPr>
          <w:rFonts w:ascii="標楷體" w:eastAsia="標楷體" w:hAnsi="標楷體" w:hint="eastAsia"/>
          <w:color w:val="000000"/>
        </w:rPr>
        <w:t>。</w:t>
      </w:r>
      <w:bookmarkEnd w:id="21"/>
    </w:p>
    <w:p w14:paraId="2FD9FE12" w14:textId="77777777"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w:t>
      </w:r>
      <w:proofErr w:type="spellStart"/>
      <w:r>
        <w:rPr>
          <w:rFonts w:ascii="標楷體" w:eastAsia="標楷體" w:hAnsi="標楷體"/>
          <w:color w:val="000000"/>
        </w:rPr>
        <w:t>Pomalyst</w:t>
      </w:r>
      <w:proofErr w:type="spellEnd"/>
      <w:r>
        <w:rPr>
          <w:rFonts w:ascii="標楷體" w:eastAsia="標楷體" w:hAnsi="標楷體"/>
          <w:color w:val="000000"/>
        </w:rPr>
        <w:t>):(107/1/1、109/2/1、112/4/1、113/9/1)</w:t>
      </w:r>
    </w:p>
    <w:p w14:paraId="58F4CC3C"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1.與dexamethasone合併使用，核准用於多發性骨髓瘤病人，且先前接受過含lenalidomide和bortezomib在內的至少兩種療法，且確認完成前次治療時或結束治療後六十天內發生疾病惡化(disease progression)。</w:t>
      </w:r>
    </w:p>
    <w:p w14:paraId="424BEF84"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2.限與</w:t>
      </w:r>
      <w:proofErr w:type="spellStart"/>
      <w:r>
        <w:rPr>
          <w:rFonts w:ascii="標楷體" w:eastAsia="標楷體" w:hAnsi="標楷體"/>
          <w:color w:val="000000"/>
        </w:rPr>
        <w:t>elotuzumab</w:t>
      </w:r>
      <w:proofErr w:type="spellEnd"/>
      <w:r>
        <w:rPr>
          <w:rFonts w:ascii="標楷體" w:eastAsia="標楷體" w:hAnsi="標楷體"/>
          <w:color w:val="000000"/>
        </w:rPr>
        <w:t>及dexamethasone併用，治療之前曾接受過至少兩種療法（包括lenalidomide和蛋白酶體抑制劑）的多發性骨髓瘤成年病人。（113/9/1）</w:t>
      </w:r>
    </w:p>
    <w:p w14:paraId="76306CFF"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14:paraId="3AD26EDE"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14:paraId="35F41AC8"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Ⅰ.具有下列任一疾病惡化的指標： 病人開始治療前須在連續2次評估中均符合同一指標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70B44637" w14:textId="77777777"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14:paraId="4EF6AAD5" w14:textId="77777777" w:rsidR="00B96EA0" w:rsidRDefault="007D66B8" w:rsidP="005142EB">
      <w:pPr>
        <w:tabs>
          <w:tab w:val="left" w:pos="1418"/>
        </w:tabs>
        <w:spacing w:line="400" w:lineRule="exact"/>
        <w:ind w:left="1291" w:hanging="245"/>
      </w:pPr>
      <w:proofErr w:type="spellStart"/>
      <w:r>
        <w:rPr>
          <w:rFonts w:ascii="新細明體" w:hAnsi="新細明體" w:cs="新細明體"/>
          <w:color w:val="000000"/>
        </w:rPr>
        <w:lastRenderedPageBreak/>
        <w:t>ⅱ</w:t>
      </w:r>
      <w:r>
        <w:rPr>
          <w:rFonts w:ascii="標楷體" w:eastAsia="標楷體" w:hAnsi="標楷體"/>
          <w:color w:val="000000"/>
        </w:rPr>
        <w:t>.Urine</w:t>
      </w:r>
      <w:proofErr w:type="spellEnd"/>
      <w:r>
        <w:rPr>
          <w:rFonts w:ascii="標楷體" w:eastAsia="標楷體" w:hAnsi="標楷體"/>
          <w:color w:val="000000"/>
        </w:rPr>
        <w:t xml:space="preserve"> M-protein需增加≧0.2 gm/24Hr，且需較前一線治療中的最低值增加≧25%。</w:t>
      </w:r>
    </w:p>
    <w:p w14:paraId="68049B26"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病人，骨髓漿細胞 (plasma cells)之比例絕對值增加≧10%，且需較前一線治療中的最低值增加≧25%。</w:t>
      </w:r>
    </w:p>
    <w:p w14:paraId="13C0DE9E"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14:paraId="692916C2" w14:textId="77777777" w:rsidR="00B96EA0" w:rsidRDefault="007D66B8" w:rsidP="005142EB">
      <w:pPr>
        <w:tabs>
          <w:tab w:val="left" w:pos="1418"/>
        </w:tabs>
        <w:spacing w:line="400" w:lineRule="exact"/>
        <w:ind w:left="1291" w:hanging="245"/>
        <w:rPr>
          <w:rFonts w:ascii="標楷體" w:eastAsia="標楷體" w:hAnsi="標楷體"/>
          <w:color w:val="000000"/>
        </w:rPr>
      </w:pPr>
      <w:proofErr w:type="spellStart"/>
      <w:r>
        <w:rPr>
          <w:rFonts w:ascii="標楷體" w:eastAsia="標楷體" w:hAnsi="標楷體"/>
          <w:color w:val="000000"/>
        </w:rPr>
        <w:t>v.Plasmacytoma</w:t>
      </w:r>
      <w:proofErr w:type="spellEnd"/>
      <w:r>
        <w:rPr>
          <w:rFonts w:ascii="標楷體" w:eastAsia="標楷體" w:hAnsi="標楷體"/>
          <w:color w:val="000000"/>
        </w:rPr>
        <w:t>體積增加≧50%。</w:t>
      </w:r>
    </w:p>
    <w:p w14:paraId="685AF5A1"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048E0393"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Ⅱ.出現下列任一臨床症狀：（112/4/1）</w:t>
      </w:r>
    </w:p>
    <w:p w14:paraId="572BC8F6" w14:textId="77777777"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45C965CD" w14:textId="77777777" w:rsidR="00B96EA0" w:rsidRDefault="007D66B8" w:rsidP="005142EB">
      <w:pPr>
        <w:tabs>
          <w:tab w:val="left" w:pos="1418"/>
        </w:tabs>
        <w:spacing w:line="400" w:lineRule="exact"/>
        <w:ind w:left="1291" w:hanging="245"/>
      </w:pPr>
      <w:proofErr w:type="spellStart"/>
      <w:r>
        <w:rPr>
          <w:rFonts w:ascii="新細明體" w:hAnsi="新細明體" w:cs="新細明體"/>
          <w:color w:val="000000"/>
        </w:rPr>
        <w:t>ⅱ</w:t>
      </w:r>
      <w:r>
        <w:rPr>
          <w:rFonts w:ascii="標楷體" w:eastAsia="標楷體" w:hAnsi="標楷體"/>
          <w:color w:val="000000"/>
        </w:rPr>
        <w:t>.Plasmacytoma</w:t>
      </w:r>
      <w:proofErr w:type="spellEnd"/>
      <w:r>
        <w:rPr>
          <w:rFonts w:ascii="標楷體" w:eastAsia="標楷體" w:hAnsi="標楷體"/>
          <w:color w:val="000000"/>
        </w:rPr>
        <w:t xml:space="preserve"> 體積增加≧50%。</w:t>
      </w:r>
    </w:p>
    <w:p w14:paraId="5A533A8B"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iii.高血鈣(corrected serum calcium＞11.0 mg/dL 或 2.75 mmol/L)。</w:t>
      </w:r>
    </w:p>
    <w:p w14:paraId="45F9D4DE"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 2gm/dL且無其他原因可以解釋)。</w:t>
      </w:r>
    </w:p>
    <w:p w14:paraId="1C68117B"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v.腎功能惡化(eGFR需下降幅度≧25%)，且無其他原因可以解釋。</w:t>
      </w:r>
    </w:p>
    <w:p w14:paraId="5F736470"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14:paraId="68E104D6"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14:paraId="1B837204"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w:t>
      </w:r>
      <w:proofErr w:type="spellStart"/>
      <w:r>
        <w:rPr>
          <w:rFonts w:ascii="標楷體" w:eastAsia="標楷體" w:hAnsi="標楷體"/>
          <w:color w:val="000000"/>
        </w:rPr>
        <w:t>Pomado</w:t>
      </w:r>
      <w:proofErr w:type="spellEnd"/>
      <w:r>
        <w:rPr>
          <w:rFonts w:ascii="標楷體" w:eastAsia="標楷體" w:hAnsi="標楷體"/>
          <w:color w:val="000000"/>
        </w:rPr>
        <w:t>則每人以6個療程為上限。（107/1/1、112/4/1、113/9/1）</w:t>
      </w:r>
    </w:p>
    <w:p w14:paraId="1CB9C8FD"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14:paraId="1E605AF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w:t>
      </w:r>
      <w:proofErr w:type="spellStart"/>
      <w:r>
        <w:rPr>
          <w:rFonts w:ascii="標楷體" w:eastAsia="標楷體" w:hAnsi="標楷體"/>
          <w:color w:val="000000"/>
        </w:rPr>
        <w:t>Pomado</w:t>
      </w:r>
      <w:proofErr w:type="spellEnd"/>
      <w:r>
        <w:rPr>
          <w:rFonts w:ascii="標楷體" w:eastAsia="標楷體" w:hAnsi="標楷體"/>
          <w:color w:val="000000"/>
        </w:rPr>
        <w:t>則每人6個療程）或使用期間發生疾病惡化為止。（112/4/1、113/9/1）</w:t>
      </w:r>
    </w:p>
    <w:p w14:paraId="718E9363"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7.每日最多處方1粒(113/9/1)</w:t>
      </w:r>
    </w:p>
    <w:p w14:paraId="05B93F1F" w14:textId="77777777"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w:t>
      </w:r>
      <w:proofErr w:type="spellStart"/>
      <w:r>
        <w:rPr>
          <w:rFonts w:ascii="標楷體" w:eastAsia="標楷體" w:hAnsi="標楷體"/>
          <w:color w:val="000000"/>
        </w:rPr>
        <w:t>Lenvima</w:t>
      </w:r>
      <w:proofErr w:type="spellEnd"/>
      <w:r>
        <w:rPr>
          <w:rFonts w:ascii="標楷體" w:eastAsia="標楷體" w:hAnsi="標楷體"/>
          <w:color w:val="000000"/>
        </w:rPr>
        <w:t>)：(107/7/1、109/1/1、109/8/1、112/8/1、114/2/1、114/6/1)</w:t>
      </w:r>
      <w:r>
        <w:rPr>
          <w:rFonts w:ascii="標楷體" w:eastAsia="標楷體" w:hAnsi="標楷體"/>
          <w:color w:val="000000"/>
        </w:rPr>
        <w:br/>
        <w:t>1.用於放射性碘治療無效之局部晚期或轉移性的進行性(progressive)分化型甲狀腺癌(RAI-RDTC)：</w:t>
      </w:r>
    </w:p>
    <w:p w14:paraId="2EB72902" w14:textId="77777777"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14:paraId="43ACF3AA" w14:textId="77777777"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14:paraId="5D0C949A" w14:textId="77777777"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2.晚期肝細胞癌部分：(109/1/1、109/8/1、112/8/1、114/2/1、114/6/1)</w:t>
      </w:r>
    </w:p>
    <w:p w14:paraId="46ADBB9A" w14:textId="77777777"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14:paraId="1202CCC1"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lastRenderedPageBreak/>
        <w:t>I.肝外轉移（遠端轉移或肝外淋巴結侵犯）。</w:t>
      </w:r>
    </w:p>
    <w:p w14:paraId="1075B85F"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14:paraId="0F2EC717"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III.經導管動脈化學藥物栓塞治療（Transcatheter arterial chemo embolization, T.A.C.E.）失敗者，需提供患者於12個月內&gt;=3次局部治療之記錄。</w:t>
      </w:r>
    </w:p>
    <w:p w14:paraId="10988823" w14:textId="77777777"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14:paraId="46AB64D5" w14:textId="77777777"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t>(3)Lenvatinib、sorafenib、atezolizumab併用bevacizumab、</w:t>
      </w:r>
      <w:proofErr w:type="spellStart"/>
      <w:r>
        <w:rPr>
          <w:rFonts w:ascii="標楷體" w:eastAsia="標楷體" w:hAnsi="標楷體"/>
          <w:color w:val="000000"/>
        </w:rPr>
        <w:t>tremelimumab</w:t>
      </w:r>
      <w:proofErr w:type="spellEnd"/>
      <w:r>
        <w:rPr>
          <w:rFonts w:ascii="標楷體" w:eastAsia="標楷體" w:hAnsi="標楷體"/>
          <w:color w:val="000000"/>
        </w:rPr>
        <w:t>併用durvalumab僅得擇一給付，不得互換；且</w:t>
      </w:r>
      <w:proofErr w:type="spellStart"/>
      <w:r>
        <w:rPr>
          <w:rFonts w:ascii="標楷體" w:eastAsia="標楷體" w:hAnsi="標楷體"/>
          <w:color w:val="000000"/>
        </w:rPr>
        <w:t>lenvatinib</w:t>
      </w:r>
      <w:proofErr w:type="spellEnd"/>
      <w:r>
        <w:rPr>
          <w:rFonts w:ascii="標楷體" w:eastAsia="標楷體" w:hAnsi="標楷體"/>
          <w:color w:val="000000"/>
        </w:rPr>
        <w:t>治療失敗後，不得申請使用regorafenib或ramucirumab。(109/1/1、109/8/1、112/8/1、114/2/1)</w:t>
      </w:r>
    </w:p>
    <w:p w14:paraId="3848091C" w14:textId="77777777"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9.64.Blinatumomab(如</w:t>
      </w:r>
      <w:proofErr w:type="spellStart"/>
      <w:r>
        <w:rPr>
          <w:rFonts w:ascii="標楷體" w:eastAsia="標楷體" w:hAnsi="標楷體"/>
          <w:color w:val="000000"/>
        </w:rPr>
        <w:t>Blincyto</w:t>
      </w:r>
      <w:proofErr w:type="spellEnd"/>
      <w:r>
        <w:rPr>
          <w:rFonts w:ascii="標楷體" w:eastAsia="標楷體" w:hAnsi="標楷體"/>
          <w:color w:val="000000"/>
        </w:rPr>
        <w:t>)：(107/9/1、109/12/1、112/12/1)</w:t>
      </w:r>
    </w:p>
    <w:p w14:paraId="3E9246D2"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適用於治療先前接受至少兩種化療療程(如TPOG之療程表)治療無效或已復發第二次或以上費城染色體陰性復發型或頑固型B細胞前驅因子之急性淋巴芽細胞白血病之(Ph(-) Relapse/Refractory B-cell precursor Acute Lymphoblastic Leukemia；Ph(-) B-cell precursor R/R ALL)成人病人，且計畫進行造血幹細胞移植的病人，每位病人限給付2療程。</w:t>
      </w:r>
    </w:p>
    <w:p w14:paraId="0CB3C35A"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2.用於復發型或頑固型B細胞前驅細胞之急性淋巴芽細胞白血病之未滿18歲兒童病人，且計畫進行造血幹細胞移植的病人，每位病人限給付2療程，不得與clofarabine併用。（109/12/1）</w:t>
      </w:r>
    </w:p>
    <w:p w14:paraId="675A1E19" w14:textId="77777777"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微量殘留病灶(MRD)陽性B細胞前驅細胞之急性淋巴芽細胞白血病：(112/12/1)</w:t>
      </w:r>
    </w:p>
    <w:p w14:paraId="07418D16" w14:textId="77777777"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(1)符合以下任一條件：</w:t>
      </w:r>
    </w:p>
    <w:p w14:paraId="78CE3CF6" w14:textId="77777777" w:rsidR="00B96EA0" w:rsidRDefault="007D66B8" w:rsidP="005142EB">
      <w:pPr>
        <w:spacing w:line="400" w:lineRule="exact"/>
        <w:ind w:left="1190" w:hanging="230"/>
      </w:pPr>
      <w:r>
        <w:rPr>
          <w:rFonts w:ascii="標楷體" w:eastAsia="標楷體" w:hAnsi="標楷體"/>
          <w:szCs w:val="24"/>
        </w:rPr>
        <w:t>I.初次治療B細胞前驅細胞之急性淋巴芽細胞白血病成人病人，接受過至少三次高強度化學治療療程後，達第一次完全緩解，但仍有大於或等於0.1%微量殘留病灶，且計畫進行造血幹細胞移植，需附上至少三次微量殘留病灶檢驗報告。</w:t>
      </w:r>
    </w:p>
    <w:p w14:paraId="1B059D82" w14:textId="77777777" w:rsidR="00B96EA0" w:rsidRDefault="007D66B8" w:rsidP="005142EB">
      <w:pPr>
        <w:spacing w:line="400" w:lineRule="exact"/>
        <w:ind w:left="1337" w:hanging="377"/>
      </w:pPr>
      <w:r>
        <w:rPr>
          <w:rFonts w:ascii="標楷體" w:eastAsia="標楷體" w:hAnsi="標楷體"/>
          <w:szCs w:val="24"/>
        </w:rPr>
        <w:t>II.第一線治療無效，經第二線治療達到第一次完全緩解之成人病人，但仍有大於或等於0.1%微量殘留病灶，且計劃進行造血幹細胞移植。需附上一次治療無效(骨髓或周邊血芽細胞大於5%)之檢驗報告，及一次經化學治療後微量殘留病灶檢驗報告。</w:t>
      </w:r>
    </w:p>
    <w:p w14:paraId="41784CAF" w14:textId="77777777"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14:paraId="3F22A1DA" w14:textId="77777777"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14:paraId="2EA7FE97" w14:textId="77777777"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(4)不得與酪胺酸激酶抑制劑(TKI)（如imatinib、</w:t>
      </w:r>
      <w:proofErr w:type="spellStart"/>
      <w:r>
        <w:rPr>
          <w:rFonts w:ascii="標楷體" w:eastAsia="標楷體" w:hAnsi="標楷體"/>
          <w:szCs w:val="24"/>
        </w:rPr>
        <w:t>dasatinib</w:t>
      </w:r>
      <w:proofErr w:type="spellEnd"/>
      <w:r>
        <w:rPr>
          <w:rFonts w:ascii="標楷體" w:eastAsia="標楷體" w:hAnsi="標楷體"/>
          <w:szCs w:val="24"/>
        </w:rPr>
        <w:t>、nilotinib、ponatinib）等併用。</w:t>
      </w:r>
    </w:p>
    <w:p w14:paraId="7DDEAAE3" w14:textId="77777777"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(5)若使用blinatumomab後，MRD若未消失但疾病仍在完全緩解時，不得申請給付</w:t>
      </w:r>
      <w:proofErr w:type="spellStart"/>
      <w:r>
        <w:rPr>
          <w:rFonts w:ascii="標楷體" w:eastAsia="標楷體" w:hAnsi="標楷體"/>
          <w:szCs w:val="24"/>
        </w:rPr>
        <w:lastRenderedPageBreak/>
        <w:t>inotuzumab</w:t>
      </w:r>
      <w:proofErr w:type="spellEnd"/>
      <w:r>
        <w:rPr>
          <w:rFonts w:ascii="標楷體" w:eastAsia="標楷體" w:hAnsi="標楷體"/>
          <w:szCs w:val="24"/>
        </w:rPr>
        <w:t xml:space="preserve"> </w:t>
      </w:r>
      <w:proofErr w:type="spellStart"/>
      <w:r>
        <w:rPr>
          <w:rFonts w:ascii="標楷體" w:eastAsia="標楷體" w:hAnsi="標楷體"/>
          <w:szCs w:val="24"/>
        </w:rPr>
        <w:t>ozogamicin</w:t>
      </w:r>
      <w:proofErr w:type="spellEnd"/>
      <w:r>
        <w:rPr>
          <w:rFonts w:ascii="標楷體" w:eastAsia="標楷體" w:hAnsi="標楷體"/>
          <w:szCs w:val="24"/>
        </w:rPr>
        <w:t>。</w:t>
      </w:r>
    </w:p>
    <w:p w14:paraId="624EC3F8" w14:textId="77777777"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14:paraId="02C0E487"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14:paraId="3D0BC3F1" w14:textId="77777777"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14:paraId="0768D78A" w14:textId="77777777"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w:t>
      </w:r>
      <w:proofErr w:type="spellStart"/>
      <w:r>
        <w:rPr>
          <w:rFonts w:ascii="標楷體" w:eastAsia="標楷體" w:hAnsi="標楷體"/>
          <w:color w:val="000000"/>
        </w:rPr>
        <w:t>Folotyn</w:t>
      </w:r>
      <w:proofErr w:type="spellEnd"/>
      <w:r>
        <w:rPr>
          <w:rFonts w:ascii="標楷體" w:eastAsia="標楷體" w:hAnsi="標楷體"/>
          <w:color w:val="000000"/>
        </w:rPr>
        <w:t>)：(107/10/1、110/5/1)</w:t>
      </w:r>
    </w:p>
    <w:p w14:paraId="5C216B39"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1.用於接受化學治療失敗後之復發或頑固性周邊T細胞淋巴瘤(PTCL)病患，作為進行骨髓/造血幹細胞移植期間之銜接治療。</w:t>
      </w:r>
    </w:p>
    <w:p w14:paraId="091B5C5A"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14:paraId="79B298B9"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3.每人至多給付3個療程，第1個療程後需進行疾病評估，若病情仍持續惡化，應即停止使用。（110/5/1）</w:t>
      </w:r>
    </w:p>
    <w:p w14:paraId="03536D83" w14:textId="77777777" w:rsidR="00FA30DA" w:rsidRPr="00DD4159" w:rsidRDefault="00FA30DA" w:rsidP="00FA30DA">
      <w:pPr>
        <w:pStyle w:val="Default"/>
        <w:spacing w:line="400" w:lineRule="exact"/>
        <w:ind w:left="313" w:hanging="280"/>
      </w:pPr>
      <w:r w:rsidRPr="00FA30DA">
        <w:rPr>
          <w:rFonts w:ascii="標楷體" w:eastAsia="標楷體" w:hAnsi="標楷體"/>
          <w:color w:val="auto"/>
        </w:rPr>
        <w:t>9.66.Trifluridine/</w:t>
      </w:r>
      <w:proofErr w:type="spellStart"/>
      <w:r w:rsidRPr="00FA30DA">
        <w:rPr>
          <w:rFonts w:ascii="標楷體" w:eastAsia="標楷體" w:hAnsi="標楷體"/>
          <w:color w:val="auto"/>
        </w:rPr>
        <w:t>tipiracil</w:t>
      </w:r>
      <w:proofErr w:type="spellEnd"/>
      <w:r w:rsidRPr="00FA30DA">
        <w:rPr>
          <w:rFonts w:ascii="標楷體" w:eastAsia="標楷體" w:hAnsi="標楷體"/>
          <w:color w:val="auto"/>
        </w:rPr>
        <w:t>(如</w:t>
      </w:r>
      <w:proofErr w:type="spellStart"/>
      <w:r w:rsidRPr="00FA30DA">
        <w:rPr>
          <w:rFonts w:ascii="標楷體" w:eastAsia="標楷體" w:hAnsi="標楷體"/>
          <w:color w:val="auto"/>
        </w:rPr>
        <w:t>Lonsurf</w:t>
      </w:r>
      <w:proofErr w:type="spellEnd"/>
      <w:r w:rsidRPr="00FA30DA">
        <w:rPr>
          <w:rFonts w:ascii="標楷體" w:eastAsia="標楷體" w:hAnsi="標楷體"/>
          <w:color w:val="auto"/>
        </w:rPr>
        <w:t>)：(107/12/1、109/12/1、110/6/1、113/6/1、115/2/1、115/6/1)</w:t>
      </w:r>
    </w:p>
    <w:p w14:paraId="329CFD34" w14:textId="77777777" w:rsidR="00FA30DA" w:rsidRPr="00DD4159" w:rsidRDefault="00FA30DA" w:rsidP="00FA30DA">
      <w:pPr>
        <w:pStyle w:val="Default"/>
        <w:spacing w:line="400" w:lineRule="exact"/>
        <w:ind w:left="520" w:hanging="280"/>
      </w:pPr>
      <w:r w:rsidRPr="00DD4159">
        <w:rPr>
          <w:rFonts w:ascii="標楷體" w:eastAsia="標楷體" w:hAnsi="標楷體"/>
          <w:color w:val="auto"/>
        </w:rPr>
        <w:t xml:space="preserve">1.轉移性大腸直腸癌：(107/12/1、109/12/1、110/6/1、113/6/1、115/2/1、115/6/1) </w:t>
      </w:r>
    </w:p>
    <w:p w14:paraId="4BAA79BA" w14:textId="77777777" w:rsidR="00FA30DA" w:rsidRPr="00DD4159" w:rsidRDefault="00FA30DA" w:rsidP="00FA30DA">
      <w:pPr>
        <w:pStyle w:val="Default"/>
        <w:spacing w:line="400" w:lineRule="exact"/>
        <w:ind w:left="900" w:hanging="420"/>
        <w:rPr>
          <w:rFonts w:ascii="標楷體" w:eastAsia="標楷體" w:hAnsi="標楷體"/>
          <w:color w:val="auto"/>
        </w:rPr>
      </w:pPr>
      <w:r w:rsidRPr="00DD4159">
        <w:rPr>
          <w:rFonts w:ascii="標楷體" w:eastAsia="標楷體" w:hAnsi="標楷體"/>
          <w:color w:val="auto"/>
        </w:rPr>
        <w:t>(1)用於治療先前曾接受下列療法的轉移性大腸直腸癌之成人病人，包括fluoropyrimidine, oxaliplatin及irinotecan為基礎的化療，和抗血管內皮生長因子(anti-VEGF)等療法；若RAS為原生型(wild type)，則需再加上接受過抗表皮生長因子受體(anti-EGFR)療法。需檢附All-RAS基因突變分析檢測結果報告，且需符合全民健康保險藥品給付規定之通則十二。（110/6/1、113/6/1)</w:t>
      </w:r>
    </w:p>
    <w:p w14:paraId="660CAA23" w14:textId="77777777" w:rsidR="00FA30DA" w:rsidRPr="00DD4159" w:rsidRDefault="00FA30DA" w:rsidP="00FA30DA">
      <w:pPr>
        <w:pStyle w:val="Default"/>
        <w:spacing w:line="400" w:lineRule="exact"/>
        <w:ind w:left="900" w:hanging="420"/>
      </w:pPr>
      <w:r w:rsidRPr="00DD4159">
        <w:rPr>
          <w:rFonts w:ascii="標楷體" w:eastAsia="標楷體" w:hAnsi="標楷體"/>
          <w:color w:val="auto"/>
        </w:rPr>
        <w:t>(2)本藥品不得與regorafenib或</w:t>
      </w:r>
      <w:proofErr w:type="spellStart"/>
      <w:r w:rsidRPr="00DD4159">
        <w:rPr>
          <w:rFonts w:ascii="標楷體" w:eastAsia="標楷體" w:hAnsi="標楷體"/>
          <w:color w:val="auto"/>
        </w:rPr>
        <w:t>fruquintinib</w:t>
      </w:r>
      <w:proofErr w:type="spellEnd"/>
      <w:r w:rsidRPr="00DD4159">
        <w:rPr>
          <w:rFonts w:ascii="標楷體" w:eastAsia="標楷體" w:hAnsi="標楷體"/>
          <w:color w:val="auto"/>
        </w:rPr>
        <w:t>併用。(107/12/1、115/6/1）</w:t>
      </w:r>
    </w:p>
    <w:p w14:paraId="0EE7EB31" w14:textId="77777777" w:rsidR="00FA30DA" w:rsidRPr="00DD4159" w:rsidRDefault="00FA30DA" w:rsidP="00FA30DA">
      <w:pPr>
        <w:tabs>
          <w:tab w:val="left" w:pos="1418"/>
        </w:tabs>
        <w:spacing w:line="400" w:lineRule="exact"/>
        <w:ind w:left="993" w:hanging="388"/>
        <w:rPr>
          <w:rFonts w:ascii="標楷體" w:eastAsia="標楷體" w:hAnsi="標楷體"/>
          <w:color w:val="000000"/>
        </w:rPr>
      </w:pPr>
      <w:r w:rsidRPr="00DD4159">
        <w:rPr>
          <w:rFonts w:ascii="標楷體" w:eastAsia="標楷體" w:hAnsi="標楷體"/>
          <w:color w:val="000000"/>
        </w:rPr>
        <w:t>2.轉移性胃癌：(109/12/1、115/2/1)：用於治療先前曾接受兩種(含)以上治療（包括含fluoropyrimidine–、platinum–、</w:t>
      </w:r>
      <w:proofErr w:type="spellStart"/>
      <w:r w:rsidRPr="00DD4159">
        <w:rPr>
          <w:rFonts w:ascii="標楷體" w:eastAsia="標楷體" w:hAnsi="標楷體"/>
          <w:color w:val="000000"/>
        </w:rPr>
        <w:t>taxane</w:t>
      </w:r>
      <w:proofErr w:type="spellEnd"/>
      <w:r w:rsidRPr="00DD4159">
        <w:rPr>
          <w:rFonts w:ascii="標楷體" w:eastAsia="標楷體" w:hAnsi="標楷體"/>
          <w:color w:val="000000"/>
        </w:rPr>
        <w:t>–或 irinotecan為基礎的化學療法，以及HER2/neu標靶治療[如果適合]）的轉移性胃腺癌或胃食道接合處腺癌病人。</w:t>
      </w:r>
    </w:p>
    <w:p w14:paraId="424C614F" w14:textId="72366E8B" w:rsidR="00B96EA0" w:rsidRDefault="00FA30DA" w:rsidP="00FA30DA">
      <w:pPr>
        <w:tabs>
          <w:tab w:val="left" w:pos="1418"/>
        </w:tabs>
        <w:spacing w:line="400" w:lineRule="exact"/>
        <w:ind w:left="993" w:hanging="388"/>
        <w:rPr>
          <w:rFonts w:ascii="標楷體" w:eastAsia="標楷體" w:hAnsi="標楷體"/>
          <w:color w:val="000000"/>
        </w:rPr>
      </w:pPr>
      <w:r w:rsidRPr="00DD4159">
        <w:rPr>
          <w:rFonts w:ascii="標楷體" w:eastAsia="標楷體" w:hAnsi="標楷體" w:hint="eastAsia"/>
          <w:color w:val="000000"/>
        </w:rPr>
        <w:t>3.</w:t>
      </w:r>
      <w:r w:rsidRPr="00DD4159">
        <w:rPr>
          <w:rFonts w:ascii="標楷體" w:eastAsia="標楷體" w:hAnsi="標楷體"/>
          <w:color w:val="000000"/>
        </w:rPr>
        <w:t>病歷應留存確診之病理或檢查報告及影像診斷證明等，並紀錄治療相關臨床資料，以備查核。倘病人臨床症狀或影像顯示疾病惡化，則應停藥。(115/2/1)</w:t>
      </w:r>
    </w:p>
    <w:p w14:paraId="073DE873" w14:textId="77777777" w:rsidR="00B96EA0" w:rsidRDefault="00A3054C"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9.67.Ponatinib(如</w:t>
      </w:r>
      <w:proofErr w:type="spellStart"/>
      <w:r>
        <w:rPr>
          <w:rFonts w:ascii="標楷體" w:eastAsia="標楷體" w:hAnsi="標楷體"/>
          <w:color w:val="000000"/>
        </w:rPr>
        <w:t>Iclusig</w:t>
      </w:r>
      <w:proofErr w:type="spellEnd"/>
      <w:r>
        <w:rPr>
          <w:rFonts w:ascii="標楷體" w:eastAsia="標楷體" w:hAnsi="標楷體"/>
          <w:color w:val="000000"/>
        </w:rPr>
        <w:t>)：(107/12/1、113/6/1</w:t>
      </w:r>
      <w:r>
        <w:rPr>
          <w:rFonts w:ascii="標楷體" w:eastAsia="標楷體" w:hAnsi="標楷體" w:hint="eastAsia"/>
          <w:color w:val="000000"/>
        </w:rPr>
        <w:t>、115/2/1</w:t>
      </w:r>
      <w:r>
        <w:rPr>
          <w:rFonts w:ascii="標楷體" w:eastAsia="標楷體" w:hAnsi="標楷體"/>
          <w:color w:val="000000"/>
        </w:rPr>
        <w:t>)</w:t>
      </w:r>
    </w:p>
    <w:p w14:paraId="6D0B3899"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1.用於費城染色體陽性或BCR-ABL融合基因陽性之慢性骨髓性白血病(CML)或急性淋巴性白血病(ALL)成人患者，且符合下列條件之一：</w:t>
      </w:r>
    </w:p>
    <w:p w14:paraId="628747F5"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14:paraId="7AE05DF0"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w:t>
      </w:r>
      <w:r>
        <w:rPr>
          <w:rFonts w:ascii="標楷體" w:eastAsia="標楷體" w:hAnsi="標楷體" w:hint="eastAsia"/>
          <w:color w:val="000000"/>
        </w:rPr>
        <w:t>、</w:t>
      </w:r>
      <w:proofErr w:type="spellStart"/>
      <w:r>
        <w:rPr>
          <w:rFonts w:ascii="標楷體" w:eastAsia="標楷體" w:hAnsi="標楷體"/>
          <w:color w:val="000000"/>
        </w:rPr>
        <w:t>dasatinib</w:t>
      </w:r>
      <w:proofErr w:type="spellEnd"/>
      <w:r w:rsidRPr="001D0398">
        <w:rPr>
          <w:rFonts w:ascii="標楷體" w:eastAsia="標楷體" w:hAnsi="標楷體" w:hint="eastAsia"/>
          <w:color w:val="000000"/>
        </w:rPr>
        <w:t>與bosutinib</w:t>
      </w:r>
      <w:r>
        <w:rPr>
          <w:rFonts w:ascii="標楷體" w:eastAsia="標楷體" w:hAnsi="標楷體"/>
          <w:color w:val="000000"/>
        </w:rPr>
        <w:t>其中兩種(含)以上藥物治療失敗或無法耐受；</w:t>
      </w:r>
      <w:bookmarkStart w:id="22" w:name="_Hlk219965782"/>
      <w:r w:rsidR="001D5020" w:rsidRPr="001D5020">
        <w:rPr>
          <w:rFonts w:ascii="標楷體" w:eastAsia="標楷體" w:hAnsi="標楷體" w:hint="eastAsia"/>
          <w:color w:val="000000"/>
        </w:rPr>
        <w:t>(107/12/1、115/2/1)</w:t>
      </w:r>
      <w:bookmarkEnd w:id="22"/>
    </w:p>
    <w:p w14:paraId="0C80BB86"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w:t>
      </w:r>
      <w:proofErr w:type="spellStart"/>
      <w:r>
        <w:rPr>
          <w:rFonts w:ascii="標楷體" w:eastAsia="標楷體" w:hAnsi="標楷體"/>
          <w:color w:val="000000"/>
        </w:rPr>
        <w:t>dasatinib</w:t>
      </w:r>
      <w:proofErr w:type="spellEnd"/>
      <w:r>
        <w:rPr>
          <w:rFonts w:ascii="標楷體" w:eastAsia="標楷體" w:hAnsi="標楷體"/>
          <w:color w:val="000000"/>
        </w:rPr>
        <w:t>兩種藥物治療均失敗或無法耐受。</w:t>
      </w:r>
    </w:p>
    <w:p w14:paraId="41A6B68E"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2.需經事前審查核准後使用。首次申請事前審查之療程以3個月為限，之後每3個月需再次申請，再次申請時應檢附前次治療結果評估資料，包含BCR-ABL定量RT-PCR報告。</w:t>
      </w:r>
    </w:p>
    <w:p w14:paraId="33B64C3D"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14:paraId="73979427" w14:textId="77777777" w:rsidR="00B96EA0"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14:paraId="191B8DC3" w14:textId="77777777" w:rsidR="00B96EA0" w:rsidRDefault="007D66B8" w:rsidP="005142EB">
      <w:pPr>
        <w:tabs>
          <w:tab w:val="left" w:pos="1418"/>
        </w:tabs>
        <w:spacing w:line="400" w:lineRule="exact"/>
        <w:ind w:left="895" w:hanging="612"/>
      </w:pPr>
      <w:r>
        <w:rPr>
          <w:rFonts w:ascii="標楷體" w:eastAsia="標楷體" w:hAnsi="標楷體"/>
          <w:color w:val="000000"/>
        </w:rPr>
        <w:t>9.68.Radium-223(如</w:t>
      </w:r>
      <w:proofErr w:type="spellStart"/>
      <w:r>
        <w:rPr>
          <w:rFonts w:ascii="標楷體" w:eastAsia="標楷體" w:hAnsi="標楷體"/>
          <w:color w:val="000000"/>
        </w:rPr>
        <w:t>Xofigo</w:t>
      </w:r>
      <w:proofErr w:type="spellEnd"/>
      <w:r>
        <w:rPr>
          <w:rFonts w:ascii="標楷體" w:eastAsia="標楷體" w:hAnsi="標楷體"/>
          <w:color w:val="000000"/>
        </w:rPr>
        <w:t>)</w:t>
      </w:r>
      <w:r>
        <w:rPr>
          <w:rFonts w:ascii="新細明體" w:hAnsi="新細明體"/>
          <w:color w:val="000000"/>
        </w:rPr>
        <w:t>：</w:t>
      </w:r>
      <w:r>
        <w:rPr>
          <w:rFonts w:ascii="標楷體" w:eastAsia="標楷體" w:hAnsi="標楷體"/>
          <w:color w:val="000000"/>
        </w:rPr>
        <w:t>(108/3/1)</w:t>
      </w:r>
    </w:p>
    <w:p w14:paraId="511A3367" w14:textId="77777777" w:rsidR="00B96EA0" w:rsidRDefault="007D66B8" w:rsidP="005142EB">
      <w:pPr>
        <w:tabs>
          <w:tab w:val="left" w:pos="1418"/>
        </w:tabs>
        <w:spacing w:line="400" w:lineRule="exact"/>
        <w:ind w:left="283"/>
        <w:rPr>
          <w:rFonts w:ascii="標楷體" w:eastAsia="標楷體" w:hAnsi="標楷體"/>
          <w:color w:val="000000"/>
        </w:rPr>
      </w:pPr>
      <w:r>
        <w:rPr>
          <w:rFonts w:ascii="標楷體" w:eastAsia="標楷體" w:hAnsi="標楷體"/>
          <w:color w:val="000000"/>
        </w:rPr>
        <w:t>限用於治療去勢抗性攝護腺癌(castration-resistant prostate cancer)病患，其合併有症狀的骨轉移且尚未有臟器轉移者，且病人須符合下列三項條件：</w:t>
      </w:r>
    </w:p>
    <w:p w14:paraId="7532CDC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患者須合併有症狀之骨轉移且骨轉移≧2處</w:t>
      </w:r>
    </w:p>
    <w:p w14:paraId="390D69EB"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14:paraId="52A52460"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須經事前審查核准後使用，申請時需檢附：</w:t>
      </w:r>
    </w:p>
    <w:p w14:paraId="24716612"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14:paraId="2D65894C"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.三個月內影像報告證明骨轉移≧2處</w:t>
      </w:r>
    </w:p>
    <w:p w14:paraId="2B50EA66"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14:paraId="5A3D10F6"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14:paraId="7F6B979A" w14:textId="77777777" w:rsidR="004374CA" w:rsidRDefault="004374CA" w:rsidP="004374CA">
      <w:pPr>
        <w:tabs>
          <w:tab w:val="left" w:pos="1418"/>
        </w:tabs>
        <w:spacing w:line="400" w:lineRule="exact"/>
        <w:ind w:left="895" w:hanging="612"/>
      </w:pPr>
      <w:bookmarkStart w:id="23" w:name="_Hlk209192581"/>
      <w:r>
        <w:rPr>
          <w:rFonts w:ascii="標楷體" w:eastAsia="標楷體" w:hAnsi="標楷體"/>
        </w:rPr>
        <w:t>9.69.免疫檢查點抑制劑(如atezolizumab；nivolumab；pembrolizumab；avelumab</w:t>
      </w:r>
      <w:r>
        <w:rPr>
          <w:rFonts w:ascii="標楷體" w:eastAsia="標楷體" w:hAnsi="標楷體" w:cs="標楷體.鬁..."/>
          <w:kern w:val="0"/>
          <w:szCs w:val="24"/>
        </w:rPr>
        <w:t>；ipilimumab</w:t>
      </w:r>
      <w:r>
        <w:rPr>
          <w:rFonts w:ascii="標楷體" w:eastAsia="標楷體" w:hAnsi="標楷體"/>
        </w:rPr>
        <w:t>；durvalumab；</w:t>
      </w:r>
      <w:proofErr w:type="spellStart"/>
      <w:r>
        <w:rPr>
          <w:rFonts w:ascii="標楷體" w:eastAsia="標楷體" w:hAnsi="標楷體"/>
        </w:rPr>
        <w:t>tremelimumab</w:t>
      </w:r>
      <w:proofErr w:type="spellEnd"/>
      <w:r>
        <w:rPr>
          <w:rFonts w:ascii="標楷體" w:eastAsia="標楷體" w:hAnsi="標楷體"/>
          <w:szCs w:val="24"/>
        </w:rPr>
        <w:t>；</w:t>
      </w:r>
      <w:proofErr w:type="spellStart"/>
      <w:r>
        <w:rPr>
          <w:rFonts w:ascii="標楷體" w:eastAsia="標楷體" w:hAnsi="標楷體"/>
          <w:szCs w:val="24"/>
        </w:rPr>
        <w:t>cemiplimab</w:t>
      </w:r>
      <w:proofErr w:type="spellEnd"/>
      <w:r>
        <w:rPr>
          <w:rFonts w:ascii="標楷體" w:eastAsia="標楷體" w:hAnsi="標楷體"/>
        </w:rPr>
        <w:t>製劑)：(108/4/1、108/6/1、109/4/1、109/6/1、109/11/1、110/5/1、110/10/1、111/4/1、111/6/1、112/8/1、112/10/1</w:t>
      </w:r>
      <w:r>
        <w:rPr>
          <w:rFonts w:ascii="標楷體" w:eastAsia="標楷體" w:hAnsi="標楷體"/>
          <w:szCs w:val="24"/>
        </w:rPr>
        <w:t>、112/12/1、113/2/1、113/4/</w:t>
      </w:r>
      <w:r>
        <w:rPr>
          <w:rFonts w:ascii="標楷體" w:eastAsia="標楷體" w:hAnsi="標楷體"/>
        </w:rPr>
        <w:t>1、113/5/1、113/6/1、113/8/1、114/1/1、114/2/1、114/6/1、114/8/1、114/10/1、115/2/1、115/4/1</w:t>
      </w:r>
      <w:r>
        <w:rPr>
          <w:rFonts w:ascii="標楷體" w:eastAsia="標楷體" w:hAnsi="標楷體"/>
          <w:szCs w:val="24"/>
        </w:rPr>
        <w:t>、115/5/1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szCs w:val="24"/>
        </w:rPr>
        <w:t>)</w:t>
      </w:r>
    </w:p>
    <w:bookmarkEnd w:id="23"/>
    <w:p w14:paraId="5DA3FA29" w14:textId="77777777" w:rsidR="004374CA" w:rsidRDefault="004374CA" w:rsidP="004374CA">
      <w:pPr>
        <w:tabs>
          <w:tab w:val="left" w:pos="945"/>
        </w:tabs>
        <w:spacing w:line="400" w:lineRule="exact"/>
        <w:ind w:left="849" w:hanging="283"/>
        <w:rPr>
          <w:rFonts w:ascii="標楷體" w:eastAsia="標楷體" w:hAnsi="標楷體"/>
        </w:rPr>
      </w:pPr>
      <w:r>
        <w:rPr>
          <w:rFonts w:ascii="標楷體" w:eastAsia="標楷體" w:hAnsi="標楷體"/>
        </w:rPr>
        <w:t>1.本類藥品得於藥品許可證登載之適應症及藥品仿單內，單獨使用於下列患者：</w:t>
      </w:r>
    </w:p>
    <w:p w14:paraId="76C0E39D" w14:textId="77777777" w:rsidR="004374CA" w:rsidRDefault="004374CA" w:rsidP="004374CA">
      <w:pPr>
        <w:spacing w:line="400" w:lineRule="exact"/>
        <w:ind w:left="1134" w:hanging="386"/>
        <w:rPr>
          <w:rFonts w:ascii="標楷體" w:eastAsia="標楷體" w:hAnsi="標楷體"/>
        </w:rPr>
      </w:pPr>
      <w:r>
        <w:rPr>
          <w:rFonts w:ascii="標楷體" w:eastAsia="標楷體" w:hAnsi="標楷體"/>
        </w:rPr>
        <w:t>(1)黑色素瘤：腫瘤無法切除或轉移之第三期或第四期黑色素瘤病人，先前曾接受過至少一次全身性治療失敗者。</w:t>
      </w:r>
    </w:p>
    <w:p w14:paraId="60E8ED60" w14:textId="77777777" w:rsidR="004374CA" w:rsidRDefault="004374CA" w:rsidP="004374CA">
      <w:pPr>
        <w:spacing w:line="400" w:lineRule="exact"/>
        <w:ind w:left="1134" w:hanging="386"/>
      </w:pPr>
      <w:r>
        <w:rPr>
          <w:rFonts w:ascii="標楷體" w:eastAsia="標楷體" w:hAnsi="標楷體"/>
        </w:rPr>
        <w:t>(2)非小細胞肺癌：(109/4/1、109</w:t>
      </w:r>
      <w:r>
        <w:rPr>
          <w:rFonts w:ascii="標楷體" w:eastAsia="標楷體" w:hAnsi="標楷體"/>
          <w:szCs w:val="24"/>
        </w:rPr>
        <w:t>/11/1、114/6/1、114/8/1)</w:t>
      </w:r>
    </w:p>
    <w:p w14:paraId="62E77914" w14:textId="77777777" w:rsidR="004374CA" w:rsidRDefault="004374CA" w:rsidP="004374CA">
      <w:pPr>
        <w:numPr>
          <w:ilvl w:val="2"/>
          <w:numId w:val="44"/>
        </w:numPr>
        <w:suppressAutoHyphens w:val="0"/>
        <w:spacing w:line="400" w:lineRule="exact"/>
        <w:ind w:left="1418" w:hanging="425"/>
        <w:textAlignment w:val="auto"/>
      </w:pPr>
      <w:bookmarkStart w:id="24" w:name="_Hlk196237903"/>
      <w:bookmarkStart w:id="25" w:name="_Hlk196827702"/>
      <w:r>
        <w:rPr>
          <w:rFonts w:ascii="標楷體" w:eastAsia="標楷體" w:hAnsi="標楷體"/>
          <w:szCs w:val="24"/>
        </w:rPr>
        <w:t>鞏固治療：限durvalumab用於第三期局部晚期</w:t>
      </w:r>
      <w:bookmarkEnd w:id="24"/>
      <w:r>
        <w:rPr>
          <w:rFonts w:ascii="標楷體" w:eastAsia="標楷體" w:hAnsi="標楷體"/>
          <w:szCs w:val="24"/>
        </w:rPr>
        <w:t xml:space="preserve">、無法手術切除且腫瘤表現PD-L1 </w:t>
      </w:r>
      <w:r>
        <w:rPr>
          <w:rFonts w:ascii="Times New Roman" w:eastAsia="標楷體" w:hAnsi="Times New Roman"/>
          <w:szCs w:val="24"/>
        </w:rPr>
        <w:t>≥</w:t>
      </w:r>
      <w:r>
        <w:rPr>
          <w:rFonts w:ascii="標楷體" w:eastAsia="標楷體" w:hAnsi="標楷體"/>
          <w:szCs w:val="24"/>
        </w:rPr>
        <w:t xml:space="preserve"> 1%之非小細胞肺癌成人病人，非鱗狀癌者需為EGFR/ALK/ROS-1腫瘤基因原生型、鱗狀癌者需為EGFR/ALK腫瘤基因原生型，病人須於接受根治性同步放射治療合併至少2個週期含鉑化療後無惡化(無PD)，且至多使用12個月。(114/8/1)</w:t>
      </w:r>
    </w:p>
    <w:p w14:paraId="651CE21C" w14:textId="77777777" w:rsidR="004374CA" w:rsidRDefault="004374CA" w:rsidP="004374CA">
      <w:pPr>
        <w:numPr>
          <w:ilvl w:val="2"/>
          <w:numId w:val="44"/>
        </w:numPr>
        <w:suppressAutoHyphens w:val="0"/>
        <w:spacing w:line="400" w:lineRule="exact"/>
        <w:ind w:left="1418" w:hanging="425"/>
        <w:textAlignment w:val="auto"/>
      </w:pPr>
      <w:r w:rsidRPr="000243CF">
        <w:rPr>
          <w:rFonts w:ascii="標楷體" w:eastAsia="標楷體" w:hAnsi="標楷體"/>
          <w:szCs w:val="24"/>
        </w:rPr>
        <w:t>非小細胞肺癌第一線用藥：</w:t>
      </w:r>
      <w:bookmarkEnd w:id="25"/>
      <w:r w:rsidRPr="000243CF">
        <w:rPr>
          <w:rFonts w:ascii="標楷體" w:eastAsia="標楷體" w:hAnsi="標楷體"/>
          <w:szCs w:val="24"/>
        </w:rPr>
        <w:t>轉移性非小細胞肺癌成人病人，非鱗狀癌者需為EGFR/ALK/ROS-1腫瘤基因原生型、鱗狀癌者需為EGFR/ALK腫瘤基因原生型。</w:t>
      </w:r>
      <w:bookmarkStart w:id="26" w:name="_Hlk196827708"/>
      <w:r w:rsidRPr="000243CF">
        <w:rPr>
          <w:rFonts w:ascii="標楷體" w:eastAsia="標楷體" w:hAnsi="標楷體"/>
          <w:szCs w:val="24"/>
        </w:rPr>
        <w:t>(114/6/1)</w:t>
      </w:r>
    </w:p>
    <w:p w14:paraId="201B30F4" w14:textId="77777777" w:rsidR="004374CA" w:rsidRPr="000243CF" w:rsidRDefault="004374CA" w:rsidP="004374CA">
      <w:pPr>
        <w:numPr>
          <w:ilvl w:val="2"/>
          <w:numId w:val="44"/>
        </w:numPr>
        <w:suppressAutoHyphens w:val="0"/>
        <w:spacing w:line="400" w:lineRule="exact"/>
        <w:ind w:left="1560" w:hanging="567"/>
        <w:textAlignment w:val="auto"/>
      </w:pPr>
      <w:r w:rsidRPr="000243CF">
        <w:rPr>
          <w:rFonts w:ascii="標楷體" w:eastAsia="標楷體" w:hAnsi="標楷體"/>
          <w:szCs w:val="24"/>
        </w:rPr>
        <w:t>鱗狀非小細胞肺癌第二線用藥：</w:t>
      </w:r>
      <w:bookmarkEnd w:id="26"/>
      <w:r w:rsidRPr="000243CF">
        <w:rPr>
          <w:rFonts w:ascii="標楷體" w:eastAsia="標楷體" w:hAnsi="標楷體"/>
          <w:szCs w:val="24"/>
        </w:rPr>
        <w:t>先前已使用過platinum類化學治療失敗後，</w:t>
      </w:r>
      <w:r w:rsidRPr="000243CF">
        <w:rPr>
          <w:rFonts w:ascii="標楷體" w:eastAsia="標楷體" w:hAnsi="標楷體"/>
          <w:szCs w:val="24"/>
        </w:rPr>
        <w:lastRenderedPageBreak/>
        <w:t>又有疾病惡化，且EGFR/ALK腫瘤基因為原生型之晚期鱗狀非小細胞肺癌成人病人。</w:t>
      </w:r>
      <w:bookmarkStart w:id="27" w:name="_Hlk196827713"/>
    </w:p>
    <w:p w14:paraId="4E31BFE1" w14:textId="77777777" w:rsidR="004374CA" w:rsidRDefault="004374CA" w:rsidP="004374CA">
      <w:pPr>
        <w:numPr>
          <w:ilvl w:val="2"/>
          <w:numId w:val="44"/>
        </w:numPr>
        <w:suppressAutoHyphens w:val="0"/>
        <w:spacing w:line="400" w:lineRule="exact"/>
        <w:ind w:left="1418" w:hanging="425"/>
        <w:textAlignment w:val="auto"/>
        <w:rPr>
          <w:rFonts w:ascii="標楷體" w:eastAsia="標楷體" w:hAnsi="標楷體"/>
          <w:kern w:val="0"/>
          <w:szCs w:val="24"/>
        </w:rPr>
      </w:pPr>
      <w:r>
        <w:rPr>
          <w:rFonts w:ascii="標楷體" w:eastAsia="標楷體" w:hAnsi="標楷體"/>
          <w:kern w:val="0"/>
          <w:szCs w:val="24"/>
        </w:rPr>
        <w:t>肺腺癌第三線用藥：</w:t>
      </w:r>
      <w:bookmarkEnd w:id="27"/>
      <w:r>
        <w:rPr>
          <w:rFonts w:ascii="標楷體" w:eastAsia="標楷體" w:hAnsi="標楷體"/>
          <w:kern w:val="0"/>
          <w:szCs w:val="24"/>
        </w:rPr>
        <w:t>先前已使用過platinum類及docetaxel/paclitaxel類二線(含)以上化學治療均失敗，又有疾病惡化，且EGFR/ALK/ROS-1腫瘤基因為原生型之晚期非小細胞肺腺癌成人病人。</w:t>
      </w:r>
    </w:p>
    <w:p w14:paraId="659B0044" w14:textId="77777777" w:rsidR="004374CA" w:rsidRDefault="004374CA" w:rsidP="004374CA">
      <w:pPr>
        <w:spacing w:line="400" w:lineRule="exact"/>
        <w:ind w:left="1134" w:hanging="386"/>
        <w:rPr>
          <w:rFonts w:ascii="標楷體" w:eastAsia="標楷體" w:hAnsi="標楷體"/>
        </w:rPr>
      </w:pPr>
      <w:r>
        <w:rPr>
          <w:rFonts w:ascii="標楷體" w:eastAsia="標楷體" w:hAnsi="標楷體"/>
        </w:rPr>
        <w:t xml:space="preserve">(3)典型何杰金氏淋巴瘤：先前已接受自體造血幹細胞移植(HSCT)與移植後brentuximab </w:t>
      </w:r>
      <w:proofErr w:type="spellStart"/>
      <w:r>
        <w:rPr>
          <w:rFonts w:ascii="標楷體" w:eastAsia="標楷體" w:hAnsi="標楷體"/>
        </w:rPr>
        <w:t>vedotin</w:t>
      </w:r>
      <w:proofErr w:type="spellEnd"/>
      <w:r>
        <w:rPr>
          <w:rFonts w:ascii="標楷體" w:eastAsia="標楷體" w:hAnsi="標楷體"/>
        </w:rPr>
        <w:t xml:space="preserve"> (BV)治療，但又復發或惡化的典型何杰金氏淋巴瘤成人患者。</w:t>
      </w:r>
    </w:p>
    <w:p w14:paraId="06660F44" w14:textId="77777777" w:rsidR="004374CA" w:rsidRDefault="004374CA" w:rsidP="004374CA">
      <w:pPr>
        <w:spacing w:line="400" w:lineRule="exact"/>
        <w:ind w:left="1134" w:hanging="386"/>
        <w:rPr>
          <w:rFonts w:ascii="標楷體" w:eastAsia="標楷體" w:hAnsi="標楷體"/>
        </w:rPr>
      </w:pPr>
      <w:r>
        <w:rPr>
          <w:rFonts w:ascii="標楷體" w:eastAsia="標楷體" w:hAnsi="標楷體"/>
        </w:rPr>
        <w:t>(4)泌尿道上皮癌：使用含atezolizumab藥品成分須於113年8月1日前審核同意用藥。(109/11/1、112/10/1、113/8/1)</w:t>
      </w:r>
    </w:p>
    <w:p w14:paraId="14646006" w14:textId="77777777" w:rsidR="004374CA" w:rsidRDefault="004374CA" w:rsidP="004374CA">
      <w:pPr>
        <w:spacing w:line="400" w:lineRule="exact"/>
        <w:ind w:left="1558" w:hanging="245"/>
        <w:rPr>
          <w:rFonts w:ascii="標楷體" w:eastAsia="標楷體" w:hAnsi="標楷體"/>
        </w:rPr>
      </w:pPr>
      <w:r>
        <w:rPr>
          <w:rFonts w:ascii="標楷體" w:eastAsia="標楷體" w:hAnsi="標楷體"/>
        </w:rPr>
        <w:t>I.不適合接受化學治療之轉移性泌尿道上皮癌成人患者，且需符合下列條件之一：</w:t>
      </w:r>
    </w:p>
    <w:p w14:paraId="69C4821F" w14:textId="77777777" w:rsidR="004374CA" w:rsidRDefault="004374CA" w:rsidP="004374CA">
      <w:pPr>
        <w:tabs>
          <w:tab w:val="left" w:pos="1185"/>
        </w:tabs>
        <w:spacing w:line="400" w:lineRule="exact"/>
        <w:ind w:left="1843" w:hanging="259"/>
        <w:rPr>
          <w:rFonts w:ascii="標楷體" w:eastAsia="標楷體" w:hAnsi="標楷體"/>
        </w:rPr>
      </w:pPr>
      <w:proofErr w:type="spellStart"/>
      <w:r>
        <w:rPr>
          <w:rFonts w:ascii="標楷體" w:eastAsia="標楷體" w:hAnsi="標楷體"/>
        </w:rPr>
        <w:t>i.CTCAE</w:t>
      </w:r>
      <w:proofErr w:type="spellEnd"/>
      <w:r>
        <w:rPr>
          <w:rFonts w:ascii="標楷體" w:eastAsia="標楷體" w:hAnsi="標楷體"/>
        </w:rPr>
        <w:t>(the common terminology criteria for adverse events) v4.0 grade≧2 audiometric hearing loss</w:t>
      </w:r>
    </w:p>
    <w:p w14:paraId="32C0C517" w14:textId="77777777" w:rsidR="004374CA" w:rsidRDefault="004374CA" w:rsidP="004374CA">
      <w:pPr>
        <w:tabs>
          <w:tab w:val="left" w:pos="1185"/>
        </w:tabs>
        <w:spacing w:line="400" w:lineRule="exact"/>
        <w:ind w:left="1584"/>
        <w:rPr>
          <w:rFonts w:ascii="標楷體" w:eastAsia="標楷體" w:hAnsi="標楷體"/>
        </w:rPr>
      </w:pPr>
      <w:proofErr w:type="spellStart"/>
      <w:r>
        <w:rPr>
          <w:rFonts w:ascii="標楷體" w:eastAsia="標楷體" w:hAnsi="標楷體"/>
        </w:rPr>
        <w:t>ii.CTCAE</w:t>
      </w:r>
      <w:proofErr w:type="spellEnd"/>
      <w:r>
        <w:rPr>
          <w:rFonts w:ascii="標楷體" w:eastAsia="標楷體" w:hAnsi="標楷體"/>
        </w:rPr>
        <w:t xml:space="preserve"> v4.0 grade≧2 peripheral neuropathy</w:t>
      </w:r>
    </w:p>
    <w:p w14:paraId="2855D76D" w14:textId="77777777" w:rsidR="004374CA" w:rsidRDefault="004374CA" w:rsidP="004374CA">
      <w:pPr>
        <w:tabs>
          <w:tab w:val="left" w:pos="1185"/>
        </w:tabs>
        <w:spacing w:line="400" w:lineRule="exact"/>
        <w:ind w:left="1584"/>
        <w:rPr>
          <w:rFonts w:ascii="標楷體" w:eastAsia="標楷體" w:hAnsi="標楷體"/>
        </w:rPr>
      </w:pPr>
      <w:proofErr w:type="spellStart"/>
      <w:r>
        <w:rPr>
          <w:rFonts w:ascii="標楷體" w:eastAsia="標楷體" w:hAnsi="標楷體"/>
        </w:rPr>
        <w:t>iii.CIRS</w:t>
      </w:r>
      <w:proofErr w:type="spellEnd"/>
      <w:r>
        <w:rPr>
          <w:rFonts w:ascii="標楷體" w:eastAsia="標楷體" w:hAnsi="標楷體"/>
        </w:rPr>
        <w:t>(the cumulative illness rating scale) score &gt;6</w:t>
      </w:r>
    </w:p>
    <w:p w14:paraId="003642CC" w14:textId="77777777" w:rsidR="004374CA" w:rsidRDefault="004374CA" w:rsidP="004374CA">
      <w:pPr>
        <w:tabs>
          <w:tab w:val="left" w:pos="1185"/>
        </w:tabs>
        <w:spacing w:line="400" w:lineRule="exact"/>
        <w:ind w:left="1685" w:hanging="409"/>
        <w:rPr>
          <w:rFonts w:ascii="標楷體" w:eastAsia="標楷體" w:hAnsi="標楷體"/>
        </w:rPr>
      </w:pPr>
      <w:r>
        <w:rPr>
          <w:rFonts w:ascii="標楷體" w:eastAsia="標楷體" w:hAnsi="標楷體"/>
        </w:rPr>
        <w:t>II.</w:t>
      </w:r>
      <w:r>
        <w:rPr>
          <w:rFonts w:ascii="標楷體" w:eastAsia="標楷體" w:hAnsi="標楷體"/>
        </w:rPr>
        <w:tab/>
        <w:t>先前已使用過platinum類化學治療失敗後疾病惡化的局部晚期無法切除或轉移性泌尿道上皮癌成人患者。</w:t>
      </w:r>
    </w:p>
    <w:p w14:paraId="3CAD498D" w14:textId="77777777" w:rsidR="004374CA" w:rsidRDefault="004374CA" w:rsidP="004374CA">
      <w:pPr>
        <w:tabs>
          <w:tab w:val="left" w:pos="1185"/>
        </w:tabs>
        <w:spacing w:line="400" w:lineRule="exact"/>
        <w:ind w:left="1712" w:hanging="409"/>
      </w:pPr>
      <w:r>
        <w:rPr>
          <w:rFonts w:ascii="標楷體" w:eastAsia="標楷體" w:hAnsi="標楷體"/>
        </w:rPr>
        <w:t>III.</w:t>
      </w:r>
      <w:r>
        <w:rPr>
          <w:rFonts w:ascii="標楷體" w:eastAsia="標楷體" w:hAnsi="標楷體"/>
          <w:szCs w:val="24"/>
        </w:rPr>
        <w:t>限avelumab用於接受第一線含鉑化學治療4至6個療程後，疾病未惡化，且達部分緩解（PR）或疾病呈穩定狀態者(SD)之無法手術切除局部晚期(stage Ⅲ)或轉移性泌尿上皮癌(stage Ⅳ)成人患者之維持療法。(112/10/1）</w:t>
      </w:r>
    </w:p>
    <w:p w14:paraId="5EEB7DF7" w14:textId="77777777" w:rsidR="004374CA" w:rsidRDefault="004374CA" w:rsidP="004374CA">
      <w:pPr>
        <w:spacing w:line="400" w:lineRule="exact"/>
        <w:ind w:left="1134" w:hanging="386"/>
        <w:rPr>
          <w:rFonts w:ascii="標楷體" w:eastAsia="標楷體" w:hAnsi="標楷體"/>
          <w:szCs w:val="24"/>
          <w:lang w:val="zh-TW" w:bidi="zh-TW"/>
        </w:rPr>
      </w:pPr>
      <w:r>
        <w:rPr>
          <w:rFonts w:ascii="標楷體" w:eastAsia="標楷體" w:hAnsi="標楷體"/>
          <w:szCs w:val="24"/>
          <w:lang w:val="zh-TW" w:bidi="zh-TW"/>
        </w:rPr>
        <w:t>(5)頭頸部鱗狀細胞癌(不含鼻咽癌)：(108/4/1、109/11/1、112/12/1、115/2/1)</w:t>
      </w:r>
    </w:p>
    <w:p w14:paraId="0B4C497F" w14:textId="77777777" w:rsidR="004374CA" w:rsidRDefault="004374CA" w:rsidP="004374CA">
      <w:pPr>
        <w:tabs>
          <w:tab w:val="left" w:pos="1185"/>
        </w:tabs>
        <w:spacing w:line="400" w:lineRule="exact"/>
        <w:ind w:left="1560" w:hanging="360"/>
      </w:pPr>
      <w:r>
        <w:rPr>
          <w:rFonts w:ascii="標楷體" w:eastAsia="標楷體" w:hAnsi="標楷體"/>
          <w:szCs w:val="24"/>
          <w:lang w:val="zh-TW" w:bidi="zh-TW"/>
        </w:rPr>
        <w:t>I.先前未曾接受全身性治療</w:t>
      </w:r>
      <w:r>
        <w:rPr>
          <w:rFonts w:ascii="標楷體" w:eastAsia="標楷體" w:hAnsi="標楷體"/>
          <w:szCs w:val="24"/>
          <w:lang w:bidi="zh-TW"/>
        </w:rPr>
        <w:t>且無法手術切除之復發性或</w:t>
      </w:r>
      <w:r>
        <w:rPr>
          <w:rFonts w:ascii="標楷體" w:eastAsia="標楷體" w:hAnsi="標楷體"/>
          <w:szCs w:val="24"/>
          <w:lang w:val="zh-TW" w:bidi="zh-TW"/>
        </w:rPr>
        <w:t>轉移性(第三期或第四期)頭頸部鱗狀細胞癌成人患者。（112/12/1)</w:t>
      </w:r>
    </w:p>
    <w:p w14:paraId="08AC3BAC" w14:textId="77777777" w:rsidR="004374CA" w:rsidRDefault="004374CA" w:rsidP="004374CA">
      <w:pPr>
        <w:tabs>
          <w:tab w:val="left" w:pos="1185"/>
        </w:tabs>
        <w:spacing w:line="400" w:lineRule="exact"/>
        <w:ind w:left="1560" w:hanging="360"/>
      </w:pPr>
      <w:r>
        <w:rPr>
          <w:rFonts w:ascii="標楷體" w:eastAsia="標楷體" w:hAnsi="標楷體"/>
          <w:szCs w:val="24"/>
          <w:lang w:val="zh-TW" w:bidi="zh-TW"/>
        </w:rPr>
        <w:t>II.先前已使用過platinum類化學治療失敗後，又有疾病惡化的復發</w:t>
      </w:r>
      <w:r>
        <w:rPr>
          <w:rFonts w:ascii="標楷體" w:eastAsia="標楷體" w:hAnsi="標楷體"/>
          <w:szCs w:val="24"/>
          <w:lang w:bidi="zh-TW"/>
        </w:rPr>
        <w:t>性或</w:t>
      </w:r>
      <w:r>
        <w:rPr>
          <w:rFonts w:ascii="標楷體" w:eastAsia="標楷體" w:hAnsi="標楷體"/>
          <w:szCs w:val="24"/>
          <w:lang w:val="zh-TW" w:bidi="zh-TW"/>
        </w:rPr>
        <w:t>轉移性(第三期或第四期)頭頸部鱗狀細胞癌成人患者。(108/4/1、109/11/1、112/12/1）</w:t>
      </w:r>
    </w:p>
    <w:p w14:paraId="5279E13E" w14:textId="77777777" w:rsidR="004374CA" w:rsidRDefault="004374CA" w:rsidP="004374CA">
      <w:pPr>
        <w:spacing w:line="400" w:lineRule="exact"/>
        <w:ind w:left="1134" w:hanging="386"/>
      </w:pPr>
      <w:r>
        <w:rPr>
          <w:rFonts w:ascii="標楷體" w:eastAsia="標楷體" w:hAnsi="標楷體"/>
        </w:rPr>
        <w:t xml:space="preserve"> (6)轉移</w:t>
      </w:r>
      <w:r>
        <w:rPr>
          <w:rFonts w:ascii="標楷體" w:eastAsia="標楷體" w:hAnsi="標楷體"/>
          <w:szCs w:val="24"/>
          <w:lang w:val="zh-TW" w:bidi="zh-TW"/>
        </w:rPr>
        <w:t>性胃癌：先前已使用過二線(含)以上化學治療均失敗，又有疾病惡化的轉移性胃腺癌成人患者，且於109年4月1日前經審核同意用藥，後續評估符合續用申請條件者。(109/4/1)</w:t>
      </w:r>
    </w:p>
    <w:p w14:paraId="28C2E45D" w14:textId="77777777" w:rsidR="004374CA" w:rsidRDefault="004374CA" w:rsidP="004374CA">
      <w:pPr>
        <w:spacing w:line="400" w:lineRule="exact"/>
        <w:ind w:left="1134" w:hanging="386"/>
      </w:pPr>
      <w:r>
        <w:rPr>
          <w:rFonts w:ascii="標楷體" w:eastAsia="標楷體" w:hAnsi="標楷體"/>
          <w:szCs w:val="24"/>
          <w:lang w:bidi="zh-TW"/>
        </w:rPr>
        <w:t>(7)</w:t>
      </w:r>
      <w:r>
        <w:rPr>
          <w:rFonts w:ascii="標楷體" w:eastAsia="標楷體" w:hAnsi="標楷體"/>
          <w:szCs w:val="24"/>
          <w:lang w:val="zh-TW" w:bidi="zh-TW"/>
        </w:rPr>
        <w:t>晚期腎細胞癌</w:t>
      </w:r>
      <w:r>
        <w:rPr>
          <w:rFonts w:ascii="標楷體" w:eastAsia="標楷體" w:hAnsi="標楷體"/>
          <w:szCs w:val="24"/>
          <w:lang w:bidi="zh-TW"/>
        </w:rPr>
        <w:t>：</w:t>
      </w:r>
      <w:r>
        <w:rPr>
          <w:rFonts w:ascii="標楷體" w:eastAsia="標楷體" w:hAnsi="標楷體"/>
          <w:szCs w:val="24"/>
          <w:lang w:val="zh-TW" w:bidi="zh-TW"/>
        </w:rPr>
        <w:t>先前已使用過至少二線標靶藥物治療均失敗</w:t>
      </w:r>
      <w:r>
        <w:rPr>
          <w:rFonts w:ascii="標楷體" w:eastAsia="標楷體" w:hAnsi="標楷體"/>
          <w:szCs w:val="24"/>
          <w:lang w:bidi="zh-TW"/>
        </w:rPr>
        <w:t>，</w:t>
      </w:r>
      <w:r>
        <w:rPr>
          <w:rFonts w:ascii="標楷體" w:eastAsia="標楷體" w:hAnsi="標楷體"/>
          <w:szCs w:val="24"/>
          <w:lang w:val="zh-TW" w:bidi="zh-TW"/>
        </w:rPr>
        <w:t>又有疾病惡化之晚期腎細胞癌</w:t>
      </w:r>
      <w:r>
        <w:rPr>
          <w:rFonts w:ascii="標楷體" w:eastAsia="標楷體" w:hAnsi="標楷體"/>
          <w:szCs w:val="24"/>
          <w:lang w:bidi="zh-TW"/>
        </w:rPr>
        <w:t>，</w:t>
      </w:r>
      <w:r>
        <w:rPr>
          <w:rFonts w:ascii="標楷體" w:eastAsia="標楷體" w:hAnsi="標楷體"/>
          <w:szCs w:val="24"/>
          <w:lang w:val="zh-TW" w:bidi="zh-TW"/>
        </w:rPr>
        <w:t>其病理上為亮細胞癌</w:t>
      </w:r>
      <w:r>
        <w:rPr>
          <w:rFonts w:ascii="標楷體" w:eastAsia="標楷體" w:hAnsi="標楷體"/>
          <w:szCs w:val="24"/>
          <w:lang w:bidi="zh-TW"/>
        </w:rPr>
        <w:t>(clear cell renal carcinoma)</w:t>
      </w:r>
      <w:r>
        <w:rPr>
          <w:rFonts w:ascii="標楷體" w:eastAsia="標楷體" w:hAnsi="標楷體"/>
          <w:szCs w:val="24"/>
          <w:lang w:val="zh-TW" w:bidi="zh-TW"/>
        </w:rPr>
        <w:t>之成人患者。</w:t>
      </w:r>
    </w:p>
    <w:p w14:paraId="57BF7948" w14:textId="77777777" w:rsidR="004374CA" w:rsidRDefault="004374CA" w:rsidP="004374CA">
      <w:pPr>
        <w:spacing w:line="400" w:lineRule="exact"/>
        <w:ind w:left="1134" w:hanging="386"/>
      </w:pPr>
      <w:r>
        <w:rPr>
          <w:rFonts w:ascii="標楷體" w:eastAsia="標楷體" w:hAnsi="標楷體"/>
          <w:szCs w:val="24"/>
          <w:lang w:val="zh-TW" w:bidi="zh-TW"/>
        </w:rPr>
        <w:t>(8)晚期肝</w:t>
      </w:r>
      <w:r>
        <w:rPr>
          <w:rFonts w:ascii="標楷體" w:eastAsia="標楷體" w:hAnsi="標楷體"/>
        </w:rPr>
        <w:t>細胞癌：需同時符合下列所有條件：</w:t>
      </w:r>
    </w:p>
    <w:p w14:paraId="679CB385" w14:textId="77777777" w:rsidR="004374CA" w:rsidRDefault="004374CA" w:rsidP="004374CA">
      <w:pPr>
        <w:tabs>
          <w:tab w:val="left" w:pos="1185"/>
        </w:tabs>
        <w:spacing w:line="400" w:lineRule="exact"/>
        <w:ind w:left="1416" w:hanging="245"/>
        <w:rPr>
          <w:rFonts w:ascii="標楷體" w:eastAsia="標楷體" w:hAnsi="標楷體"/>
        </w:rPr>
      </w:pPr>
      <w:proofErr w:type="spellStart"/>
      <w:r>
        <w:rPr>
          <w:rFonts w:ascii="標楷體" w:eastAsia="標楷體" w:hAnsi="標楷體"/>
        </w:rPr>
        <w:t>Ⅰ.Child</w:t>
      </w:r>
      <w:proofErr w:type="spellEnd"/>
      <w:r>
        <w:rPr>
          <w:rFonts w:ascii="標楷體" w:eastAsia="標楷體" w:hAnsi="標楷體"/>
        </w:rPr>
        <w:t>-Pugh A class肝細胞癌成人患者。</w:t>
      </w:r>
    </w:p>
    <w:p w14:paraId="019FD288"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Ⅱ.先前經T.A.C.E.於12個月內&gt;=3次局部治療失敗者。</w:t>
      </w:r>
    </w:p>
    <w:p w14:paraId="6B5C5D62"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Ⅲ.已使用過至少一線標靶藥物治療失敗，又有疾病惡化者。本類藥品與</w:t>
      </w:r>
      <w:r>
        <w:rPr>
          <w:rFonts w:ascii="標楷體" w:eastAsia="標楷體" w:hAnsi="標楷體"/>
        </w:rPr>
        <w:lastRenderedPageBreak/>
        <w:t>regorafenib、ramucirumab僅能擇一使用，且治療失敗時不可互換。(108/6/1、110/5/1)</w:t>
      </w:r>
    </w:p>
    <w:p w14:paraId="5177585C"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Ⅳ.未曾進行肝臟移植。</w:t>
      </w:r>
    </w:p>
    <w:p w14:paraId="6A85AC0B"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Ⅴ.於109年4月1日前經審核同意用藥，後續評估符合續用申請條件者。(109/4/1)</w:t>
      </w:r>
    </w:p>
    <w:p w14:paraId="25260E0B" w14:textId="77777777" w:rsidR="004374CA" w:rsidRDefault="004374CA" w:rsidP="004374CA">
      <w:pPr>
        <w:spacing w:line="400" w:lineRule="exact"/>
        <w:ind w:left="1134" w:hanging="386"/>
      </w:pPr>
      <w:r>
        <w:rPr>
          <w:rFonts w:ascii="標楷體" w:eastAsia="標楷體" w:hAnsi="標楷體"/>
        </w:rPr>
        <w:t>(9)默克細胞</w:t>
      </w:r>
      <w:r>
        <w:rPr>
          <w:rFonts w:ascii="標楷體" w:eastAsia="標楷體" w:hAnsi="標楷體"/>
          <w:szCs w:val="24"/>
          <w:lang w:val="zh-TW" w:bidi="zh-TW"/>
        </w:rPr>
        <w:t>癌</w:t>
      </w:r>
      <w:r>
        <w:rPr>
          <w:rFonts w:ascii="標楷體" w:eastAsia="標楷體" w:hAnsi="標楷體"/>
          <w:szCs w:val="24"/>
          <w:lang w:bidi="zh-TW"/>
        </w:rPr>
        <w:t>：</w:t>
      </w:r>
      <w:r>
        <w:rPr>
          <w:rFonts w:ascii="標楷體" w:eastAsia="標楷體" w:hAnsi="標楷體"/>
          <w:szCs w:val="24"/>
          <w:lang w:val="zh-TW" w:bidi="zh-TW"/>
        </w:rPr>
        <w:t>限</w:t>
      </w:r>
      <w:r>
        <w:rPr>
          <w:rFonts w:ascii="標楷體" w:eastAsia="標楷體" w:hAnsi="標楷體"/>
          <w:szCs w:val="24"/>
          <w:lang w:bidi="zh-TW"/>
        </w:rPr>
        <w:t>avelumab</w:t>
      </w:r>
      <w:r>
        <w:rPr>
          <w:rFonts w:ascii="標楷體" w:eastAsia="標楷體" w:hAnsi="標楷體"/>
          <w:szCs w:val="24"/>
          <w:lang w:val="zh-TW" w:bidi="zh-TW"/>
        </w:rPr>
        <w:t>用於先前已使用過</w:t>
      </w:r>
      <w:r>
        <w:rPr>
          <w:rFonts w:ascii="標楷體" w:eastAsia="標楷體" w:hAnsi="標楷體"/>
          <w:szCs w:val="24"/>
          <w:lang w:bidi="zh-TW"/>
        </w:rPr>
        <w:t>platinum</w:t>
      </w:r>
      <w:r>
        <w:rPr>
          <w:rFonts w:ascii="標楷體" w:eastAsia="標楷體" w:hAnsi="標楷體"/>
          <w:szCs w:val="24"/>
          <w:lang w:val="zh-TW" w:bidi="zh-TW"/>
        </w:rPr>
        <w:t>類化學治療失敗後</w:t>
      </w:r>
      <w:r>
        <w:rPr>
          <w:rFonts w:ascii="標楷體" w:eastAsia="標楷體" w:hAnsi="標楷體"/>
          <w:szCs w:val="24"/>
          <w:lang w:bidi="zh-TW"/>
        </w:rPr>
        <w:t>，</w:t>
      </w:r>
      <w:r>
        <w:rPr>
          <w:rFonts w:ascii="標楷體" w:eastAsia="標楷體" w:hAnsi="標楷體"/>
          <w:szCs w:val="24"/>
          <w:lang w:val="zh-TW" w:bidi="zh-TW"/>
        </w:rPr>
        <w:t>又有疾病惡化之轉移性第四期默克細胞癌</w:t>
      </w:r>
      <w:r>
        <w:rPr>
          <w:rFonts w:ascii="標楷體" w:eastAsia="標楷體" w:hAnsi="標楷體"/>
          <w:szCs w:val="24"/>
          <w:lang w:bidi="zh-TW"/>
        </w:rPr>
        <w:t>(Merkel Cell Carcinoma)</w:t>
      </w:r>
      <w:r>
        <w:rPr>
          <w:rFonts w:ascii="標楷體" w:eastAsia="標楷體" w:hAnsi="標楷體"/>
          <w:szCs w:val="24"/>
          <w:lang w:val="zh-TW" w:bidi="zh-TW"/>
        </w:rPr>
        <w:t>之成人患者。(109/6/1)</w:t>
      </w:r>
    </w:p>
    <w:p w14:paraId="3FF592FD" w14:textId="77777777" w:rsidR="004374CA" w:rsidRDefault="004374CA" w:rsidP="004374CA">
      <w:pPr>
        <w:spacing w:line="400" w:lineRule="exact"/>
        <w:ind w:left="1134" w:hanging="386"/>
        <w:rPr>
          <w:rFonts w:ascii="標楷體" w:eastAsia="標楷體" w:hAnsi="標楷體"/>
          <w:szCs w:val="24"/>
          <w:lang w:val="zh-TW" w:bidi="zh-TW"/>
        </w:rPr>
      </w:pPr>
      <w:r>
        <w:rPr>
          <w:rFonts w:ascii="標楷體" w:eastAsia="標楷體" w:hAnsi="標楷體"/>
          <w:szCs w:val="24"/>
          <w:lang w:val="zh-TW" w:bidi="zh-TW"/>
        </w:rPr>
        <w:t>(10)食道鱗狀細胞癌：限nivolumab用於曾接受合併含鉑及fluoropyrimidine化學治療之後惡化的無法切除晚期或復發性食道鱗狀細胞癌病人。(113/4/1、113/6/1、115/2/1)</w:t>
      </w:r>
    </w:p>
    <w:p w14:paraId="4B14C954" w14:textId="77777777" w:rsidR="004374CA" w:rsidRDefault="004374CA" w:rsidP="004374CA">
      <w:pPr>
        <w:spacing w:line="400" w:lineRule="exact"/>
        <w:ind w:left="1134" w:hanging="386"/>
      </w:pPr>
      <w:r>
        <w:rPr>
          <w:rFonts w:ascii="標楷體" w:eastAsia="標楷體" w:hAnsi="標楷體"/>
          <w:szCs w:val="24"/>
          <w:lang w:val="zh-TW" w:bidi="zh-TW"/>
        </w:rPr>
        <w:t>(11)大腸直腸癌</w:t>
      </w:r>
      <w:r>
        <w:rPr>
          <w:rFonts w:ascii="標楷體" w:eastAsia="標楷體" w:hAnsi="標楷體" w:cs="標楷體.鬁..."/>
          <w:kern w:val="0"/>
          <w:szCs w:val="24"/>
        </w:rPr>
        <w:t>：限pembrolizumab做為無法切除或轉移性高微衛星不穩定性(MSI-H)或錯誤配對修復功能不足性(</w:t>
      </w:r>
      <w:proofErr w:type="spellStart"/>
      <w:r>
        <w:rPr>
          <w:rFonts w:ascii="標楷體" w:eastAsia="標楷體" w:hAnsi="標楷體" w:cs="標楷體.鬁..."/>
          <w:kern w:val="0"/>
          <w:szCs w:val="24"/>
        </w:rPr>
        <w:t>dMMR</w:t>
      </w:r>
      <w:proofErr w:type="spellEnd"/>
      <w:r>
        <w:rPr>
          <w:rFonts w:ascii="標楷體" w:eastAsia="標楷體" w:hAnsi="標楷體" w:cs="標楷體.鬁..."/>
          <w:kern w:val="0"/>
          <w:szCs w:val="24"/>
        </w:rPr>
        <w:t>)大腸直腸癌(CRC)之成年病人第一線治療。(114/6/1)</w:t>
      </w:r>
    </w:p>
    <w:p w14:paraId="777C780D" w14:textId="77777777" w:rsidR="004374CA" w:rsidRDefault="004374CA" w:rsidP="004374CA">
      <w:pPr>
        <w:tabs>
          <w:tab w:val="left" w:pos="945"/>
        </w:tabs>
        <w:spacing w:line="400" w:lineRule="exact"/>
        <w:ind w:left="708" w:hanging="142"/>
      </w:pPr>
      <w:r>
        <w:rPr>
          <w:rFonts w:ascii="標楷體" w:eastAsia="標楷體" w:hAnsi="標楷體"/>
          <w:szCs w:val="24"/>
        </w:rPr>
        <w:t>2.本類藥品得於藥品</w:t>
      </w:r>
      <w:r>
        <w:rPr>
          <w:rFonts w:ascii="標楷體" w:eastAsia="標楷體" w:hAnsi="標楷體"/>
        </w:rPr>
        <w:t>許可證</w:t>
      </w:r>
      <w:r>
        <w:rPr>
          <w:rFonts w:ascii="標楷體" w:eastAsia="標楷體" w:hAnsi="標楷體"/>
          <w:szCs w:val="24"/>
        </w:rPr>
        <w:t>登載之適應症及藥品仿單內，併用其他藥品於下列患者：</w:t>
      </w:r>
    </w:p>
    <w:p w14:paraId="7D167112" w14:textId="77777777" w:rsidR="004374CA" w:rsidRDefault="004374CA" w:rsidP="004374CA">
      <w:pPr>
        <w:tabs>
          <w:tab w:val="left" w:pos="945"/>
        </w:tabs>
        <w:spacing w:line="400" w:lineRule="exact"/>
        <w:ind w:left="708" w:firstLine="142"/>
      </w:pPr>
      <w:r>
        <w:rPr>
          <w:rFonts w:ascii="標楷體" w:eastAsia="標楷體" w:hAnsi="標楷體"/>
          <w:szCs w:val="24"/>
        </w:rPr>
        <w:t>(112/12/1</w:t>
      </w:r>
      <w:r>
        <w:rPr>
          <w:rFonts w:ascii="標楷體" w:eastAsia="標楷體" w:hAnsi="標楷體"/>
        </w:rPr>
        <w:t>、113/4/1、113/6/1、113/8/1、114/2/1、</w:t>
      </w:r>
      <w:r>
        <w:rPr>
          <w:rFonts w:ascii="標楷體" w:eastAsia="標楷體" w:hAnsi="標楷體" w:cs="標楷體.鬁..."/>
          <w:kern w:val="0"/>
          <w:szCs w:val="24"/>
        </w:rPr>
        <w:t>114/6/1</w:t>
      </w:r>
      <w:r>
        <w:rPr>
          <w:rFonts w:ascii="標楷體" w:eastAsia="標楷體" w:hAnsi="標楷體"/>
          <w:szCs w:val="24"/>
          <w:lang w:val="zh-TW" w:bidi="zh-TW"/>
        </w:rPr>
        <w:t>、115/2/1、115/4/1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szCs w:val="24"/>
        </w:rPr>
        <w:t>)</w:t>
      </w:r>
    </w:p>
    <w:p w14:paraId="60FCC489" w14:textId="77777777" w:rsidR="004374CA" w:rsidRDefault="004374CA" w:rsidP="004374CA">
      <w:pPr>
        <w:spacing w:line="400" w:lineRule="exact"/>
        <w:ind w:left="1134" w:hanging="386"/>
      </w:pPr>
      <w:r>
        <w:rPr>
          <w:rFonts w:ascii="標楷體" w:eastAsia="標楷體" w:hAnsi="標楷體"/>
          <w:szCs w:val="24"/>
        </w:rPr>
        <w:t>(1)</w:t>
      </w:r>
      <w:r>
        <w:rPr>
          <w:rFonts w:ascii="標楷體" w:eastAsia="標楷體" w:hAnsi="標楷體"/>
          <w:szCs w:val="24"/>
          <w:lang w:val="zh-TW" w:bidi="zh-TW"/>
        </w:rPr>
        <w:t>晚期</w:t>
      </w:r>
      <w:r>
        <w:rPr>
          <w:rFonts w:ascii="標楷體" w:eastAsia="標楷體" w:hAnsi="標楷體"/>
          <w:szCs w:val="24"/>
        </w:rPr>
        <w:t>肝細胞癌第一線用藥(112/8/1、112/10/1、114/2/1):</w:t>
      </w:r>
    </w:p>
    <w:p w14:paraId="5C0CA57E" w14:textId="77777777" w:rsidR="004374CA" w:rsidRDefault="004374CA" w:rsidP="004374CA">
      <w:pPr>
        <w:spacing w:line="400" w:lineRule="exact"/>
        <w:ind w:left="1514" w:hanging="386"/>
      </w:pPr>
      <w:r>
        <w:rPr>
          <w:rFonts w:ascii="標楷體" w:eastAsia="標楷體" w:hAnsi="標楷體"/>
          <w:szCs w:val="24"/>
        </w:rPr>
        <w:t>Ⅰ.限atezolizumab與bevacizumab併用，或限durvalumab與</w:t>
      </w:r>
      <w:proofErr w:type="spellStart"/>
      <w:r>
        <w:rPr>
          <w:rFonts w:ascii="標楷體" w:eastAsia="標楷體" w:hAnsi="標楷體"/>
          <w:szCs w:val="24"/>
        </w:rPr>
        <w:t>tremelimumab</w:t>
      </w:r>
      <w:proofErr w:type="spellEnd"/>
      <w:r>
        <w:rPr>
          <w:rFonts w:ascii="標楷體" w:eastAsia="標楷體" w:hAnsi="標楷體"/>
          <w:szCs w:val="24"/>
        </w:rPr>
        <w:t>併用，適用於治療未曾接受全身性療法之轉移性或無法手術切除且不適合局部治療或局部治療失敗之Child-Pugh A class晚期肝細胞癌成人患者，並符合下列條件之一：（112/8/1、112/10/1、114/2/1)</w:t>
      </w:r>
    </w:p>
    <w:p w14:paraId="6C35B7ED" w14:textId="77777777" w:rsidR="004374CA" w:rsidRDefault="004374CA" w:rsidP="004374CA">
      <w:pPr>
        <w:tabs>
          <w:tab w:val="left" w:pos="1185"/>
        </w:tabs>
        <w:spacing w:line="400" w:lineRule="exact"/>
        <w:ind w:left="1771" w:hanging="245"/>
        <w:rPr>
          <w:rFonts w:ascii="標楷體" w:eastAsia="標楷體" w:hAnsi="標楷體"/>
          <w:szCs w:val="24"/>
        </w:rPr>
      </w:pPr>
      <w:proofErr w:type="spellStart"/>
      <w:r>
        <w:rPr>
          <w:rFonts w:ascii="標楷體" w:eastAsia="標楷體" w:hAnsi="標楷體"/>
          <w:szCs w:val="24"/>
        </w:rPr>
        <w:t>i</w:t>
      </w:r>
      <w:proofErr w:type="spellEnd"/>
      <w:r>
        <w:rPr>
          <w:rFonts w:ascii="標楷體" w:eastAsia="標楷體" w:hAnsi="標楷體"/>
          <w:szCs w:val="24"/>
        </w:rPr>
        <w:t>.肝外轉移（遠端轉移或肝外淋巴結侵犯）。</w:t>
      </w:r>
    </w:p>
    <w:p w14:paraId="63DDE12D" w14:textId="77777777" w:rsidR="004374CA" w:rsidRDefault="004374CA" w:rsidP="004374CA">
      <w:pPr>
        <w:tabs>
          <w:tab w:val="left" w:pos="1185"/>
        </w:tabs>
        <w:spacing w:line="400" w:lineRule="exact"/>
        <w:ind w:left="1771" w:hanging="245"/>
        <w:rPr>
          <w:rFonts w:ascii="標楷體" w:eastAsia="標楷體" w:hAnsi="標楷體"/>
          <w:szCs w:val="24"/>
        </w:rPr>
      </w:pPr>
      <w:r>
        <w:rPr>
          <w:rFonts w:ascii="標楷體" w:eastAsia="標楷體" w:hAnsi="標楷體"/>
          <w:szCs w:val="24"/>
        </w:rPr>
        <w:t>ii.大血管侵犯（腫瘤侵犯主門靜脈或侵犯左/右靜脈第一或第二分支）。</w:t>
      </w:r>
    </w:p>
    <w:p w14:paraId="521472B5" w14:textId="77777777" w:rsidR="004374CA" w:rsidRDefault="004374CA" w:rsidP="004374CA">
      <w:pPr>
        <w:tabs>
          <w:tab w:val="left" w:pos="1185"/>
        </w:tabs>
        <w:spacing w:line="400" w:lineRule="exact"/>
        <w:ind w:left="1980" w:hanging="454"/>
      </w:pPr>
      <w:r>
        <w:rPr>
          <w:rFonts w:ascii="標楷體" w:eastAsia="標楷體" w:hAnsi="標楷體"/>
          <w:szCs w:val="24"/>
        </w:rPr>
        <w:t>iii.經導管動脈化學藥物栓塞治療（Transcatheter arterial chemo embolization, T.A.C.E.）失敗者，需提供患者於12個月內&gt;=3次局部治療之紀錄。</w:t>
      </w:r>
    </w:p>
    <w:p w14:paraId="75817127" w14:textId="77777777" w:rsidR="004374CA" w:rsidRDefault="004374CA" w:rsidP="004374CA">
      <w:pPr>
        <w:spacing w:line="400" w:lineRule="exact"/>
        <w:ind w:left="1514" w:hanging="386"/>
      </w:pPr>
      <w:r>
        <w:rPr>
          <w:rFonts w:ascii="標楷體" w:eastAsia="標楷體" w:hAnsi="標楷體"/>
        </w:rPr>
        <w:t>II.</w:t>
      </w:r>
      <w:r>
        <w:rPr>
          <w:rFonts w:ascii="標楷體" w:eastAsia="標楷體" w:hAnsi="標楷體"/>
          <w:szCs w:val="24"/>
        </w:rPr>
        <w:t>須排除有以下任一情形：</w:t>
      </w:r>
    </w:p>
    <w:p w14:paraId="01DED87D" w14:textId="77777777" w:rsidR="004374CA" w:rsidRDefault="004374CA" w:rsidP="004374CA">
      <w:pPr>
        <w:tabs>
          <w:tab w:val="left" w:pos="1185"/>
        </w:tabs>
        <w:spacing w:line="400" w:lineRule="exact"/>
        <w:ind w:left="1798" w:hanging="245"/>
        <w:rPr>
          <w:rFonts w:ascii="標楷體" w:eastAsia="標楷體" w:hAnsi="標楷體"/>
          <w:szCs w:val="24"/>
        </w:rPr>
      </w:pPr>
      <w:proofErr w:type="spellStart"/>
      <w:r>
        <w:rPr>
          <w:rFonts w:ascii="標楷體" w:eastAsia="標楷體" w:hAnsi="標楷體"/>
          <w:szCs w:val="24"/>
        </w:rPr>
        <w:t>i</w:t>
      </w:r>
      <w:proofErr w:type="spellEnd"/>
      <w:r>
        <w:rPr>
          <w:rFonts w:ascii="標楷體" w:eastAsia="標楷體" w:hAnsi="標楷體"/>
          <w:szCs w:val="24"/>
        </w:rPr>
        <w:t>.曾接受器官移植。</w:t>
      </w:r>
    </w:p>
    <w:p w14:paraId="5D23D580" w14:textId="77777777" w:rsidR="004374CA" w:rsidRDefault="004374CA" w:rsidP="004374CA">
      <w:pPr>
        <w:tabs>
          <w:tab w:val="left" w:pos="1185"/>
        </w:tabs>
        <w:spacing w:line="400" w:lineRule="exact"/>
        <w:ind w:left="1798" w:hanging="245"/>
        <w:rPr>
          <w:rFonts w:ascii="標楷體" w:eastAsia="標楷體" w:hAnsi="標楷體"/>
          <w:szCs w:val="24"/>
        </w:rPr>
      </w:pPr>
      <w:r>
        <w:rPr>
          <w:rFonts w:ascii="標楷體" w:eastAsia="標楷體" w:hAnsi="標楷體"/>
          <w:szCs w:val="24"/>
        </w:rPr>
        <w:t>ii.正在接受免疫抑制藥物治療。</w:t>
      </w:r>
    </w:p>
    <w:p w14:paraId="42C28225" w14:textId="77777777" w:rsidR="004374CA" w:rsidRDefault="004374CA" w:rsidP="004374CA">
      <w:pPr>
        <w:tabs>
          <w:tab w:val="left" w:pos="1185"/>
        </w:tabs>
        <w:spacing w:line="400" w:lineRule="exact"/>
        <w:ind w:left="2007" w:hanging="454"/>
        <w:rPr>
          <w:rFonts w:ascii="標楷體" w:eastAsia="標楷體" w:hAnsi="標楷體"/>
          <w:szCs w:val="24"/>
        </w:rPr>
      </w:pPr>
      <w:r>
        <w:rPr>
          <w:rFonts w:ascii="標楷體" w:eastAsia="標楷體" w:hAnsi="標楷體"/>
          <w:szCs w:val="24"/>
        </w:rPr>
        <w:t>iii.有上消化道出血之疑慮且未接受完全治療 (須有半年內之內視鏡評估報告)。</w:t>
      </w:r>
    </w:p>
    <w:p w14:paraId="3B078C79" w14:textId="77777777" w:rsidR="004374CA" w:rsidRDefault="004374CA" w:rsidP="004374CA">
      <w:pPr>
        <w:spacing w:line="400" w:lineRule="exact"/>
        <w:ind w:left="1514" w:hanging="386"/>
      </w:pPr>
      <w:proofErr w:type="spellStart"/>
      <w:r>
        <w:rPr>
          <w:rFonts w:ascii="標楷體" w:eastAsia="標楷體" w:hAnsi="標楷體"/>
        </w:rPr>
        <w:t>III.</w:t>
      </w:r>
      <w:r>
        <w:rPr>
          <w:rFonts w:ascii="標楷體" w:eastAsia="標楷體" w:hAnsi="標楷體" w:cs="Liberation Serif"/>
          <w:szCs w:val="24"/>
        </w:rPr>
        <w:t>sorafenib</w:t>
      </w:r>
      <w:proofErr w:type="spellEnd"/>
      <w:r>
        <w:rPr>
          <w:rFonts w:ascii="標楷體" w:eastAsia="標楷體" w:hAnsi="標楷體" w:cs="Liberation Serif"/>
          <w:szCs w:val="24"/>
        </w:rPr>
        <w:t>、</w:t>
      </w:r>
      <w:proofErr w:type="spellStart"/>
      <w:r>
        <w:rPr>
          <w:rFonts w:ascii="標楷體" w:eastAsia="標楷體" w:hAnsi="標楷體" w:cs="Liberation Serif"/>
          <w:szCs w:val="24"/>
        </w:rPr>
        <w:t>lenvatinib</w:t>
      </w:r>
      <w:proofErr w:type="spellEnd"/>
      <w:r>
        <w:rPr>
          <w:rFonts w:ascii="標楷體" w:eastAsia="標楷體" w:hAnsi="標楷體" w:cs="Liberation Serif"/>
          <w:szCs w:val="24"/>
        </w:rPr>
        <w:t>、atezolizumab與bevacizumab併用、durvalumab與</w:t>
      </w:r>
      <w:proofErr w:type="spellStart"/>
      <w:r>
        <w:rPr>
          <w:rFonts w:ascii="標楷體" w:eastAsia="標楷體" w:hAnsi="標楷體" w:cs="Liberation Serif"/>
          <w:szCs w:val="24"/>
        </w:rPr>
        <w:t>tremelimumab</w:t>
      </w:r>
      <w:proofErr w:type="spellEnd"/>
      <w:r>
        <w:rPr>
          <w:rFonts w:ascii="標楷體" w:eastAsia="標楷體" w:hAnsi="標楷體" w:cs="Liberation Serif"/>
          <w:szCs w:val="24"/>
        </w:rPr>
        <w:t>併用僅得擇一給付，不得互換。(114/2/1)</w:t>
      </w:r>
    </w:p>
    <w:p w14:paraId="2BA4DF4A" w14:textId="77777777" w:rsidR="004374CA" w:rsidRDefault="004374CA" w:rsidP="004374CA">
      <w:pPr>
        <w:spacing w:line="400" w:lineRule="exact"/>
        <w:ind w:left="1514" w:hanging="386"/>
      </w:pPr>
      <w:proofErr w:type="spellStart"/>
      <w:r>
        <w:rPr>
          <w:rFonts w:ascii="標楷體" w:eastAsia="標楷體" w:hAnsi="標楷體"/>
        </w:rPr>
        <w:t>IV.</w:t>
      </w:r>
      <w:r>
        <w:rPr>
          <w:rFonts w:ascii="標楷體" w:eastAsia="標楷體" w:hAnsi="標楷體"/>
          <w:szCs w:val="24"/>
        </w:rPr>
        <w:t>atezolizumab</w:t>
      </w:r>
      <w:proofErr w:type="spellEnd"/>
      <w:r>
        <w:rPr>
          <w:rFonts w:ascii="標楷體" w:eastAsia="標楷體" w:hAnsi="標楷體"/>
          <w:szCs w:val="24"/>
        </w:rPr>
        <w:t>與bevacizumab併用或durvalumab與</w:t>
      </w:r>
      <w:proofErr w:type="spellStart"/>
      <w:r>
        <w:rPr>
          <w:rFonts w:ascii="標楷體" w:eastAsia="標楷體" w:hAnsi="標楷體"/>
          <w:szCs w:val="24"/>
        </w:rPr>
        <w:t>tremelimumab</w:t>
      </w:r>
      <w:proofErr w:type="spellEnd"/>
      <w:r>
        <w:rPr>
          <w:rFonts w:ascii="標楷體" w:eastAsia="標楷體" w:hAnsi="標楷體"/>
          <w:szCs w:val="24"/>
        </w:rPr>
        <w:t>併用治療失敗後，不得申請使用regorafenib或ramucirumab。(114/2/1)</w:t>
      </w:r>
    </w:p>
    <w:p w14:paraId="6F16F1D9" w14:textId="77777777" w:rsidR="004374CA" w:rsidRDefault="004374CA" w:rsidP="004374CA">
      <w:pPr>
        <w:spacing w:line="400" w:lineRule="exact"/>
        <w:ind w:left="1134" w:hanging="386"/>
      </w:pPr>
      <w:r>
        <w:rPr>
          <w:rFonts w:ascii="標楷體" w:eastAsia="標楷體" w:hAnsi="標楷體"/>
          <w:kern w:val="0"/>
          <w:szCs w:val="24"/>
        </w:rPr>
        <w:lastRenderedPageBreak/>
        <w:t>(2)非小細胞肺癌：(112/12/1、113/4/1、113/8/1、</w:t>
      </w:r>
      <w:r>
        <w:rPr>
          <w:rFonts w:ascii="標楷體" w:eastAsia="標楷體" w:hAnsi="標楷體" w:cs="標楷體.鬁..."/>
          <w:kern w:val="0"/>
          <w:szCs w:val="24"/>
        </w:rPr>
        <w:t>114/6/1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cs="新細明體"/>
          <w:kern w:val="0"/>
          <w:szCs w:val="24"/>
        </w:rPr>
        <w:t>)</w:t>
      </w:r>
    </w:p>
    <w:p w14:paraId="5E48F51C" w14:textId="7868CD54" w:rsidR="004374CA" w:rsidRPr="004374CA" w:rsidRDefault="004374CA" w:rsidP="004374CA">
      <w:pPr>
        <w:pStyle w:val="a9"/>
        <w:numPr>
          <w:ilvl w:val="0"/>
          <w:numId w:val="49"/>
        </w:numPr>
        <w:suppressAutoHyphens w:val="0"/>
        <w:autoSpaceDN/>
        <w:spacing w:line="400" w:lineRule="exact"/>
        <w:ind w:leftChars="413" w:left="1272" w:hangingChars="117" w:hanging="281"/>
        <w:textAlignment w:val="auto"/>
        <w:rPr>
          <w:rFonts w:ascii="標楷體" w:eastAsia="標楷體" w:hAnsi="標楷體"/>
          <w:kern w:val="0"/>
        </w:rPr>
      </w:pPr>
      <w:r w:rsidRPr="004374CA">
        <w:rPr>
          <w:rFonts w:ascii="標楷體" w:eastAsia="標楷體" w:hAnsi="標楷體"/>
          <w:kern w:val="0"/>
        </w:rPr>
        <w:t>非小細胞肺癌</w:t>
      </w:r>
      <w:r w:rsidRPr="004374CA">
        <w:rPr>
          <w:rFonts w:ascii="標楷體" w:eastAsia="標楷體" w:hAnsi="標楷體" w:hint="eastAsia"/>
          <w:kern w:val="0"/>
        </w:rPr>
        <w:t>術前輔助治療：限</w:t>
      </w:r>
      <w:r w:rsidRPr="004374CA">
        <w:rPr>
          <w:rFonts w:ascii="標楷體" w:eastAsia="標楷體" w:hAnsi="標楷體"/>
          <w:kern w:val="0"/>
        </w:rPr>
        <w:t>用於可切除（腫瘤≧4公分或淋巴結陽性</w:t>
      </w:r>
      <w:r w:rsidRPr="004374CA">
        <w:rPr>
          <w:rFonts w:ascii="標楷體" w:eastAsia="標楷體" w:hAnsi="標楷體" w:hint="eastAsia"/>
          <w:kern w:val="0"/>
        </w:rPr>
        <w:t>N1/N2(排除N3)，且無疾病轉移</w:t>
      </w:r>
      <w:r w:rsidRPr="004374CA">
        <w:rPr>
          <w:rFonts w:ascii="標楷體" w:eastAsia="標楷體" w:hAnsi="標楷體"/>
          <w:kern w:val="0"/>
        </w:rPr>
        <w:t>M0）</w:t>
      </w:r>
      <w:r w:rsidRPr="004374CA">
        <w:rPr>
          <w:rFonts w:ascii="標楷體" w:eastAsia="標楷體" w:hAnsi="標楷體" w:hint="eastAsia"/>
          <w:kern w:val="0"/>
        </w:rPr>
        <w:t>之</w:t>
      </w:r>
      <w:r w:rsidRPr="004374CA">
        <w:rPr>
          <w:rFonts w:ascii="標楷體" w:eastAsia="標楷體" w:hAnsi="標楷體"/>
          <w:kern w:val="0"/>
        </w:rPr>
        <w:t>不具EGFR</w:t>
      </w:r>
      <w:r w:rsidRPr="004374CA">
        <w:rPr>
          <w:rFonts w:ascii="標楷體" w:eastAsia="標楷體" w:hAnsi="標楷體" w:hint="eastAsia"/>
          <w:kern w:val="0"/>
        </w:rPr>
        <w:t>或</w:t>
      </w:r>
      <w:r w:rsidRPr="004374CA">
        <w:rPr>
          <w:rFonts w:ascii="標楷體" w:eastAsia="標楷體" w:hAnsi="標楷體"/>
          <w:kern w:val="0"/>
        </w:rPr>
        <w:t xml:space="preserve">ALK </w:t>
      </w:r>
      <w:r w:rsidRPr="004374CA">
        <w:rPr>
          <w:rFonts w:ascii="標楷體" w:eastAsia="標楷體" w:hAnsi="標楷體" w:hint="eastAsia"/>
          <w:kern w:val="0"/>
        </w:rPr>
        <w:t>腫瘤基因異常成人病人，且至多</w:t>
      </w:r>
      <w:r w:rsidRPr="004374CA">
        <w:rPr>
          <w:rFonts w:ascii="標楷體" w:eastAsia="標楷體" w:hAnsi="標楷體"/>
          <w:kern w:val="0"/>
        </w:rPr>
        <w:t>3</w:t>
      </w:r>
      <w:r w:rsidRPr="004374CA">
        <w:rPr>
          <w:rFonts w:ascii="標楷體" w:eastAsia="標楷體" w:hAnsi="標楷體" w:hint="eastAsia"/>
          <w:kern w:val="0"/>
        </w:rPr>
        <w:t>個療程，並依下列條件使用</w:t>
      </w:r>
      <w:r w:rsidR="00635214">
        <w:rPr>
          <w:rFonts w:ascii="標楷體" w:eastAsia="標楷體" w:hAnsi="標楷體" w:hint="eastAsia"/>
          <w:kern w:val="0"/>
        </w:rPr>
        <w:t>：</w:t>
      </w:r>
      <w:r w:rsidRPr="004374CA">
        <w:rPr>
          <w:rFonts w:ascii="標楷體" w:eastAsia="標楷體" w:hAnsi="標楷體" w:hint="eastAsia"/>
          <w:kern w:val="0"/>
        </w:rPr>
        <w:t>(115/6/1</w:t>
      </w:r>
      <w:r w:rsidRPr="004374CA">
        <w:rPr>
          <w:rFonts w:ascii="標楷體" w:eastAsia="標楷體" w:hAnsi="標楷體"/>
        </w:rPr>
        <w:t>)</w:t>
      </w:r>
    </w:p>
    <w:p w14:paraId="2FF026F0" w14:textId="77777777" w:rsidR="004374CA" w:rsidRPr="004374CA" w:rsidRDefault="004374CA" w:rsidP="004374CA">
      <w:pPr>
        <w:pStyle w:val="a9"/>
        <w:numPr>
          <w:ilvl w:val="1"/>
          <w:numId w:val="50"/>
        </w:numPr>
        <w:suppressAutoHyphens w:val="0"/>
        <w:autoSpaceDN/>
        <w:spacing w:line="400" w:lineRule="exact"/>
        <w:ind w:leftChars="650" w:left="1560" w:firstLine="0"/>
        <w:textAlignment w:val="auto"/>
        <w:rPr>
          <w:rFonts w:ascii="標楷體" w:eastAsia="標楷體" w:hAnsi="標楷體"/>
          <w:kern w:val="0"/>
        </w:rPr>
      </w:pPr>
      <w:r w:rsidRPr="004374CA">
        <w:rPr>
          <w:rFonts w:ascii="標楷體" w:eastAsia="標楷體" w:hAnsi="標楷體" w:hint="eastAsia"/>
          <w:kern w:val="0"/>
        </w:rPr>
        <w:t>非鱗狀非小細胞肺癌：限</w:t>
      </w:r>
      <w:r w:rsidRPr="004374CA">
        <w:rPr>
          <w:rFonts w:ascii="標楷體" w:eastAsia="標楷體" w:hAnsi="標楷體"/>
          <w:kern w:val="0"/>
        </w:rPr>
        <w:t>nivolumab與</w:t>
      </w:r>
      <w:r w:rsidRPr="004374CA">
        <w:rPr>
          <w:rFonts w:ascii="標楷體" w:eastAsia="標楷體" w:hAnsi="標楷體" w:hint="eastAsia"/>
          <w:kern w:val="0"/>
        </w:rPr>
        <w:t>pemetrexed(限使用</w:t>
      </w:r>
      <w:proofErr w:type="spellStart"/>
      <w:r w:rsidRPr="004374CA">
        <w:rPr>
          <w:rFonts w:ascii="標楷體" w:eastAsia="標楷體" w:hAnsi="標楷體" w:hint="eastAsia"/>
          <w:kern w:val="0"/>
        </w:rPr>
        <w:t>Pexeda</w:t>
      </w:r>
      <w:proofErr w:type="spellEnd"/>
      <w:r w:rsidRPr="004374CA">
        <w:rPr>
          <w:rFonts w:ascii="標楷體" w:eastAsia="標楷體" w:hAnsi="標楷體" w:hint="eastAsia"/>
          <w:kern w:val="0"/>
        </w:rPr>
        <w:t>、</w:t>
      </w:r>
      <w:proofErr w:type="spellStart"/>
      <w:r w:rsidRPr="004374CA">
        <w:rPr>
          <w:rFonts w:ascii="標楷體" w:eastAsia="標楷體" w:hAnsi="標楷體" w:hint="eastAsia"/>
          <w:kern w:val="0"/>
        </w:rPr>
        <w:t>Apeta</w:t>
      </w:r>
      <w:proofErr w:type="spellEnd"/>
      <w:r w:rsidRPr="004374CA">
        <w:rPr>
          <w:rFonts w:ascii="標楷體" w:eastAsia="標楷體" w:hAnsi="標楷體" w:hint="eastAsia"/>
          <w:kern w:val="0"/>
        </w:rPr>
        <w:t>或Pemetrexed Sandoz)及含鉑化療併用。</w:t>
      </w:r>
    </w:p>
    <w:p w14:paraId="2B129104" w14:textId="77777777" w:rsidR="004374CA" w:rsidRPr="004374CA" w:rsidRDefault="004374CA" w:rsidP="004374CA">
      <w:pPr>
        <w:pStyle w:val="a9"/>
        <w:numPr>
          <w:ilvl w:val="1"/>
          <w:numId w:val="50"/>
        </w:numPr>
        <w:suppressAutoHyphens w:val="0"/>
        <w:autoSpaceDN/>
        <w:spacing w:line="400" w:lineRule="exact"/>
        <w:ind w:leftChars="650" w:left="1560" w:firstLine="0"/>
        <w:jc w:val="both"/>
        <w:textAlignment w:val="auto"/>
        <w:rPr>
          <w:rFonts w:ascii="標楷體" w:eastAsia="標楷體" w:hAnsi="標楷體"/>
          <w:kern w:val="0"/>
        </w:rPr>
      </w:pPr>
      <w:r w:rsidRPr="004374CA">
        <w:rPr>
          <w:rFonts w:ascii="標楷體" w:eastAsia="標楷體" w:hAnsi="標楷體" w:hint="eastAsia"/>
          <w:kern w:val="0"/>
        </w:rPr>
        <w:t>鱗狀細胞非小細胞肺癌：限</w:t>
      </w:r>
      <w:r w:rsidRPr="004374CA">
        <w:rPr>
          <w:rFonts w:ascii="標楷體" w:eastAsia="標楷體" w:hAnsi="標楷體"/>
          <w:kern w:val="0"/>
        </w:rPr>
        <w:t>nivolumab與</w:t>
      </w:r>
      <w:r w:rsidRPr="004374CA">
        <w:rPr>
          <w:rFonts w:ascii="標楷體" w:eastAsia="標楷體" w:hAnsi="標楷體" w:hint="eastAsia"/>
          <w:kern w:val="0"/>
        </w:rPr>
        <w:t>含鉑化療併用。</w:t>
      </w:r>
    </w:p>
    <w:p w14:paraId="02521967" w14:textId="77777777" w:rsidR="004374CA" w:rsidRPr="000243CF" w:rsidRDefault="004374CA" w:rsidP="004374CA">
      <w:pPr>
        <w:pStyle w:val="a9"/>
        <w:numPr>
          <w:ilvl w:val="0"/>
          <w:numId w:val="49"/>
        </w:numPr>
        <w:tabs>
          <w:tab w:val="left" w:pos="601"/>
        </w:tabs>
        <w:suppressAutoHyphens w:val="0"/>
        <w:autoSpaceDN/>
        <w:spacing w:line="400" w:lineRule="exact"/>
        <w:ind w:leftChars="413" w:left="1416" w:hangingChars="177" w:hanging="425"/>
        <w:textAlignment w:val="auto"/>
        <w:rPr>
          <w:rFonts w:ascii="標楷體" w:eastAsia="標楷體" w:hAnsi="標楷體"/>
          <w:kern w:val="0"/>
        </w:rPr>
      </w:pPr>
      <w:r w:rsidRPr="000243CF">
        <w:rPr>
          <w:rFonts w:ascii="標楷體" w:eastAsia="標楷體" w:hAnsi="標楷體" w:hint="eastAsia"/>
          <w:kern w:val="0"/>
        </w:rPr>
        <w:t>轉移性鱗狀非小細胞肺癌第一線用藥：限</w:t>
      </w:r>
      <w:r w:rsidRPr="000243CF">
        <w:rPr>
          <w:rFonts w:ascii="標楷體" w:eastAsia="標楷體" w:hAnsi="標楷體"/>
          <w:kern w:val="0"/>
        </w:rPr>
        <w:t>pembrolizumab</w:t>
      </w:r>
      <w:r w:rsidRPr="000243CF">
        <w:rPr>
          <w:rFonts w:ascii="標楷體" w:eastAsia="標楷體" w:hAnsi="標楷體" w:hint="eastAsia"/>
          <w:kern w:val="0"/>
        </w:rPr>
        <w:t>與</w:t>
      </w:r>
      <w:r w:rsidRPr="000243CF">
        <w:rPr>
          <w:rFonts w:ascii="標楷體" w:eastAsia="標楷體" w:hAnsi="標楷體"/>
          <w:kern w:val="0"/>
        </w:rPr>
        <w:t>carboplatin</w:t>
      </w:r>
      <w:r w:rsidRPr="000243CF">
        <w:rPr>
          <w:rFonts w:ascii="標楷體" w:eastAsia="標楷體" w:hAnsi="標楷體" w:hint="eastAsia"/>
          <w:kern w:val="0"/>
        </w:rPr>
        <w:t>及</w:t>
      </w:r>
      <w:r w:rsidRPr="000243CF">
        <w:rPr>
          <w:rFonts w:ascii="標楷體" w:eastAsia="標楷體" w:hAnsi="標楷體"/>
          <w:kern w:val="0"/>
        </w:rPr>
        <w:t>paclitaxel</w:t>
      </w:r>
      <w:r w:rsidRPr="000243CF">
        <w:rPr>
          <w:rFonts w:ascii="標楷體" w:eastAsia="標楷體" w:hAnsi="標楷體" w:hint="eastAsia"/>
          <w:kern w:val="0"/>
        </w:rPr>
        <w:t>併用至多使用</w:t>
      </w:r>
      <w:r w:rsidRPr="000243CF">
        <w:rPr>
          <w:rFonts w:ascii="標楷體" w:eastAsia="標楷體" w:hAnsi="標楷體"/>
          <w:kern w:val="0"/>
        </w:rPr>
        <w:t>4</w:t>
      </w:r>
      <w:r w:rsidRPr="000243CF">
        <w:rPr>
          <w:rFonts w:ascii="標楷體" w:eastAsia="標楷體" w:hAnsi="標楷體" w:hint="eastAsia"/>
          <w:kern w:val="0"/>
        </w:rPr>
        <w:t>個療程，接續單用</w:t>
      </w:r>
      <w:r w:rsidRPr="000243CF">
        <w:rPr>
          <w:rFonts w:ascii="標楷體" w:eastAsia="標楷體" w:hAnsi="標楷體"/>
          <w:kern w:val="0"/>
        </w:rPr>
        <w:t>pembrolizumab</w:t>
      </w:r>
      <w:r w:rsidRPr="000243CF">
        <w:rPr>
          <w:rFonts w:ascii="標楷體" w:eastAsia="標楷體" w:hAnsi="標楷體" w:hint="eastAsia"/>
          <w:kern w:val="0"/>
        </w:rPr>
        <w:t>治療。</w:t>
      </w:r>
      <w:r w:rsidRPr="000243CF">
        <w:rPr>
          <w:rFonts w:ascii="標楷體" w:eastAsia="標楷體" w:hAnsi="標楷體"/>
          <w:kern w:val="0"/>
        </w:rPr>
        <w:t>(112/12/1</w:t>
      </w:r>
      <w:r w:rsidRPr="000243CF">
        <w:rPr>
          <w:rFonts w:ascii="標楷體" w:eastAsia="標楷體" w:hAnsi="標楷體" w:hint="eastAsia"/>
          <w:kern w:val="0"/>
        </w:rPr>
        <w:t>、</w:t>
      </w:r>
      <w:r w:rsidRPr="000243CF">
        <w:rPr>
          <w:rFonts w:ascii="標楷體" w:eastAsia="標楷體" w:hAnsi="標楷體"/>
          <w:kern w:val="0"/>
        </w:rPr>
        <w:t>113/4/1</w:t>
      </w:r>
      <w:r w:rsidRPr="000243CF">
        <w:rPr>
          <w:rFonts w:ascii="標楷體" w:eastAsia="標楷體" w:hAnsi="標楷體" w:hint="eastAsia"/>
          <w:kern w:val="0"/>
        </w:rPr>
        <w:t>、</w:t>
      </w:r>
      <w:r w:rsidRPr="000243CF">
        <w:rPr>
          <w:rFonts w:ascii="標楷體" w:eastAsia="標楷體" w:hAnsi="標楷體"/>
          <w:kern w:val="0"/>
        </w:rPr>
        <w:t>113/8/1)</w:t>
      </w:r>
    </w:p>
    <w:p w14:paraId="22A53AD1" w14:textId="77777777" w:rsidR="004374CA" w:rsidRPr="000243CF" w:rsidRDefault="004374CA" w:rsidP="004374CA">
      <w:pPr>
        <w:pStyle w:val="a9"/>
        <w:numPr>
          <w:ilvl w:val="0"/>
          <w:numId w:val="49"/>
        </w:numPr>
        <w:suppressAutoHyphens w:val="0"/>
        <w:autoSpaceDN/>
        <w:spacing w:line="400" w:lineRule="exact"/>
        <w:ind w:leftChars="354" w:left="1275" w:hangingChars="177" w:hanging="425"/>
        <w:jc w:val="both"/>
        <w:textAlignment w:val="auto"/>
        <w:rPr>
          <w:rFonts w:ascii="標楷體" w:eastAsia="標楷體" w:hAnsi="標楷體"/>
          <w:kern w:val="0"/>
        </w:rPr>
      </w:pPr>
      <w:r w:rsidRPr="000243CF">
        <w:rPr>
          <w:rFonts w:ascii="標楷體" w:eastAsia="標楷體" w:hAnsi="標楷體" w:hint="eastAsia"/>
          <w:kern w:val="0"/>
        </w:rPr>
        <w:t>轉移性非鱗狀非小細胞肺癌第一線：限pembrolizumab與pemetrexed(限使用</w:t>
      </w:r>
      <w:proofErr w:type="spellStart"/>
      <w:r w:rsidRPr="000243CF">
        <w:rPr>
          <w:rFonts w:ascii="標楷體" w:eastAsia="標楷體" w:hAnsi="標楷體" w:hint="eastAsia"/>
          <w:kern w:val="0"/>
        </w:rPr>
        <w:t>Pexeda</w:t>
      </w:r>
      <w:proofErr w:type="spellEnd"/>
      <w:r w:rsidRPr="000243CF">
        <w:rPr>
          <w:rFonts w:ascii="標楷體" w:eastAsia="標楷體" w:hAnsi="標楷體" w:hint="eastAsia"/>
          <w:kern w:val="0"/>
        </w:rPr>
        <w:t>、</w:t>
      </w:r>
      <w:proofErr w:type="spellStart"/>
      <w:r w:rsidRPr="000243CF">
        <w:rPr>
          <w:rFonts w:ascii="標楷體" w:eastAsia="標楷體" w:hAnsi="標楷體" w:hint="eastAsia"/>
          <w:kern w:val="0"/>
        </w:rPr>
        <w:t>Apeta</w:t>
      </w:r>
      <w:proofErr w:type="spellEnd"/>
      <w:r w:rsidRPr="000243CF">
        <w:rPr>
          <w:rFonts w:ascii="標楷體" w:eastAsia="標楷體" w:hAnsi="標楷體" w:hint="eastAsia"/>
          <w:kern w:val="0"/>
        </w:rPr>
        <w:t>或Pemetrexed Sandoz)及含鉑類化學療法併用，或限atezolizumab與bevacizumab(限使用</w:t>
      </w:r>
      <w:proofErr w:type="spellStart"/>
      <w:r w:rsidRPr="000243CF">
        <w:rPr>
          <w:rFonts w:ascii="標楷體" w:eastAsia="標楷體" w:hAnsi="標楷體" w:hint="eastAsia"/>
          <w:kern w:val="0"/>
        </w:rPr>
        <w:t>Alymsys</w:t>
      </w:r>
      <w:proofErr w:type="spellEnd"/>
      <w:r w:rsidRPr="000243CF">
        <w:rPr>
          <w:rFonts w:ascii="標楷體" w:eastAsia="標楷體" w:hAnsi="標楷體" w:hint="eastAsia"/>
          <w:kern w:val="0"/>
        </w:rPr>
        <w:t>、Avastin、</w:t>
      </w:r>
      <w:proofErr w:type="spellStart"/>
      <w:r w:rsidRPr="000243CF">
        <w:rPr>
          <w:rFonts w:ascii="標楷體" w:eastAsia="標楷體" w:hAnsi="標楷體" w:hint="eastAsia"/>
          <w:kern w:val="0"/>
        </w:rPr>
        <w:t>Abevmy</w:t>
      </w:r>
      <w:proofErr w:type="spellEnd"/>
      <w:r w:rsidRPr="000243CF">
        <w:rPr>
          <w:rFonts w:ascii="標楷體" w:eastAsia="標楷體" w:hAnsi="標楷體" w:hint="eastAsia"/>
          <w:kern w:val="0"/>
        </w:rPr>
        <w:t>、</w:t>
      </w:r>
      <w:proofErr w:type="spellStart"/>
      <w:r w:rsidRPr="000243CF">
        <w:rPr>
          <w:rFonts w:ascii="標楷體" w:eastAsia="標楷體" w:hAnsi="標楷體" w:hint="eastAsia"/>
          <w:kern w:val="0"/>
        </w:rPr>
        <w:t>Vegzelma</w:t>
      </w:r>
      <w:proofErr w:type="spellEnd"/>
      <w:r w:rsidRPr="000243CF">
        <w:rPr>
          <w:rFonts w:ascii="標楷體" w:eastAsia="標楷體" w:hAnsi="標楷體" w:hint="eastAsia"/>
          <w:kern w:val="0"/>
        </w:rPr>
        <w:t>或</w:t>
      </w:r>
      <w:proofErr w:type="spellStart"/>
      <w:r w:rsidRPr="000243CF">
        <w:rPr>
          <w:rFonts w:ascii="標楷體" w:eastAsia="標楷體" w:hAnsi="標楷體" w:hint="eastAsia"/>
          <w:kern w:val="0"/>
        </w:rPr>
        <w:t>Mvasi</w:t>
      </w:r>
      <w:proofErr w:type="spellEnd"/>
      <w:r w:rsidRPr="000243CF">
        <w:rPr>
          <w:rFonts w:ascii="標楷體" w:eastAsia="標楷體" w:hAnsi="標楷體" w:hint="eastAsia"/>
          <w:kern w:val="0"/>
        </w:rPr>
        <w:t>)及carboplatin、paclitaxel併用，做為轉移性且不具有EGFR/ALK/ROS-1腫瘤基因異常的非鱗狀非小細胞肺癌第一線治療。(114/6/1、114/8/1)</w:t>
      </w:r>
    </w:p>
    <w:p w14:paraId="37CE38D3" w14:textId="77777777" w:rsidR="004374CA" w:rsidRDefault="004374CA" w:rsidP="004374CA">
      <w:pPr>
        <w:spacing w:line="400" w:lineRule="exact"/>
        <w:ind w:left="1134" w:hanging="386"/>
      </w:pPr>
      <w:r>
        <w:rPr>
          <w:rFonts w:ascii="標楷體" w:eastAsia="標楷體" w:hAnsi="標楷體"/>
          <w:szCs w:val="24"/>
        </w:rPr>
        <w:t>(3)小細胞肺癌：</w:t>
      </w:r>
      <w:r>
        <w:rPr>
          <w:rFonts w:ascii="標楷體" w:eastAsia="標楷體" w:hAnsi="標楷體"/>
          <w:kern w:val="0"/>
          <w:szCs w:val="24"/>
        </w:rPr>
        <w:t>限atezolizumab與carboplatin及etoposide併用，或durvalumab與etoposide及carboplatin或cisplatin兩者之一併用，適用於先前未曾接受化療，且無腦部或無脊髓轉移之擴散期(extensive stage)小細胞肺癌成人患者。(112/12/1、114/2/1)</w:t>
      </w:r>
    </w:p>
    <w:p w14:paraId="7D66B969" w14:textId="77777777" w:rsidR="004374CA" w:rsidRDefault="004374CA" w:rsidP="004374CA">
      <w:pPr>
        <w:spacing w:line="400" w:lineRule="exact"/>
        <w:ind w:left="1134" w:hanging="386"/>
      </w:pPr>
      <w:r>
        <w:rPr>
          <w:rFonts w:ascii="標楷體" w:eastAsia="標楷體" w:hAnsi="標楷體"/>
          <w:kern w:val="0"/>
          <w:szCs w:val="24"/>
        </w:rPr>
        <w:t>(4)惡性肋膜間皮瘤：限ipilimumab與nivolumab併用於無法切除之惡性肋膜間皮瘤且病理組織顯示為非上皮型(Non-epithelioid)成人病人的第一線治療。(113/4/1、113/6/1</w:t>
      </w:r>
      <w:r>
        <w:rPr>
          <w:rFonts w:ascii="標楷體" w:eastAsia="標楷體" w:hAnsi="標楷體"/>
          <w:szCs w:val="24"/>
          <w:lang w:val="zh-TW" w:bidi="zh-TW"/>
        </w:rPr>
        <w:t>、115/2/1</w:t>
      </w:r>
      <w:r>
        <w:rPr>
          <w:rFonts w:ascii="標楷體" w:eastAsia="標楷體" w:hAnsi="標楷體"/>
          <w:kern w:val="0"/>
          <w:szCs w:val="24"/>
        </w:rPr>
        <w:t>)</w:t>
      </w:r>
    </w:p>
    <w:p w14:paraId="68E3EB47" w14:textId="77777777" w:rsidR="004374CA" w:rsidRDefault="004374CA" w:rsidP="004374CA">
      <w:pPr>
        <w:spacing w:line="400" w:lineRule="exact"/>
        <w:ind w:left="1134" w:hanging="386"/>
      </w:pPr>
      <w:r>
        <w:rPr>
          <w:rFonts w:ascii="標楷體" w:eastAsia="標楷體" w:hAnsi="標楷體"/>
          <w:kern w:val="0"/>
          <w:szCs w:val="24"/>
        </w:rPr>
        <w:t>(5)胃癌（不含胃腸基質瘤及神經內分泌腫瘤/癌）：(113/4/1、113/6/1</w:t>
      </w:r>
      <w:r>
        <w:rPr>
          <w:rFonts w:ascii="標楷體" w:eastAsia="標楷體" w:hAnsi="標楷體"/>
          <w:szCs w:val="24"/>
          <w:lang w:val="zh-TW" w:bidi="zh-TW"/>
        </w:rPr>
        <w:t>、115/2/1、115/4/1</w:t>
      </w:r>
      <w:r>
        <w:rPr>
          <w:rFonts w:ascii="標楷體" w:eastAsia="標楷體" w:hAnsi="標楷體"/>
          <w:kern w:val="0"/>
          <w:szCs w:val="24"/>
        </w:rPr>
        <w:t>)</w:t>
      </w:r>
    </w:p>
    <w:p w14:paraId="0AC5DFA2" w14:textId="77777777" w:rsidR="004374CA" w:rsidRDefault="004374CA" w:rsidP="004374CA">
      <w:pPr>
        <w:pStyle w:val="a9"/>
        <w:numPr>
          <w:ilvl w:val="0"/>
          <w:numId w:val="45"/>
        </w:numPr>
        <w:spacing w:line="400" w:lineRule="exact"/>
        <w:ind w:left="1418" w:hanging="284"/>
      </w:pPr>
      <w:r>
        <w:rPr>
          <w:rFonts w:ascii="標楷體" w:eastAsia="標楷體" w:hAnsi="標楷體"/>
          <w:kern w:val="0"/>
        </w:rPr>
        <w:t>限nivolumab併用fluoropyrimidine（5-FU或capecitabine）及oxaliplatin，用於第一線治療晚期或轉移性且不具有HER2過度表現的胃癌病人。(113/4/1、113/6/1</w:t>
      </w:r>
      <w:r>
        <w:rPr>
          <w:rFonts w:ascii="標楷體" w:eastAsia="標楷體" w:hAnsi="標楷體"/>
          <w:lang w:val="zh-TW" w:bidi="zh-TW"/>
        </w:rPr>
        <w:t>、115/2/1</w:t>
      </w:r>
      <w:r>
        <w:rPr>
          <w:rFonts w:ascii="標楷體" w:eastAsia="標楷體" w:hAnsi="標楷體"/>
          <w:kern w:val="0"/>
        </w:rPr>
        <w:t>)</w:t>
      </w:r>
    </w:p>
    <w:p w14:paraId="6420FF59" w14:textId="77777777" w:rsidR="004374CA" w:rsidRDefault="004374CA" w:rsidP="004374CA">
      <w:pPr>
        <w:pStyle w:val="a9"/>
        <w:numPr>
          <w:ilvl w:val="0"/>
          <w:numId w:val="45"/>
        </w:numPr>
        <w:spacing w:line="400" w:lineRule="exact"/>
        <w:ind w:left="1276" w:hanging="284"/>
        <w:rPr>
          <w:rFonts w:ascii="標楷體" w:eastAsia="標楷體" w:hAnsi="標楷體"/>
          <w:kern w:val="0"/>
        </w:rPr>
      </w:pPr>
      <w:r>
        <w:rPr>
          <w:rFonts w:ascii="標楷體" w:eastAsia="標楷體" w:hAnsi="標楷體"/>
          <w:kern w:val="0"/>
        </w:rPr>
        <w:t>與</w:t>
      </w:r>
      <w:proofErr w:type="spellStart"/>
      <w:r>
        <w:rPr>
          <w:rFonts w:ascii="標楷體" w:eastAsia="標楷體" w:hAnsi="標楷體"/>
          <w:kern w:val="0"/>
        </w:rPr>
        <w:t>zolbetuximab</w:t>
      </w:r>
      <w:proofErr w:type="spellEnd"/>
      <w:r>
        <w:rPr>
          <w:rFonts w:ascii="標楷體" w:eastAsia="標楷體" w:hAnsi="標楷體"/>
          <w:kern w:val="0"/>
        </w:rPr>
        <w:t>僅得擇一使用，且治療失敗時不可互換。(115/4/1)</w:t>
      </w:r>
    </w:p>
    <w:p w14:paraId="60F0EDB2" w14:textId="77777777" w:rsidR="004374CA" w:rsidRDefault="004374CA" w:rsidP="004374CA">
      <w:pPr>
        <w:spacing w:line="400" w:lineRule="exact"/>
        <w:ind w:left="1134" w:hanging="386"/>
        <w:rPr>
          <w:rFonts w:ascii="標楷體" w:eastAsia="標楷體" w:hAnsi="標楷體"/>
          <w:kern w:val="0"/>
          <w:szCs w:val="24"/>
        </w:rPr>
      </w:pPr>
      <w:r>
        <w:rPr>
          <w:rFonts w:ascii="標楷體" w:eastAsia="標楷體" w:hAnsi="標楷體"/>
          <w:kern w:val="0"/>
          <w:szCs w:val="24"/>
        </w:rPr>
        <w:t>(6)膽道癌第一線用藥：限durvalumab與cisplatin及 gemcitabine併用至多使用8個療程，接續單用durvalumab於先前未接受過治療或不可手術之局部晚期或轉移性膽道癌 (biliary tract cancer)，並須排除以下任一情形：(114/2/1)</w:t>
      </w:r>
    </w:p>
    <w:p w14:paraId="15DBA2E1" w14:textId="77777777" w:rsidR="004374CA" w:rsidRDefault="004374CA" w:rsidP="004374CA">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Ⅰ.壺腹癌。</w:t>
      </w:r>
    </w:p>
    <w:p w14:paraId="260443B8" w14:textId="77777777" w:rsidR="004374CA" w:rsidRDefault="004374CA" w:rsidP="004374CA">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Ⅱ.曾接受異體器官移植。</w:t>
      </w:r>
    </w:p>
    <w:p w14:paraId="0CA6A33E" w14:textId="77777777" w:rsidR="004374CA" w:rsidRDefault="004374CA" w:rsidP="004374CA">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Ⅲ.具有或曾有活動性自體免疫或發炎性疾病。</w:t>
      </w:r>
    </w:p>
    <w:p w14:paraId="6FD13A3E" w14:textId="77777777" w:rsidR="004374CA" w:rsidRDefault="004374CA" w:rsidP="004374CA">
      <w:pPr>
        <w:spacing w:line="400" w:lineRule="exact"/>
        <w:ind w:left="1134" w:hanging="386"/>
        <w:rPr>
          <w:rFonts w:ascii="標楷體" w:eastAsia="標楷體" w:hAnsi="標楷體"/>
          <w:kern w:val="0"/>
          <w:szCs w:val="24"/>
        </w:rPr>
      </w:pPr>
      <w:bookmarkStart w:id="28" w:name="_Hlk191060681"/>
      <w:r>
        <w:rPr>
          <w:rFonts w:ascii="標楷體" w:eastAsia="標楷體" w:hAnsi="標楷體"/>
          <w:kern w:val="0"/>
          <w:szCs w:val="24"/>
        </w:rPr>
        <w:t>(7)早期三陰性乳癌：非轉移性、第II期至第</w:t>
      </w:r>
      <w:proofErr w:type="spellStart"/>
      <w:r>
        <w:rPr>
          <w:rFonts w:ascii="標楷體" w:eastAsia="標楷體" w:hAnsi="標楷體"/>
          <w:kern w:val="0"/>
          <w:szCs w:val="24"/>
        </w:rPr>
        <w:t>IIIb</w:t>
      </w:r>
      <w:proofErr w:type="spellEnd"/>
      <w:r>
        <w:rPr>
          <w:rFonts w:ascii="標楷體" w:eastAsia="標楷體" w:hAnsi="標楷體"/>
          <w:kern w:val="0"/>
          <w:szCs w:val="24"/>
        </w:rPr>
        <w:t>期</w:t>
      </w:r>
      <w:bookmarkEnd w:id="28"/>
      <w:r>
        <w:rPr>
          <w:rFonts w:ascii="標楷體" w:eastAsia="標楷體" w:hAnsi="標楷體"/>
          <w:kern w:val="0"/>
          <w:szCs w:val="24"/>
        </w:rPr>
        <w:t>（cT1c N1-2 或 T2-4 N0-2）成年病人(114/6/1)：</w:t>
      </w:r>
    </w:p>
    <w:p w14:paraId="48B4499E" w14:textId="77777777" w:rsidR="004374CA" w:rsidRDefault="004374CA" w:rsidP="004374CA">
      <w:pPr>
        <w:numPr>
          <w:ilvl w:val="0"/>
          <w:numId w:val="46"/>
        </w:numPr>
        <w:tabs>
          <w:tab w:val="left" w:pos="1418"/>
        </w:tabs>
        <w:suppressAutoHyphens w:val="0"/>
        <w:spacing w:line="400" w:lineRule="exact"/>
        <w:ind w:left="1701" w:hanging="425"/>
        <w:jc w:val="both"/>
        <w:textAlignment w:val="auto"/>
      </w:pPr>
      <w:r>
        <w:rPr>
          <w:rFonts w:ascii="標楷體" w:eastAsia="標楷體" w:hAnsi="標楷體"/>
          <w:kern w:val="0"/>
          <w:szCs w:val="24"/>
        </w:rPr>
        <w:lastRenderedPageBreak/>
        <w:t>術前前導性治療：</w:t>
      </w:r>
      <w:r>
        <w:rPr>
          <w:rFonts w:ascii="標楷體" w:eastAsia="標楷體" w:hAnsi="標楷體" w:cs="新細明體"/>
          <w:kern w:val="0"/>
          <w:szCs w:val="24"/>
        </w:rPr>
        <w:t>限pembrolizumab每3週1次與carboplatin和paclitaxel併用至多4個療程，接續限pembrolizumab每3週1次與cyclophosphamide和doxorubicin或</w:t>
      </w:r>
      <w:proofErr w:type="spellStart"/>
      <w:r>
        <w:rPr>
          <w:rFonts w:ascii="標楷體" w:eastAsia="標楷體" w:hAnsi="標楷體" w:cs="新細明體"/>
          <w:kern w:val="0"/>
          <w:szCs w:val="24"/>
        </w:rPr>
        <w:t>epirubicin</w:t>
      </w:r>
      <w:proofErr w:type="spellEnd"/>
      <w:r>
        <w:rPr>
          <w:rFonts w:ascii="標楷體" w:eastAsia="標楷體" w:hAnsi="標楷體" w:cs="新細明體"/>
          <w:kern w:val="0"/>
          <w:szCs w:val="24"/>
        </w:rPr>
        <w:t>併用至多4個療程，做為初診斷病人前導性治療用藥。</w:t>
      </w:r>
      <w:bookmarkStart w:id="29" w:name="_Hlk191373815"/>
    </w:p>
    <w:bookmarkEnd w:id="29"/>
    <w:p w14:paraId="47791E38" w14:textId="77777777" w:rsidR="004374CA" w:rsidRDefault="004374CA" w:rsidP="004374CA">
      <w:pPr>
        <w:numPr>
          <w:ilvl w:val="0"/>
          <w:numId w:val="46"/>
        </w:numPr>
        <w:tabs>
          <w:tab w:val="left" w:pos="1418"/>
        </w:tabs>
        <w:suppressAutoHyphens w:val="0"/>
        <w:spacing w:line="400" w:lineRule="exact"/>
        <w:ind w:left="1701" w:hanging="425"/>
        <w:jc w:val="both"/>
        <w:textAlignment w:val="auto"/>
        <w:rPr>
          <w:rFonts w:ascii="標楷體" w:eastAsia="標楷體" w:hAnsi="標楷體"/>
          <w:kern w:val="0"/>
          <w:szCs w:val="24"/>
        </w:rPr>
      </w:pPr>
      <w:r>
        <w:rPr>
          <w:rFonts w:ascii="標楷體" w:eastAsia="標楷體" w:hAnsi="標楷體"/>
          <w:kern w:val="0"/>
          <w:szCs w:val="24"/>
        </w:rPr>
        <w:t>術後輔助治療：上述病人接受過術前前導性治療後，限手術後未達</w:t>
      </w:r>
      <w:proofErr w:type="spellStart"/>
      <w:r>
        <w:rPr>
          <w:rFonts w:ascii="標楷體" w:eastAsia="標楷體" w:hAnsi="標楷體"/>
          <w:kern w:val="0"/>
          <w:szCs w:val="24"/>
        </w:rPr>
        <w:t>pCR</w:t>
      </w:r>
      <w:proofErr w:type="spellEnd"/>
      <w:r>
        <w:rPr>
          <w:rFonts w:ascii="標楷體" w:eastAsia="標楷體" w:hAnsi="標楷體"/>
          <w:kern w:val="0"/>
          <w:szCs w:val="24"/>
        </w:rPr>
        <w:t>者，單用pembrolizumab每3週1次，做為輔助治療用藥，且至多使用9個療程。</w:t>
      </w:r>
    </w:p>
    <w:p w14:paraId="0C8932CC" w14:textId="77777777" w:rsidR="004374CA" w:rsidRDefault="004374CA" w:rsidP="004374CA">
      <w:pPr>
        <w:numPr>
          <w:ilvl w:val="0"/>
          <w:numId w:val="46"/>
        </w:numPr>
        <w:tabs>
          <w:tab w:val="left" w:pos="1418"/>
        </w:tabs>
        <w:suppressAutoHyphens w:val="0"/>
        <w:spacing w:line="400" w:lineRule="exact"/>
        <w:ind w:left="1701" w:hanging="425"/>
        <w:jc w:val="both"/>
        <w:textAlignment w:val="auto"/>
        <w:rPr>
          <w:rFonts w:ascii="標楷體" w:eastAsia="標楷體" w:hAnsi="標楷體"/>
          <w:kern w:val="0"/>
          <w:szCs w:val="24"/>
        </w:rPr>
      </w:pPr>
      <w:r>
        <w:rPr>
          <w:rFonts w:ascii="標楷體" w:eastAsia="標楷體" w:hAnsi="標楷體"/>
          <w:kern w:val="0"/>
          <w:szCs w:val="24"/>
        </w:rPr>
        <w:t>上述pembrolizumab用於早期三陰性乳癌依前述療程規定至多使用17個療程，且用於術後輔助治療，pembrolizumab與</w:t>
      </w:r>
      <w:proofErr w:type="spellStart"/>
      <w:r>
        <w:rPr>
          <w:rFonts w:ascii="標楷體" w:eastAsia="標楷體" w:hAnsi="標楷體"/>
          <w:kern w:val="0"/>
          <w:szCs w:val="24"/>
        </w:rPr>
        <w:t>olaparib</w:t>
      </w:r>
      <w:proofErr w:type="spellEnd"/>
      <w:r>
        <w:rPr>
          <w:rFonts w:ascii="標楷體" w:eastAsia="標楷體" w:hAnsi="標楷體"/>
          <w:kern w:val="0"/>
          <w:szCs w:val="24"/>
        </w:rPr>
        <w:t>僅能擇一支付。</w:t>
      </w:r>
    </w:p>
    <w:p w14:paraId="066E7788" w14:textId="77777777" w:rsidR="004374CA" w:rsidRDefault="004374CA" w:rsidP="004374CA">
      <w:pPr>
        <w:pStyle w:val="a9"/>
        <w:numPr>
          <w:ilvl w:val="0"/>
          <w:numId w:val="47"/>
        </w:numPr>
        <w:suppressAutoHyphens w:val="0"/>
        <w:snapToGrid w:val="0"/>
        <w:spacing w:line="400" w:lineRule="exact"/>
        <w:ind w:left="1072" w:hanging="362"/>
        <w:textAlignment w:val="auto"/>
      </w:pPr>
      <w:r>
        <w:rPr>
          <w:rFonts w:ascii="標楷體" w:eastAsia="標楷體" w:hAnsi="標楷體"/>
        </w:rPr>
        <w:t>食道鱗狀細胞癌：</w:t>
      </w:r>
      <w:r>
        <w:rPr>
          <w:rFonts w:ascii="標楷體" w:eastAsia="標楷體" w:hAnsi="標楷體"/>
          <w:kern w:val="0"/>
        </w:rPr>
        <w:t>限nivolumab</w:t>
      </w:r>
      <w:r>
        <w:rPr>
          <w:rFonts w:ascii="標楷體" w:eastAsia="標楷體" w:hAnsi="標楷體"/>
        </w:rPr>
        <w:t>與fluoropyrimidine及cisplatin或oxaliplatin併用，用於無法接受化學放射性治療或手術切除等治癒性治療之晚期或轉移性食道鱗狀細胞癌成人病人的第一線治療。(115/2/1)</w:t>
      </w:r>
    </w:p>
    <w:p w14:paraId="56EC5174" w14:textId="77777777" w:rsidR="004374CA" w:rsidRDefault="004374CA" w:rsidP="004374CA">
      <w:pPr>
        <w:tabs>
          <w:tab w:val="left" w:pos="1418"/>
        </w:tabs>
        <w:spacing w:line="400" w:lineRule="exact"/>
        <w:ind w:left="1072" w:hanging="362"/>
        <w:jc w:val="both"/>
        <w:rPr>
          <w:rFonts w:ascii="標楷體" w:eastAsia="標楷體" w:hAnsi="標楷體"/>
          <w:szCs w:val="24"/>
        </w:rPr>
      </w:pPr>
      <w:r>
        <w:rPr>
          <w:rFonts w:ascii="標楷體" w:eastAsia="標楷體" w:hAnsi="標楷體"/>
          <w:szCs w:val="24"/>
        </w:rPr>
        <w:t>(9)泌尿道上皮癌：限nivolumab與cisplatin及gemcitabine併用至多6個療程，接續限單用nivolumab，做為無法切除或轉移性泌尿道上皮癌成人病人的第一線治療。(115/2/1)</w:t>
      </w:r>
    </w:p>
    <w:p w14:paraId="42FDC00F" w14:textId="77777777" w:rsidR="004374CA" w:rsidRDefault="004374CA" w:rsidP="004374CA">
      <w:pPr>
        <w:tabs>
          <w:tab w:val="left" w:pos="945"/>
        </w:tabs>
        <w:spacing w:line="400" w:lineRule="exact"/>
        <w:ind w:left="-2" w:firstLine="569"/>
        <w:rPr>
          <w:rFonts w:ascii="標楷體" w:eastAsia="標楷體" w:hAnsi="標楷體"/>
        </w:rPr>
      </w:pPr>
      <w:r>
        <w:rPr>
          <w:rFonts w:ascii="標楷體" w:eastAsia="標楷體" w:hAnsi="標楷體"/>
        </w:rPr>
        <w:t>3.使用條件：</w:t>
      </w:r>
    </w:p>
    <w:p w14:paraId="1BBDCF07" w14:textId="77777777" w:rsidR="004374CA" w:rsidRDefault="004374CA" w:rsidP="004374CA">
      <w:pPr>
        <w:spacing w:line="400" w:lineRule="exact"/>
        <w:ind w:left="1134" w:hanging="386"/>
      </w:pPr>
      <w:r>
        <w:rPr>
          <w:rFonts w:ascii="標楷體" w:eastAsia="標楷體" w:hAnsi="標楷體"/>
        </w:rPr>
        <w:t>(1)</w:t>
      </w:r>
      <w:r>
        <w:rPr>
          <w:rFonts w:ascii="標楷體" w:eastAsia="標楷體" w:hAnsi="標楷體"/>
        </w:rPr>
        <w:tab/>
        <w:t>病人</w:t>
      </w:r>
      <w:r>
        <w:rPr>
          <w:rFonts w:ascii="標楷體" w:eastAsia="標楷體" w:hAnsi="標楷體"/>
          <w:kern w:val="0"/>
          <w:szCs w:val="24"/>
        </w:rPr>
        <w:t>身體狀況良好(ECOG≦1)。</w:t>
      </w:r>
    </w:p>
    <w:p w14:paraId="5BBBEF45" w14:textId="77777777" w:rsidR="004374CA" w:rsidRDefault="004374CA" w:rsidP="004374CA">
      <w:pPr>
        <w:spacing w:line="400" w:lineRule="exact"/>
        <w:ind w:left="1134" w:hanging="386"/>
      </w:pPr>
      <w:r>
        <w:rPr>
          <w:rFonts w:ascii="標楷體" w:eastAsia="標楷體" w:hAnsi="標楷體"/>
          <w:kern w:val="0"/>
          <w:szCs w:val="24"/>
        </w:rPr>
        <w:t>(2)</w:t>
      </w:r>
      <w:r>
        <w:rPr>
          <w:rFonts w:ascii="標楷體" w:eastAsia="標楷體" w:hAnsi="標楷體"/>
          <w:kern w:val="0"/>
          <w:szCs w:val="24"/>
        </w:rPr>
        <w:tab/>
        <w:t>病人之</w:t>
      </w:r>
      <w:r>
        <w:rPr>
          <w:rFonts w:ascii="標楷體" w:eastAsia="標楷體" w:hAnsi="標楷體"/>
        </w:rPr>
        <w:t>心肺與肝腎功能須符合下列所有條件：</w:t>
      </w:r>
    </w:p>
    <w:p w14:paraId="53D71EF4" w14:textId="77777777" w:rsidR="004374CA" w:rsidRDefault="004374CA" w:rsidP="004374CA">
      <w:pPr>
        <w:tabs>
          <w:tab w:val="left" w:pos="1418"/>
        </w:tabs>
        <w:spacing w:line="400" w:lineRule="exact"/>
        <w:ind w:left="1418" w:hanging="284"/>
        <w:jc w:val="both"/>
        <w:rPr>
          <w:rFonts w:ascii="標楷體" w:eastAsia="標楷體" w:hAnsi="標楷體"/>
        </w:rPr>
      </w:pPr>
      <w:r>
        <w:rPr>
          <w:rFonts w:ascii="標楷體" w:eastAsia="標楷體" w:hAnsi="標楷體"/>
        </w:rPr>
        <w:t>I.NYHA(the New York Heart Association) Functional Class I或II</w:t>
      </w:r>
    </w:p>
    <w:p w14:paraId="7ECB5E43" w14:textId="77777777" w:rsidR="004374CA" w:rsidRDefault="004374CA" w:rsidP="004374CA">
      <w:pPr>
        <w:tabs>
          <w:tab w:val="left" w:pos="1418"/>
          <w:tab w:val="left" w:pos="2552"/>
        </w:tabs>
        <w:spacing w:line="400" w:lineRule="exact"/>
        <w:ind w:left="1276" w:hanging="284"/>
        <w:jc w:val="both"/>
        <w:rPr>
          <w:rFonts w:ascii="標楷體" w:eastAsia="標楷體" w:hAnsi="標楷體"/>
        </w:rPr>
      </w:pPr>
      <w:r>
        <w:rPr>
          <w:rFonts w:ascii="標楷體" w:eastAsia="標楷體" w:hAnsi="標楷體"/>
        </w:rPr>
        <w:t>II.GOT&lt;60U/L及GPT&lt;60U/L，且T-bilirubin&lt;1.5mg/dL (晚期肝細胞癌以及膽道癌病人可免除此條件)(114/2/1)</w:t>
      </w:r>
    </w:p>
    <w:p w14:paraId="5AEC388F" w14:textId="77777777" w:rsidR="004374CA" w:rsidRDefault="004374CA" w:rsidP="004374CA">
      <w:pPr>
        <w:tabs>
          <w:tab w:val="left" w:pos="1418"/>
          <w:tab w:val="left" w:pos="2552"/>
        </w:tabs>
        <w:spacing w:line="400" w:lineRule="exact"/>
        <w:ind w:left="1276" w:hanging="284"/>
        <w:jc w:val="both"/>
      </w:pPr>
      <w:r>
        <w:rPr>
          <w:rFonts w:ascii="標楷體" w:eastAsia="標楷體" w:hAnsi="標楷體"/>
        </w:rPr>
        <w:t>III.腎功能：(晚期腎細胞癌病人可免除此條件) (109/4/1、112/10/1</w:t>
      </w:r>
      <w:r>
        <w:rPr>
          <w:rFonts w:ascii="標楷體" w:eastAsia="標楷體" w:hAnsi="標楷體"/>
          <w:szCs w:val="24"/>
          <w:lang w:val="zh-TW" w:bidi="zh-TW"/>
        </w:rPr>
        <w:t>、115/2/1</w:t>
      </w:r>
      <w:r>
        <w:rPr>
          <w:rFonts w:ascii="標楷體" w:eastAsia="標楷體" w:hAnsi="標楷體"/>
        </w:rPr>
        <w:t>)</w:t>
      </w:r>
    </w:p>
    <w:p w14:paraId="3342A87B" w14:textId="77777777" w:rsidR="004374CA" w:rsidRDefault="004374CA" w:rsidP="004374CA">
      <w:pPr>
        <w:tabs>
          <w:tab w:val="left" w:pos="1185"/>
          <w:tab w:val="left" w:pos="1418"/>
        </w:tabs>
        <w:spacing w:line="400" w:lineRule="exact"/>
        <w:ind w:left="1560" w:hanging="284"/>
        <w:jc w:val="both"/>
      </w:pPr>
      <w:proofErr w:type="spellStart"/>
      <w:r>
        <w:rPr>
          <w:rFonts w:ascii="標楷體" w:eastAsia="標楷體" w:hAnsi="標楷體"/>
        </w:rPr>
        <w:t>i</w:t>
      </w:r>
      <w:proofErr w:type="spellEnd"/>
      <w:r>
        <w:rPr>
          <w:rFonts w:ascii="標楷體" w:eastAsia="標楷體" w:hAnsi="標楷體"/>
        </w:rPr>
        <w:t>.泌尿道上皮癌第一線用藥：</w:t>
      </w:r>
      <w:r>
        <w:rPr>
          <w:rFonts w:ascii="標楷體" w:eastAsia="標楷體" w:hAnsi="標楷體"/>
          <w:szCs w:val="24"/>
        </w:rPr>
        <w:t>單獨使用pembrolizumab須符合</w:t>
      </w:r>
      <w:r>
        <w:rPr>
          <w:rFonts w:ascii="標楷體" w:eastAsia="標楷體" w:hAnsi="標楷體"/>
        </w:rPr>
        <w:t>eGFR&gt;30mL/min/1.73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rPr>
        <w:t>且&lt;60mL/min/1.73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szCs w:val="24"/>
        </w:rPr>
        <w:t xml:space="preserve">；nivolumab併用化療須符合eGFR </w:t>
      </w:r>
      <w:r>
        <w:rPr>
          <w:rFonts w:ascii="Times New Roman" w:eastAsia="標楷體" w:hAnsi="Times New Roman"/>
          <w:szCs w:val="24"/>
        </w:rPr>
        <w:t>≥</w:t>
      </w:r>
      <w:r>
        <w:rPr>
          <w:rFonts w:ascii="標楷體" w:eastAsia="標楷體" w:hAnsi="標楷體"/>
          <w:szCs w:val="24"/>
        </w:rPr>
        <w:t>60mL/min/1.73m2</w:t>
      </w:r>
      <w:r>
        <w:rPr>
          <w:rFonts w:ascii="標楷體" w:eastAsia="標楷體" w:hAnsi="標楷體"/>
        </w:rPr>
        <w:t>。</w:t>
      </w:r>
    </w:p>
    <w:p w14:paraId="1F464B0E" w14:textId="77777777" w:rsidR="004374CA" w:rsidRDefault="004374CA" w:rsidP="004374CA">
      <w:pPr>
        <w:tabs>
          <w:tab w:val="left" w:pos="1185"/>
          <w:tab w:val="left" w:pos="1418"/>
        </w:tabs>
        <w:spacing w:line="400" w:lineRule="exact"/>
        <w:ind w:left="1560" w:hanging="284"/>
        <w:jc w:val="both"/>
      </w:pPr>
      <w:r>
        <w:rPr>
          <w:rFonts w:ascii="標楷體" w:eastAsia="標楷體" w:hAnsi="標楷體"/>
        </w:rPr>
        <w:t>ii.泌尿道上皮癌第二線用藥：eGFR&gt;30mL/min/1.73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rPr>
        <w:t>。</w:t>
      </w:r>
    </w:p>
    <w:p w14:paraId="66BA1FCA" w14:textId="77777777" w:rsidR="004374CA" w:rsidRDefault="004374CA" w:rsidP="004374CA">
      <w:pPr>
        <w:tabs>
          <w:tab w:val="left" w:pos="1185"/>
          <w:tab w:val="left" w:pos="1418"/>
        </w:tabs>
        <w:spacing w:line="400" w:lineRule="exact"/>
        <w:ind w:left="1560" w:hanging="284"/>
        <w:jc w:val="both"/>
      </w:pPr>
      <w:r>
        <w:rPr>
          <w:rFonts w:ascii="標楷體" w:eastAsia="標楷體" w:hAnsi="標楷體"/>
          <w:szCs w:val="24"/>
        </w:rPr>
        <w:t>iii.泌尿道上皮癌維持治療（112/10/1）</w:t>
      </w:r>
      <w:r>
        <w:rPr>
          <w:rFonts w:ascii="標楷體" w:eastAsia="標楷體" w:hAnsi="標楷體"/>
        </w:rPr>
        <w:t>：</w:t>
      </w:r>
      <w:r>
        <w:rPr>
          <w:rFonts w:ascii="標楷體" w:eastAsia="標楷體" w:hAnsi="標楷體"/>
          <w:szCs w:val="24"/>
        </w:rPr>
        <w:t>eGFR&gt;30mL/min/1.73m</w:t>
      </w:r>
      <w:r>
        <w:rPr>
          <w:rFonts w:ascii="標楷體" w:eastAsia="標楷體" w:hAnsi="標楷體"/>
          <w:szCs w:val="24"/>
          <w:vertAlign w:val="superscript"/>
        </w:rPr>
        <w:t>2</w:t>
      </w:r>
      <w:r>
        <w:rPr>
          <w:rFonts w:ascii="標楷體" w:eastAsia="標楷體" w:hAnsi="標楷體"/>
          <w:szCs w:val="24"/>
        </w:rPr>
        <w:t>。</w:t>
      </w:r>
    </w:p>
    <w:p w14:paraId="0D628212" w14:textId="77777777" w:rsidR="004374CA" w:rsidRDefault="004374CA" w:rsidP="004374CA">
      <w:pPr>
        <w:tabs>
          <w:tab w:val="left" w:pos="1185"/>
          <w:tab w:val="left" w:pos="1418"/>
        </w:tabs>
        <w:spacing w:line="400" w:lineRule="exact"/>
        <w:ind w:left="1560" w:hanging="284"/>
        <w:jc w:val="both"/>
      </w:pPr>
      <w:r>
        <w:rPr>
          <w:rFonts w:ascii="標楷體" w:eastAsia="標楷體" w:hAnsi="標楷體"/>
          <w:szCs w:val="24"/>
        </w:rPr>
        <w:t>iv.</w:t>
      </w:r>
      <w:r>
        <w:rPr>
          <w:rFonts w:ascii="標楷體" w:eastAsia="標楷體" w:hAnsi="標楷體"/>
        </w:rPr>
        <w:t>其他癌別：Creatinine&lt;1.5mg/dL且eGFR&gt;60mL/min/1.73m</w:t>
      </w:r>
      <w:r>
        <w:rPr>
          <w:rFonts w:ascii="標楷體" w:eastAsia="標楷體" w:hAnsi="標楷體"/>
          <w:vertAlign w:val="superscript"/>
        </w:rPr>
        <w:t>2</w:t>
      </w:r>
      <w:r>
        <w:rPr>
          <w:rFonts w:ascii="標楷體" w:eastAsia="標楷體" w:hAnsi="標楷體"/>
        </w:rPr>
        <w:t>。</w:t>
      </w:r>
    </w:p>
    <w:p w14:paraId="17249F6B" w14:textId="77777777" w:rsidR="004374CA" w:rsidRDefault="004374CA" w:rsidP="004374CA">
      <w:pPr>
        <w:tabs>
          <w:tab w:val="left" w:pos="2552"/>
        </w:tabs>
        <w:spacing w:line="400" w:lineRule="exact"/>
        <w:ind w:left="1133" w:hanging="564"/>
        <w:jc w:val="both"/>
      </w:pPr>
      <w:r>
        <w:rPr>
          <w:rFonts w:ascii="標楷體" w:eastAsia="標楷體" w:hAnsi="標楷體"/>
        </w:rPr>
        <w:t xml:space="preserve"> (3)病人</w:t>
      </w:r>
      <w:r>
        <w:rPr>
          <w:rFonts w:ascii="標楷體" w:eastAsia="標楷體" w:hAnsi="標楷體"/>
          <w:szCs w:val="24"/>
        </w:rPr>
        <w:t>之生物標記表現：除ipilimumab與nivolumab併用於惡性肋膜間皮瘤外，依個別藥品使用其對應之第三等級體外診斷醫療器材(class III IVD)所檢測之PD-L1表現量需符合下表：(109/4/1、109/6/1、111/4/1、112/8/1、112/10/1、112/12/1、113/2/1、113/4/1、113/6/1、113/8/1、114/2/1、114/6/1、114/8/1、114/10/1</w:t>
      </w:r>
      <w:r>
        <w:rPr>
          <w:rFonts w:ascii="標楷體" w:eastAsia="標楷體" w:hAnsi="標楷體"/>
          <w:szCs w:val="24"/>
          <w:lang w:val="zh-TW" w:bidi="zh-TW"/>
        </w:rPr>
        <w:t>、</w:t>
      </w:r>
      <w:r>
        <w:rPr>
          <w:rFonts w:ascii="標楷體" w:eastAsia="標楷體" w:hAnsi="標楷體"/>
          <w:szCs w:val="24"/>
          <w:lang w:bidi="zh-TW"/>
        </w:rPr>
        <w:t>115/2/1</w:t>
      </w:r>
      <w:r>
        <w:rPr>
          <w:rFonts w:ascii="標楷體" w:eastAsia="標楷體" w:hAnsi="標楷體"/>
          <w:szCs w:val="24"/>
        </w:rPr>
        <w:t>、115/5/1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szCs w:val="24"/>
        </w:rPr>
        <w:t>)</w:t>
      </w:r>
    </w:p>
    <w:tbl>
      <w:tblPr>
        <w:tblW w:w="5849" w:type="pct"/>
        <w:jc w:val="center"/>
        <w:tblCellMar>
          <w:left w:w="10" w:type="dxa"/>
          <w:right w:w="10" w:type="dxa"/>
        </w:tblCellMar>
        <w:tblLook w:val="0000" w:firstRow="0" w:lastRow="0" w:firstColumn="0" w:lastColumn="0" w:noHBand="0" w:noVBand="0"/>
      </w:tblPr>
      <w:tblGrid>
        <w:gridCol w:w="1463"/>
        <w:gridCol w:w="526"/>
        <w:gridCol w:w="1671"/>
        <w:gridCol w:w="1487"/>
        <w:gridCol w:w="1614"/>
        <w:gridCol w:w="1038"/>
        <w:gridCol w:w="1622"/>
        <w:gridCol w:w="1842"/>
      </w:tblGrid>
      <w:tr w:rsidR="004374CA" w14:paraId="2D25DB51" w14:textId="77777777" w:rsidTr="00423BD4">
        <w:trPr>
          <w:cantSplit/>
          <w:trHeight w:val="406"/>
          <w:tblHeader/>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3048C28" w14:textId="77777777" w:rsidR="004374CA" w:rsidRDefault="004374CA" w:rsidP="00423BD4">
            <w:pPr>
              <w:widowControl/>
              <w:spacing w:line="400" w:lineRule="exact"/>
              <w:jc w:val="center"/>
              <w:rPr>
                <w:rFonts w:ascii="標楷體" w:eastAsia="標楷體" w:hAnsi="標楷體"/>
                <w:kern w:val="0"/>
                <w:sz w:val="20"/>
                <w:szCs w:val="20"/>
              </w:rPr>
            </w:pPr>
            <w:r>
              <w:rPr>
                <w:rFonts w:ascii="標楷體" w:eastAsia="標楷體" w:hAnsi="標楷體"/>
                <w:kern w:val="0"/>
                <w:sz w:val="20"/>
                <w:szCs w:val="20"/>
              </w:rPr>
              <w:lastRenderedPageBreak/>
              <w:t>給付範圍</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081D4E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事審代碼</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FD0FA2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pembrolizumab</w:t>
            </w:r>
          </w:p>
          <w:p w14:paraId="6F18B2E1" w14:textId="77777777" w:rsidR="004374CA" w:rsidRDefault="004374CA" w:rsidP="00423BD4">
            <w:pPr>
              <w:spacing w:line="400" w:lineRule="exact"/>
              <w:jc w:val="center"/>
            </w:pPr>
            <w:r>
              <w:rPr>
                <w:rFonts w:ascii="標楷體" w:eastAsia="標楷體" w:hAnsi="標楷體"/>
                <w:sz w:val="20"/>
                <w:szCs w:val="20"/>
              </w:rPr>
              <w:t>(</w:t>
            </w:r>
            <w:proofErr w:type="spellStart"/>
            <w:r>
              <w:rPr>
                <w:rFonts w:ascii="標楷體" w:eastAsia="標楷體" w:hAnsi="標楷體"/>
                <w:sz w:val="20"/>
                <w:szCs w:val="20"/>
              </w:rPr>
              <w:t>Dako</w:t>
            </w:r>
            <w:proofErr w:type="spellEnd"/>
            <w:r>
              <w:rPr>
                <w:rFonts w:ascii="標楷體" w:eastAsia="標楷體" w:hAnsi="標楷體"/>
                <w:sz w:val="20"/>
                <w:szCs w:val="20"/>
              </w:rPr>
              <w:t xml:space="preserve"> 22C3或Ventana SP263*)</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1935B5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nivolumab</w:t>
            </w:r>
          </w:p>
          <w:p w14:paraId="2D2437A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w:t>
            </w:r>
            <w:proofErr w:type="spellStart"/>
            <w:r>
              <w:rPr>
                <w:rFonts w:ascii="標楷體" w:eastAsia="標楷體" w:hAnsi="標楷體"/>
                <w:sz w:val="20"/>
                <w:szCs w:val="20"/>
              </w:rPr>
              <w:t>Dako</w:t>
            </w:r>
            <w:proofErr w:type="spellEnd"/>
            <w:r>
              <w:rPr>
                <w:rFonts w:ascii="標楷體" w:eastAsia="標楷體" w:hAnsi="標楷體"/>
                <w:sz w:val="20"/>
                <w:szCs w:val="20"/>
              </w:rPr>
              <w:t xml:space="preserve"> 28-8或Ventana SP263*)</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178D99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atezolizumab</w:t>
            </w:r>
          </w:p>
          <w:p w14:paraId="7440455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(Ventana SP142)</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0B1832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avelumab</w:t>
            </w:r>
          </w:p>
          <w:p w14:paraId="150274B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(Ventana SP263*)</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A449E1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durvalumab</w:t>
            </w:r>
          </w:p>
          <w:p w14:paraId="5571E41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(Ventana SP263*)</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D4863B5" w14:textId="77777777" w:rsidR="004374CA" w:rsidRDefault="004374CA" w:rsidP="00423BD4">
            <w:pPr>
              <w:spacing w:line="400" w:lineRule="exact"/>
              <w:jc w:val="center"/>
              <w:rPr>
                <w:rFonts w:ascii="標楷體" w:eastAsia="標楷體" w:hAnsi="標楷體"/>
                <w:sz w:val="20"/>
                <w:szCs w:val="20"/>
              </w:rPr>
            </w:pPr>
            <w:proofErr w:type="spellStart"/>
            <w:r>
              <w:rPr>
                <w:rFonts w:ascii="標楷體" w:eastAsia="標楷體" w:hAnsi="標楷體"/>
                <w:sz w:val="20"/>
                <w:szCs w:val="20"/>
              </w:rPr>
              <w:t>cemiplimab</w:t>
            </w:r>
            <w:proofErr w:type="spellEnd"/>
            <w:r>
              <w:rPr>
                <w:rFonts w:ascii="標楷體" w:eastAsia="標楷體" w:hAnsi="標楷體"/>
                <w:sz w:val="20"/>
                <w:szCs w:val="20"/>
              </w:rPr>
              <w:t>(</w:t>
            </w:r>
            <w:proofErr w:type="spellStart"/>
            <w:r>
              <w:rPr>
                <w:rFonts w:ascii="標楷體" w:eastAsia="標楷體" w:hAnsi="標楷體"/>
                <w:sz w:val="20"/>
                <w:szCs w:val="20"/>
              </w:rPr>
              <w:t>Dako</w:t>
            </w:r>
            <w:proofErr w:type="spellEnd"/>
            <w:r>
              <w:rPr>
                <w:rFonts w:ascii="標楷體" w:eastAsia="標楷體" w:hAnsi="標楷體"/>
                <w:sz w:val="20"/>
                <w:szCs w:val="20"/>
              </w:rPr>
              <w:t xml:space="preserve"> 22C3或Ventana SP263*)</w:t>
            </w:r>
          </w:p>
        </w:tc>
      </w:tr>
      <w:tr w:rsidR="004374CA" w14:paraId="193037E1"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05B6D9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黑色素瘤</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E89334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P001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080B4F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4ABF60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409184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BF5DB3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1E7FBB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BB0656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6C4D956"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9DC836F"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hint="eastAsia"/>
                <w:sz w:val="20"/>
                <w:szCs w:val="20"/>
              </w:rPr>
              <w:t>非小細胞肺癌術前輔助治療</w:t>
            </w:r>
            <w:r w:rsidRPr="004374CA">
              <w:rPr>
                <w:rFonts w:ascii="標楷體" w:eastAsia="標楷體" w:hAnsi="標楷體"/>
                <w:sz w:val="20"/>
                <w:szCs w:val="20"/>
              </w:rPr>
              <w:t>(</w:t>
            </w:r>
            <w:r w:rsidRPr="004374CA">
              <w:rPr>
                <w:rFonts w:ascii="標楷體" w:eastAsia="標楷體" w:hAnsi="標楷體" w:hint="eastAsia"/>
                <w:sz w:val="20"/>
                <w:szCs w:val="20"/>
              </w:rPr>
              <w:t>併用</w:t>
            </w:r>
            <w:r w:rsidRPr="004374CA">
              <w:rPr>
                <w:rFonts w:ascii="標楷體" w:eastAsia="標楷體" w:hAnsi="標楷體"/>
                <w:sz w:val="20"/>
                <w:szCs w:val="20"/>
              </w:rPr>
              <w:t>)</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BAB2B37"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P016</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0A5BA6C"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0ED61C0"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hint="eastAsia"/>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DCBFC82"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5A2F30C"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752FBD0"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5931622"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r>
      <w:tr w:rsidR="004374CA" w14:paraId="4D406EB5"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8D2A0EC" w14:textId="77777777" w:rsidR="004374CA" w:rsidRDefault="004374CA" w:rsidP="00423BD4">
            <w:pPr>
              <w:spacing w:line="400" w:lineRule="exact"/>
              <w:jc w:val="center"/>
              <w:rPr>
                <w:rFonts w:ascii="標楷體" w:eastAsia="標楷體" w:hAnsi="標楷體"/>
                <w:kern w:val="0"/>
                <w:sz w:val="20"/>
                <w:szCs w:val="20"/>
              </w:rPr>
            </w:pPr>
            <w:r>
              <w:rPr>
                <w:rFonts w:ascii="標楷體" w:eastAsia="標楷體" w:hAnsi="標楷體"/>
                <w:kern w:val="0"/>
                <w:sz w:val="20"/>
                <w:szCs w:val="20"/>
              </w:rPr>
              <w:t>非小細胞肺癌</w:t>
            </w:r>
          </w:p>
          <w:p w14:paraId="137427B3" w14:textId="77777777" w:rsidR="004374CA" w:rsidRDefault="004374CA" w:rsidP="00423BD4">
            <w:pPr>
              <w:spacing w:line="400" w:lineRule="exact"/>
              <w:jc w:val="center"/>
              <w:rPr>
                <w:rFonts w:ascii="標楷體" w:eastAsia="標楷體" w:hAnsi="標楷體"/>
                <w:kern w:val="0"/>
                <w:sz w:val="20"/>
                <w:szCs w:val="20"/>
              </w:rPr>
            </w:pPr>
            <w:r>
              <w:rPr>
                <w:rFonts w:ascii="標楷體" w:eastAsia="標楷體" w:hAnsi="標楷體"/>
                <w:kern w:val="0"/>
                <w:sz w:val="20"/>
                <w:szCs w:val="20"/>
              </w:rPr>
              <w:t>鞏固治療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A23A6B6" w14:textId="77777777" w:rsidR="004374CA" w:rsidRDefault="004374CA" w:rsidP="00423BD4">
            <w:pPr>
              <w:spacing w:line="400" w:lineRule="exact"/>
              <w:jc w:val="center"/>
              <w:rPr>
                <w:rFonts w:ascii="標楷體" w:eastAsia="標楷體" w:hAnsi="標楷體"/>
                <w:kern w:val="0"/>
                <w:sz w:val="20"/>
                <w:szCs w:val="20"/>
              </w:rPr>
            </w:pPr>
            <w:r>
              <w:rPr>
                <w:rFonts w:ascii="標楷體" w:eastAsia="標楷體" w:hAnsi="標楷體"/>
                <w:kern w:val="0"/>
                <w:sz w:val="20"/>
                <w:szCs w:val="20"/>
              </w:rPr>
              <w:t>P015</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4BF8628" w14:textId="77777777" w:rsidR="004374CA" w:rsidRDefault="004374CA" w:rsidP="00423BD4">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28A97E7" w14:textId="77777777" w:rsidR="004374CA" w:rsidRDefault="004374CA" w:rsidP="00423BD4">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9F25DFF" w14:textId="77777777" w:rsidR="004374CA" w:rsidRDefault="004374CA" w:rsidP="00423BD4">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20CDAD2" w14:textId="77777777" w:rsidR="004374CA" w:rsidRDefault="004374CA" w:rsidP="00423BD4">
            <w:pPr>
              <w:autoSpaceDE w:val="0"/>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233ACA9" w14:textId="77777777" w:rsidR="004374CA" w:rsidRDefault="004374CA" w:rsidP="00423BD4">
            <w:pPr>
              <w:autoSpaceDE w:val="0"/>
              <w:snapToGrid w:val="0"/>
              <w:spacing w:line="400" w:lineRule="exact"/>
              <w:jc w:val="center"/>
            </w:pPr>
            <w:r>
              <w:rPr>
                <w:rFonts w:ascii="標楷體" w:eastAsia="標楷體" w:hAnsi="標楷體"/>
                <w:kern w:val="0"/>
                <w:sz w:val="20"/>
                <w:szCs w:val="20"/>
              </w:rPr>
              <w:t>PD-L1</w:t>
            </w:r>
            <w:r>
              <w:rPr>
                <w:rFonts w:ascii="標楷體" w:eastAsia="標楷體" w:hAnsi="標楷體" w:cs="微軟正黑體"/>
                <w:kern w:val="0"/>
                <w:sz w:val="20"/>
                <w:szCs w:val="20"/>
              </w:rPr>
              <w:t>≧</w:t>
            </w:r>
            <w:r>
              <w:rPr>
                <w:rFonts w:ascii="標楷體" w:eastAsia="標楷體" w:hAnsi="標楷體"/>
                <w:kern w:val="0"/>
                <w:sz w:val="20"/>
                <w:szCs w:val="20"/>
              </w:rPr>
              <w:t xml:space="preserve"> 1%</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373D1B2" w14:textId="77777777" w:rsidR="004374CA" w:rsidRDefault="004374CA" w:rsidP="00423BD4">
            <w:pPr>
              <w:autoSpaceDE w:val="0"/>
              <w:snapToGrid w:val="0"/>
              <w:spacing w:line="400" w:lineRule="exact"/>
              <w:jc w:val="center"/>
            </w:pPr>
            <w:r>
              <w:rPr>
                <w:rFonts w:ascii="標楷體" w:eastAsia="標楷體" w:hAnsi="標楷體"/>
                <w:sz w:val="20"/>
                <w:szCs w:val="20"/>
              </w:rPr>
              <w:t>本藥品尚未給付於此適應症</w:t>
            </w:r>
          </w:p>
        </w:tc>
      </w:tr>
      <w:tr w:rsidR="004374CA" w14:paraId="0483343E"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BE3F5D0" w14:textId="77777777" w:rsidR="004374CA" w:rsidRDefault="004374CA" w:rsidP="00423BD4">
            <w:pPr>
              <w:spacing w:line="400" w:lineRule="exact"/>
              <w:jc w:val="center"/>
            </w:pPr>
            <w:r>
              <w:rPr>
                <w:rFonts w:ascii="標楷體" w:eastAsia="標楷體" w:hAnsi="標楷體"/>
                <w:kern w:val="0"/>
                <w:sz w:val="20"/>
                <w:szCs w:val="20"/>
              </w:rPr>
              <w:t>鱗狀、非鱗狀非小細胞肺癌第一線用藥(單用)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35A012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P013</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EEB3825"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0D5AA6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FF6E56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TC≧50%或IC≧10%</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DCC15F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9733AE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4A7CD7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TPS≧50%</w:t>
            </w:r>
          </w:p>
        </w:tc>
      </w:tr>
      <w:tr w:rsidR="004374CA" w14:paraId="759C2933"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877DD5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非鱗狀非小細胞肺癌第一線用藥</w:t>
            </w:r>
          </w:p>
          <w:p w14:paraId="6973B3B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6C159A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P013</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29939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B2DA7D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18BFAC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22190A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CB7D62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3A03EF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D3A55D1"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2E56E76" w14:textId="77777777" w:rsidR="004374CA" w:rsidRDefault="004374CA" w:rsidP="00423BD4">
            <w:pPr>
              <w:spacing w:line="400" w:lineRule="exact"/>
              <w:jc w:val="center"/>
            </w:pPr>
            <w:r>
              <w:rPr>
                <w:rFonts w:ascii="標楷體" w:eastAsia="標楷體" w:hAnsi="標楷體"/>
                <w:sz w:val="20"/>
                <w:szCs w:val="20"/>
              </w:rPr>
              <w:t>鱗狀非小細胞肺癌第二線用藥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6CB4BC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0260F5F"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F287B57"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F108B8E"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50%或IC</w:t>
            </w:r>
            <w:r>
              <w:rPr>
                <w:rFonts w:ascii="標楷體" w:eastAsia="標楷體" w:hAnsi="標楷體" w:cs="新細明體"/>
                <w:sz w:val="20"/>
                <w:szCs w:val="20"/>
              </w:rPr>
              <w:t>≧</w:t>
            </w:r>
            <w:r>
              <w:rPr>
                <w:rFonts w:ascii="標楷體" w:eastAsia="標楷體" w:hAnsi="標楷體"/>
                <w:sz w:val="20"/>
                <w:szCs w:val="20"/>
              </w:rPr>
              <w:t>10%</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8C67CF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1B5A47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072552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5F33377"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1FB3539" w14:textId="77777777" w:rsidR="004374CA" w:rsidRDefault="004374CA" w:rsidP="00423BD4">
            <w:pPr>
              <w:spacing w:line="400" w:lineRule="exact"/>
              <w:jc w:val="center"/>
            </w:pPr>
            <w:r>
              <w:rPr>
                <w:rFonts w:ascii="標楷體" w:eastAsia="標楷體" w:hAnsi="標楷體"/>
                <w:sz w:val="20"/>
                <w:szCs w:val="20"/>
              </w:rPr>
              <w:t>非鱗狀非小細胞肺癌第三線用藥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35C71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32483AC"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ADC12AF"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7C59C10"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50%或IC</w:t>
            </w:r>
            <w:r>
              <w:rPr>
                <w:rFonts w:ascii="標楷體" w:eastAsia="標楷體" w:hAnsi="標楷體" w:cs="新細明體"/>
                <w:sz w:val="20"/>
                <w:szCs w:val="20"/>
              </w:rPr>
              <w:t>≧</w:t>
            </w:r>
            <w:r>
              <w:rPr>
                <w:rFonts w:ascii="標楷體" w:eastAsia="標楷體" w:hAnsi="標楷體"/>
                <w:sz w:val="20"/>
                <w:szCs w:val="20"/>
              </w:rPr>
              <w:t>10%</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300FF8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856F51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B047B1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F5B8520"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E0A3DB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鱗狀非小細胞肺癌第一線用藥（併用化療）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9EE550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P014</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7407BD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TPS 1~49%</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FDC4EA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1C1810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77FE42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05F7FC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AB511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32793A67"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50EE3F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小細胞肺癌</w:t>
            </w:r>
          </w:p>
          <w:p w14:paraId="774C04D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A62C05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P021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978A1F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3EB5A7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6F9CB3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7F5C3D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A67C8A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A8A9B6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5827D8B"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FC255D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典型何杰金氏淋巴瘤</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D64CDF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P031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F3E25B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E39C5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9489EF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20677F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36091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2D078B9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431B3BE"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A16E9A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lastRenderedPageBreak/>
              <w:t>泌尿道上皮癌維持療法</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C0D9EC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P043</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1920C1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AE6C4A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213A6B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6EEB496" w14:textId="77777777" w:rsidR="004374CA" w:rsidRDefault="004374CA" w:rsidP="00423BD4">
            <w:pPr>
              <w:spacing w:line="400" w:lineRule="exact"/>
              <w:jc w:val="center"/>
            </w:pPr>
            <w:r>
              <w:rPr>
                <w:rFonts w:ascii="標楷體" w:eastAsia="標楷體" w:hAnsi="標楷體"/>
                <w:sz w:val="20"/>
                <w:szCs w:val="20"/>
              </w:rPr>
              <w:t>不需檢附報告</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E92A1A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2A4F6DB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D2F66A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1C94FD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泌尿道上皮癌第一線用藥</w:t>
            </w:r>
          </w:p>
          <w:p w14:paraId="6308164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(單用)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84BD70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085A9C0"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2CDDBA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E716D2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IC≧5%</w:t>
            </w:r>
          </w:p>
          <w:p w14:paraId="1074CA2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(113年8月1日前審核同意符合續用申請條件者)</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B7B3BE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1B6575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B42CFE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B41062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E82E1E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泌尿道上皮癌第一線用藥(併用化療)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E201ED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P044</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14C47D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66C06CD" w14:textId="77777777" w:rsidR="004374CA" w:rsidRDefault="004374CA" w:rsidP="00423BD4">
            <w:pPr>
              <w:spacing w:line="400" w:lineRule="exact"/>
              <w:jc w:val="center"/>
            </w:pPr>
            <w:r>
              <w:rPr>
                <w:rFonts w:ascii="標楷體" w:eastAsia="標楷體" w:hAnsi="標楷體"/>
                <w:sz w:val="20"/>
                <w:szCs w:val="20"/>
              </w:rPr>
              <w:t>TC</w:t>
            </w:r>
            <w:r>
              <w:rPr>
                <w:rFonts w:ascii="Times New Roman" w:eastAsia="標楷體" w:hAnsi="Times New Roman"/>
                <w:sz w:val="20"/>
                <w:szCs w:val="20"/>
              </w:rPr>
              <w:t>≥</w:t>
            </w:r>
            <w:r>
              <w:rPr>
                <w:rFonts w:ascii="標楷體" w:eastAsia="標楷體" w:hAnsi="標楷體"/>
                <w:sz w:val="20"/>
                <w:szCs w:val="20"/>
              </w:rPr>
              <w:t>1%</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94DB33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4E0855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46938D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3B5A9D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24B5382"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896D63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泌尿道上皮癌第二線用藥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DA5156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1341D2A"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74FA602"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5A054B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IC≧5%</w:t>
            </w:r>
          </w:p>
          <w:p w14:paraId="42DF0750" w14:textId="77777777" w:rsidR="004374CA" w:rsidRDefault="004374CA" w:rsidP="00423BD4">
            <w:pPr>
              <w:spacing w:line="400" w:lineRule="exact"/>
              <w:jc w:val="center"/>
            </w:pPr>
            <w:r>
              <w:rPr>
                <w:rFonts w:ascii="標楷體" w:eastAsia="標楷體" w:hAnsi="標楷體"/>
                <w:sz w:val="20"/>
                <w:szCs w:val="20"/>
              </w:rPr>
              <w:t>(113年8月1日前審核同意符合續用申請條件者)</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128543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332A44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8D4444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D0CC13B"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ECF5DF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胃腺癌</w:t>
            </w:r>
          </w:p>
          <w:p w14:paraId="2453DDD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(109年4月1日前審核同意符合續用申請條件者)</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0723B2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P051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954FE6B"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CB13D3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6873C6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2617A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967789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218A989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292239D2"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D5DCF3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胃癌第一線用藥 (併用化療)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2E4836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P052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392906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8BB059B"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≧5</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9D2CFA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774B99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400CF1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E157B2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A0C2603"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110FF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晚期腎細胞癌</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414DCA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P061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F60D69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115515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9DE8BC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9A590A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FAB79C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06BFE6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F4269B4"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F1B247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晚期肝細胞癌(109年4月1日前審核同意符合續用)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F52092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P071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936BC1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3D9C54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p w14:paraId="0471D3E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(109年4月1日前審核同意符合續用申請條件者)</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DDA93F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56C39A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3ECDFB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14E2DD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6A1FAF9"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1DDDFE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晚期肝細胞癌第一線用藥</w:t>
            </w:r>
          </w:p>
          <w:p w14:paraId="47E28B2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90093B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P072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6305AD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81A48F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36D27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不需檢附報告（併用bevacizumab）</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D7F43C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659373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不需檢附報告(併用</w:t>
            </w:r>
            <w:proofErr w:type="spellStart"/>
            <w:r>
              <w:rPr>
                <w:rFonts w:ascii="標楷體" w:eastAsia="標楷體" w:hAnsi="標楷體"/>
                <w:sz w:val="20"/>
                <w:szCs w:val="20"/>
              </w:rPr>
              <w:t>tremelimumab</w:t>
            </w:r>
            <w:proofErr w:type="spellEnd"/>
            <w:r>
              <w:rPr>
                <w:rFonts w:ascii="標楷體" w:eastAsia="標楷體" w:hAnsi="標楷體"/>
                <w:sz w:val="20"/>
                <w:szCs w:val="20"/>
              </w:rPr>
              <w:t>)</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7A8ED3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DE39606"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F261D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lastRenderedPageBreak/>
              <w:t>頭頸部鱗狀細胞癌第一線用藥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434E8C5" w14:textId="77777777" w:rsidR="004374CA" w:rsidRDefault="004374CA" w:rsidP="00423BD4">
            <w:pPr>
              <w:spacing w:line="400" w:lineRule="exact"/>
              <w:jc w:val="center"/>
              <w:rPr>
                <w:rFonts w:ascii="標楷體" w:eastAsia="標楷體" w:hAnsi="標楷體"/>
                <w:kern w:val="0"/>
                <w:sz w:val="20"/>
                <w:szCs w:val="20"/>
                <w:lang w:val="zh-TW" w:bidi="zh-TW"/>
              </w:rPr>
            </w:pPr>
            <w:r>
              <w:rPr>
                <w:rFonts w:ascii="標楷體" w:eastAsia="標楷體" w:hAnsi="標楷體"/>
                <w:kern w:val="0"/>
                <w:sz w:val="20"/>
                <w:szCs w:val="20"/>
                <w:lang w:val="zh-TW" w:bidi="zh-TW"/>
              </w:rPr>
              <w:t>P082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CD282D8" w14:textId="77777777" w:rsidR="004374CA" w:rsidRDefault="004374CA" w:rsidP="00423BD4">
            <w:pPr>
              <w:spacing w:line="400" w:lineRule="exact"/>
              <w:jc w:val="center"/>
            </w:pPr>
            <w:r>
              <w:rPr>
                <w:rFonts w:ascii="標楷體" w:eastAsia="標楷體" w:hAnsi="標楷體"/>
                <w:kern w:val="0"/>
                <w:sz w:val="20"/>
                <w:szCs w:val="20"/>
                <w:lang w:val="zh-TW" w:bidi="zh-TW"/>
              </w:rPr>
              <w:t>CPS</w:t>
            </w:r>
            <w:r>
              <w:rPr>
                <w:rFonts w:ascii="標楷體" w:eastAsia="標楷體" w:hAnsi="標楷體" w:cs="新細明體"/>
                <w:kern w:val="0"/>
                <w:sz w:val="20"/>
                <w:szCs w:val="20"/>
                <w:lang w:val="zh-TW" w:bidi="zh-TW"/>
              </w:rPr>
              <w:t>≧</w:t>
            </w:r>
            <w:r>
              <w:rPr>
                <w:rFonts w:ascii="標楷體" w:eastAsia="標楷體" w:hAnsi="標楷體"/>
                <w:kern w:val="0"/>
                <w:sz w:val="20"/>
                <w:szCs w:val="20"/>
                <w:lang w:val="zh-TW" w:bidi="zh-TW"/>
              </w:rPr>
              <w:t>20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2F25190" w14:textId="77777777" w:rsidR="004374CA" w:rsidRDefault="004374CA" w:rsidP="00423BD4">
            <w:pPr>
              <w:spacing w:line="400" w:lineRule="exact"/>
              <w:jc w:val="cente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52FEAE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A52DDA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80F468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D11C5F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211F91D4"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EFF5E8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頭頸部鱗狀細胞癌第二線用藥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5DA9F5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P081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F207459"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B1C51B3"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10%</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87711E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AF779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2EAE9C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916F77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784FAB6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32A3B7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默克細胞癌</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6375E8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P091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53334C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87C327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FA91BA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597C63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A9CFEC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3E80D3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0F1E320"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3707A7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食道鱗狀細胞癌第一線用藥(併用化療)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D182464" w14:textId="77777777" w:rsidR="004374CA" w:rsidRDefault="004374CA" w:rsidP="00423BD4">
            <w:pPr>
              <w:spacing w:line="400" w:lineRule="exact"/>
              <w:jc w:val="center"/>
            </w:pPr>
            <w:r>
              <w:rPr>
                <w:rFonts w:ascii="標楷體" w:eastAsia="標楷體" w:hAnsi="標楷體"/>
                <w:kern w:val="0"/>
                <w:sz w:val="20"/>
                <w:szCs w:val="20"/>
              </w:rPr>
              <w:t>P102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238EA6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C84E4E8"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≧1</w:t>
            </w:r>
            <w:r>
              <w:rPr>
                <w:rFonts w:ascii="標楷體" w:eastAsia="標楷體" w:hAnsi="標楷體"/>
                <w:sz w:val="20"/>
                <w:szCs w:val="20"/>
              </w:rPr>
              <w:t>%</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14E655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791570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DC54EE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57126F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E25D9F3"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AA2F80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食道鱗狀細胞癌第二線用藥</w:t>
            </w:r>
          </w:p>
          <w:p w14:paraId="4912D1C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(單用)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205BA7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P101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0CE7F6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CF98FAA"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≧1</w:t>
            </w:r>
            <w:r>
              <w:rPr>
                <w:rFonts w:ascii="標楷體" w:eastAsia="標楷體" w:hAnsi="標楷體"/>
                <w:sz w:val="20"/>
                <w:szCs w:val="20"/>
              </w:rPr>
              <w:t>%</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D096E6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DDC88B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07653B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567554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362FB9C9"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D272E2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惡性肋膜間皮瘤(ipilimumab併用nivolumab)</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323213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P111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5BEA6B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E0E322A" w14:textId="77777777" w:rsidR="004374CA" w:rsidRDefault="004374CA" w:rsidP="00423BD4">
            <w:pPr>
              <w:spacing w:line="400" w:lineRule="exact"/>
              <w:jc w:val="center"/>
            </w:pPr>
            <w:r>
              <w:rPr>
                <w:rFonts w:ascii="標楷體" w:eastAsia="標楷體" w:hAnsi="標楷體"/>
                <w:sz w:val="20"/>
                <w:szCs w:val="20"/>
              </w:rPr>
              <w:t>不需檢附報告，</w:t>
            </w:r>
          </w:p>
          <w:p w14:paraId="11A748E2" w14:textId="77777777" w:rsidR="004374CA" w:rsidRDefault="004374CA" w:rsidP="00423BD4">
            <w:pPr>
              <w:spacing w:line="400" w:lineRule="exact"/>
              <w:jc w:val="center"/>
            </w:pPr>
            <w:r>
              <w:rPr>
                <w:rFonts w:ascii="標楷體" w:eastAsia="標楷體" w:hAnsi="標楷體"/>
                <w:kern w:val="0"/>
                <w:sz w:val="20"/>
                <w:szCs w:val="20"/>
              </w:rPr>
              <w:t>病理組織為非上皮型(Non-epithelioid)</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9A3AE7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769C79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01A4E4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C391D8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4CBEEC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FF72EC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膽道癌</w:t>
            </w:r>
          </w:p>
          <w:p w14:paraId="28C9A10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A33F14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P121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5BCC35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59E5BB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7321C8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87E449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F19EF8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107015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32F6229F"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E951A2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早期三陰性乳癌(併用化療)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918D7F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P131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92195A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877756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9E081D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4E19AC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FC7CD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A4D4FA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B077C5E"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79AFCE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大腸直腸癌</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FE4631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P141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7BB106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E71E4C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261EB7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1936A9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F6D9A7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ACCB9F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bl>
    <w:p w14:paraId="193B061B" w14:textId="77777777" w:rsidR="004374CA" w:rsidRDefault="004374CA" w:rsidP="004374CA">
      <w:pPr>
        <w:tabs>
          <w:tab w:val="left" w:pos="1185"/>
        </w:tabs>
        <w:spacing w:line="400" w:lineRule="exact"/>
        <w:ind w:left="588" w:hanging="590"/>
      </w:pPr>
      <w:r>
        <w:rPr>
          <w:rFonts w:ascii="標楷體" w:eastAsia="標楷體" w:hAnsi="標楷體"/>
          <w:sz w:val="20"/>
          <w:szCs w:val="20"/>
        </w:rPr>
        <w:t>* Ventana SP263僅適用於檢測非小細胞肺癌或泌尿道上皮癌維持療法</w:t>
      </w:r>
    </w:p>
    <w:p w14:paraId="0865F947" w14:textId="77777777" w:rsidR="004374CA" w:rsidRDefault="004374CA" w:rsidP="004374CA">
      <w:pPr>
        <w:tabs>
          <w:tab w:val="left" w:pos="1185"/>
        </w:tabs>
        <w:spacing w:line="400" w:lineRule="exact"/>
        <w:ind w:left="1291" w:hanging="440"/>
      </w:pPr>
      <w:r>
        <w:rPr>
          <w:rFonts w:ascii="標楷體" w:eastAsia="標楷體" w:hAnsi="標楷體"/>
        </w:rPr>
        <w:t>(4)每位病人每個適應症限給付一種免疫檢查點抑制劑且不得互換，治療期間亦不可合併申報該適應症之標靶藥物（atezolizumab與bevacizumab併用於晚期肝細胞癌第一線用藥及非鱗狀非小細胞肺癌第一線用藥除外），無效後或給付時程期</w:t>
      </w:r>
      <w:r>
        <w:rPr>
          <w:rFonts w:ascii="標楷體" w:eastAsia="標楷體" w:hAnsi="標楷體"/>
        </w:rPr>
        <w:lastRenderedPageBreak/>
        <w:t>滿後則不再給付該適應症相關之標靶藥物。（</w:t>
      </w:r>
      <w:proofErr w:type="spellStart"/>
      <w:r>
        <w:rPr>
          <w:rFonts w:ascii="標楷體" w:eastAsia="標楷體" w:hAnsi="標楷體"/>
        </w:rPr>
        <w:t>enfortumab</w:t>
      </w:r>
      <w:proofErr w:type="spellEnd"/>
      <w:r>
        <w:rPr>
          <w:rFonts w:ascii="標楷體" w:eastAsia="標楷體" w:hAnsi="標楷體"/>
        </w:rPr>
        <w:t xml:space="preserve"> </w:t>
      </w:r>
      <w:proofErr w:type="spellStart"/>
      <w:r>
        <w:rPr>
          <w:rFonts w:ascii="標楷體" w:eastAsia="標楷體" w:hAnsi="標楷體"/>
        </w:rPr>
        <w:t>vedotin</w:t>
      </w:r>
      <w:proofErr w:type="spellEnd"/>
      <w:r>
        <w:rPr>
          <w:rFonts w:ascii="標楷體" w:eastAsia="標楷體" w:hAnsi="標楷體"/>
        </w:rPr>
        <w:t>用於局部晚期或轉移性泌尿道上皮癌第三線用藥及cetuximab用於頭頸部鱗狀細胞癌(不含鼻咽癌) 除外 ）。(108/4/1、111/6/1、112/8/1、113/5/1、115/2/1)</w:t>
      </w:r>
    </w:p>
    <w:p w14:paraId="4B18C680" w14:textId="77777777" w:rsid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(5)給付時程期限：自初次處方用藥日起算2年（pembrolizumab用於早期三陰性乳癌依前述給付時程期限至多使用17個療程、durvalumab用於鞏固治療自初次處方用藥日起算1年</w:t>
      </w:r>
      <w:r w:rsidRPr="004374CA">
        <w:rPr>
          <w:rFonts w:ascii="標楷體" w:eastAsia="標楷體" w:hAnsi="標楷體" w:hint="eastAsia"/>
          <w:szCs w:val="24"/>
        </w:rPr>
        <w:t>、</w:t>
      </w:r>
      <w:r w:rsidRPr="004374CA">
        <w:rPr>
          <w:rFonts w:ascii="標楷體" w:eastAsia="標楷體" w:hAnsi="標楷體"/>
          <w:kern w:val="0"/>
          <w:szCs w:val="24"/>
        </w:rPr>
        <w:t>nivolumab</w:t>
      </w:r>
      <w:r w:rsidRPr="004374CA">
        <w:rPr>
          <w:rFonts w:ascii="標楷體" w:eastAsia="標楷體" w:hAnsi="標楷體" w:hint="eastAsia"/>
          <w:kern w:val="0"/>
          <w:szCs w:val="24"/>
        </w:rPr>
        <w:t>用於</w:t>
      </w:r>
      <w:r w:rsidRPr="004374CA">
        <w:rPr>
          <w:rFonts w:ascii="標楷體" w:eastAsia="標楷體" w:hAnsi="標楷體"/>
          <w:kern w:val="0"/>
          <w:szCs w:val="24"/>
        </w:rPr>
        <w:t>非小細胞肺癌</w:t>
      </w:r>
      <w:r w:rsidRPr="004374CA">
        <w:rPr>
          <w:rFonts w:ascii="標楷體" w:eastAsia="標楷體" w:hAnsi="標楷體" w:hint="eastAsia"/>
          <w:kern w:val="0"/>
          <w:szCs w:val="24"/>
        </w:rPr>
        <w:t>術前輔助治療至多使用3個療程</w:t>
      </w:r>
      <w:r w:rsidRPr="004374CA">
        <w:rPr>
          <w:rFonts w:ascii="標楷體" w:eastAsia="標楷體" w:hAnsi="標楷體"/>
        </w:rPr>
        <w:t>）。(109/4/1、109/11/1、114/6/1、114/8/1</w:t>
      </w:r>
      <w:r w:rsidRPr="004374CA">
        <w:rPr>
          <w:rFonts w:ascii="標楷體" w:eastAsia="標楷體" w:hAnsi="標楷體" w:cs="標楷體.鬁..." w:hint="eastAsia"/>
          <w:kern w:val="0"/>
          <w:szCs w:val="24"/>
        </w:rPr>
        <w:t>、</w:t>
      </w:r>
      <w:r w:rsidRPr="004374CA">
        <w:rPr>
          <w:rFonts w:ascii="標楷體" w:eastAsia="標楷體" w:hAnsi="標楷體" w:hint="eastAsia"/>
          <w:kern w:val="0"/>
          <w:szCs w:val="24"/>
        </w:rPr>
        <w:t>115/6/1</w:t>
      </w:r>
      <w:r w:rsidRPr="004374CA">
        <w:rPr>
          <w:rFonts w:ascii="標楷體" w:eastAsia="標楷體" w:hAnsi="標楷體"/>
        </w:rPr>
        <w:t>)</w:t>
      </w:r>
    </w:p>
    <w:p w14:paraId="1083EEB3" w14:textId="463B245F" w:rsid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(6)需經事前審查核准後使用。(108/4/1、110/10/1、111/6/1</w:t>
      </w:r>
      <w:r w:rsidRPr="004374CA">
        <w:rPr>
          <w:rFonts w:ascii="標楷體" w:eastAsia="標楷體" w:hAnsi="標楷體" w:cs="標楷體.鬁..." w:hint="eastAsia"/>
          <w:kern w:val="0"/>
          <w:szCs w:val="24"/>
        </w:rPr>
        <w:t>、</w:t>
      </w:r>
      <w:r w:rsidRPr="004374CA">
        <w:rPr>
          <w:rFonts w:ascii="標楷體" w:eastAsia="標楷體" w:hAnsi="標楷體" w:hint="eastAsia"/>
          <w:kern w:val="0"/>
          <w:szCs w:val="24"/>
        </w:rPr>
        <w:t>115/6/1</w:t>
      </w:r>
      <w:r>
        <w:rPr>
          <w:rFonts w:ascii="標楷體" w:eastAsia="標楷體" w:hAnsi="標楷體"/>
        </w:rPr>
        <w:t>)</w:t>
      </w:r>
    </w:p>
    <w:p w14:paraId="30690678" w14:textId="77777777" w:rsidR="004374CA" w:rsidRDefault="004374CA" w:rsidP="004374CA">
      <w:pPr>
        <w:tabs>
          <w:tab w:val="left" w:pos="1185"/>
        </w:tabs>
        <w:spacing w:line="400" w:lineRule="exact"/>
        <w:ind w:left="1291" w:hanging="440"/>
      </w:pPr>
      <w:r>
        <w:rPr>
          <w:rFonts w:ascii="標楷體" w:eastAsia="標楷體" w:hAnsi="標楷體"/>
        </w:rPr>
        <w:t>(7)每次申請以12週為限，初次申請時需檢附以下資料：(108/6/1、109/11/1、111/6/1、113/6/1、114/6/1、115/2/1)</w:t>
      </w:r>
    </w:p>
    <w:p w14:paraId="482A0156"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I.確實患有相關癌症之病理或細胞檢查報告，黑色素瘤患者需另檢附BRAF腫瘤基因檢測結果、非小細胞肺癌患者需另檢附符合給付適應症內容規定之腫瘤基因檢測結果報告，上述基因檢測須符合全民健康保險藥品給付規定之通則十二。(113/6/1)</w:t>
      </w:r>
    </w:p>
    <w:p w14:paraId="0E820E9F"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Ⅱ.生物標記表現量檢測報告：PD-L1表現量檢測結果需符合全民健康保險藥品給付規定之通則十二。(111/6/1、113/6/1)</w:t>
      </w:r>
    </w:p>
    <w:p w14:paraId="2E779D17"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Ⅲ.病人身體狀況良好(ECOG≦1)及心肺與肝腎功能之評估資料。</w:t>
      </w:r>
    </w:p>
    <w:p w14:paraId="3DD23F17"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IV.病人12週內之疾病影像檢查及報告(如胸部X光、電腦斷層或其他可作為評估的影像)，此影像證明以可測量(measurable)的病灶為優先，如沒有可以測量的病灶，則可評估(evaluable)的病灶亦可採用。</w:t>
      </w:r>
    </w:p>
    <w:p w14:paraId="45CB36FD" w14:textId="77777777" w:rsidR="004374CA" w:rsidRDefault="004374CA" w:rsidP="004374CA">
      <w:pPr>
        <w:tabs>
          <w:tab w:val="left" w:pos="1418"/>
        </w:tabs>
        <w:spacing w:line="400" w:lineRule="exact"/>
        <w:ind w:left="1051" w:hanging="245"/>
        <w:rPr>
          <w:rFonts w:ascii="標楷體" w:eastAsia="標楷體" w:hAnsi="標楷體"/>
        </w:rPr>
      </w:pPr>
      <w:r>
        <w:rPr>
          <w:rFonts w:ascii="標楷體" w:eastAsia="標楷體" w:hAnsi="標楷體"/>
        </w:rPr>
        <w:t>備註：上述影像檢查之給付範圍不包括正子造影(PET)。</w:t>
      </w:r>
    </w:p>
    <w:p w14:paraId="20095563"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V.先前已接受過之治療與完整用藥資料(如化學治療、標靶藥物及自費等用藥之劑量及療程)及其治療結果；典型何杰金氏淋巴瘤患者需另檢附自體造血幹細胞移植之病歷紀錄；肝細胞癌患者需另檢附T.A.C.E.治療紀錄。</w:t>
      </w:r>
    </w:p>
    <w:p w14:paraId="211D89C3"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VI.使用免疫檢查點抑制劑之治療計畫(treatment protocol)。</w:t>
      </w:r>
    </w:p>
    <w:p w14:paraId="053ACCAB" w14:textId="77777777" w:rsidR="004374CA" w:rsidRDefault="004374CA" w:rsidP="004374CA">
      <w:pPr>
        <w:tabs>
          <w:tab w:val="left" w:pos="1418"/>
        </w:tabs>
        <w:spacing w:line="400" w:lineRule="exact"/>
        <w:ind w:left="1418" w:hanging="141"/>
        <w:jc w:val="both"/>
      </w:pPr>
      <w:r>
        <w:rPr>
          <w:rFonts w:ascii="標楷體" w:eastAsia="標楷體" w:hAnsi="標楷體"/>
        </w:rPr>
        <w:t>Ⅶ.</w:t>
      </w:r>
      <w:r>
        <w:rPr>
          <w:rFonts w:ascii="標楷體" w:eastAsia="標楷體" w:hAnsi="標楷體"/>
          <w:szCs w:val="24"/>
        </w:rPr>
        <w:t>單獨使用pembrolizumab於泌尿道上皮癌第一線用藥時，須另檢附下列其中一項佐證資料：(111/2/1、114/6/1、115/2/1)</w:t>
      </w:r>
    </w:p>
    <w:p w14:paraId="3BCA72E5" w14:textId="77777777" w:rsidR="004374CA" w:rsidRDefault="004374CA" w:rsidP="004374CA">
      <w:pPr>
        <w:tabs>
          <w:tab w:val="left" w:pos="1185"/>
        </w:tabs>
        <w:spacing w:line="400" w:lineRule="exact"/>
        <w:ind w:left="1985" w:hanging="284"/>
        <w:jc w:val="both"/>
      </w:pPr>
      <w:proofErr w:type="spellStart"/>
      <w:r>
        <w:rPr>
          <w:rFonts w:ascii="標楷體" w:eastAsia="標楷體" w:hAnsi="標楷體"/>
        </w:rPr>
        <w:t>i.</w:t>
      </w:r>
      <w:r>
        <w:rPr>
          <w:rFonts w:ascii="標楷體" w:eastAsia="標楷體" w:hAnsi="標楷體"/>
          <w:szCs w:val="24"/>
        </w:rPr>
        <w:t>CTCAE</w:t>
      </w:r>
      <w:proofErr w:type="spellEnd"/>
      <w:r>
        <w:rPr>
          <w:rFonts w:ascii="標楷體" w:eastAsia="標楷體" w:hAnsi="標楷體"/>
        </w:rPr>
        <w:t>(the common terminology criteria for adverse events) v4.0 grade≧2 audiometric hearing loss</w:t>
      </w:r>
    </w:p>
    <w:p w14:paraId="60A68C90"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ⅱ</w:t>
      </w:r>
      <w:r>
        <w:rPr>
          <w:rFonts w:ascii="標楷體" w:eastAsia="標楷體" w:hAnsi="標楷體"/>
        </w:rPr>
        <w:t>.CTCAE</w:t>
      </w:r>
      <w:proofErr w:type="spellEnd"/>
      <w:r>
        <w:rPr>
          <w:rFonts w:ascii="標楷體" w:eastAsia="標楷體" w:hAnsi="標楷體"/>
        </w:rPr>
        <w:t xml:space="preserve"> v4.0 grade≧2 peripheral neuropathy</w:t>
      </w:r>
    </w:p>
    <w:p w14:paraId="706B5430"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ⅲ</w:t>
      </w:r>
      <w:r>
        <w:rPr>
          <w:rFonts w:ascii="標楷體" w:eastAsia="標楷體" w:hAnsi="標楷體"/>
        </w:rPr>
        <w:t>.CIRS</w:t>
      </w:r>
      <w:proofErr w:type="spellEnd"/>
      <w:r>
        <w:rPr>
          <w:rFonts w:ascii="標楷體" w:eastAsia="標楷體" w:hAnsi="標楷體"/>
        </w:rPr>
        <w:t>(the cumulative illness rating scale) score &gt;6</w:t>
      </w:r>
    </w:p>
    <w:p w14:paraId="6089BA82"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Ⅷ.使用於早期三陰性乳癌</w:t>
      </w:r>
      <w:bookmarkStart w:id="30" w:name="_Hlk183189870"/>
      <w:r>
        <w:rPr>
          <w:rFonts w:ascii="標楷體" w:eastAsia="標楷體" w:hAnsi="標楷體"/>
        </w:rPr>
        <w:t>用藥時，初次申請時需檢附</w:t>
      </w:r>
      <w:bookmarkEnd w:id="30"/>
      <w:r>
        <w:rPr>
          <w:rFonts w:ascii="標楷體" w:eastAsia="標楷體" w:hAnsi="標楷體"/>
        </w:rPr>
        <w:t>ER、PR及HER2為陰性之</w:t>
      </w:r>
    </w:p>
    <w:p w14:paraId="1EC4FDD9" w14:textId="77777777" w:rsidR="004374CA" w:rsidRDefault="004374CA" w:rsidP="004374CA">
      <w:pPr>
        <w:tabs>
          <w:tab w:val="left" w:pos="1985"/>
        </w:tabs>
        <w:spacing w:line="400" w:lineRule="exact"/>
        <w:ind w:left="1701" w:hanging="141"/>
        <w:jc w:val="both"/>
        <w:rPr>
          <w:rFonts w:ascii="標楷體" w:eastAsia="標楷體" w:hAnsi="標楷體"/>
        </w:rPr>
      </w:pPr>
      <w:r>
        <w:rPr>
          <w:rFonts w:ascii="標楷體" w:eastAsia="標楷體" w:hAnsi="標楷體"/>
        </w:rPr>
        <w:t>檢測報告。(114/6/1)</w:t>
      </w:r>
    </w:p>
    <w:p w14:paraId="064B2189" w14:textId="77777777" w:rsidR="004374CA" w:rsidRDefault="004374CA" w:rsidP="004374CA">
      <w:pPr>
        <w:numPr>
          <w:ilvl w:val="0"/>
          <w:numId w:val="48"/>
        </w:numPr>
        <w:suppressAutoHyphens w:val="0"/>
        <w:spacing w:line="400" w:lineRule="exact"/>
        <w:ind w:left="1701" w:hanging="422"/>
        <w:textAlignment w:val="auto"/>
        <w:rPr>
          <w:rFonts w:ascii="標楷體" w:eastAsia="標楷體" w:hAnsi="標楷體"/>
        </w:rPr>
      </w:pPr>
      <w:r>
        <w:rPr>
          <w:rFonts w:ascii="標楷體" w:eastAsia="標楷體" w:hAnsi="標楷體"/>
        </w:rPr>
        <w:t>其他佐證病歷資料。</w:t>
      </w:r>
    </w:p>
    <w:p w14:paraId="0B5244FD" w14:textId="77777777" w:rsidR="004374CA" w:rsidRP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 xml:space="preserve"> (8)用藥後每12週至少評估一次，以</w:t>
      </w:r>
      <w:proofErr w:type="spellStart"/>
      <w:r>
        <w:rPr>
          <w:rFonts w:ascii="標楷體" w:eastAsia="標楷體" w:hAnsi="標楷體"/>
        </w:rPr>
        <w:t>i</w:t>
      </w:r>
      <w:proofErr w:type="spellEnd"/>
      <w:r>
        <w:rPr>
          <w:rFonts w:ascii="標楷體" w:eastAsia="標楷體" w:hAnsi="標楷體"/>
        </w:rPr>
        <w:t>-RECIST標準(HCC患者以</w:t>
      </w:r>
      <w:proofErr w:type="spellStart"/>
      <w:r>
        <w:rPr>
          <w:rFonts w:ascii="標楷體" w:eastAsia="標楷體" w:hAnsi="標楷體"/>
        </w:rPr>
        <w:t>mRECIST</w:t>
      </w:r>
      <w:proofErr w:type="spellEnd"/>
      <w:r>
        <w:rPr>
          <w:rFonts w:ascii="標楷體" w:eastAsia="標楷體" w:hAnsi="標楷體"/>
        </w:rPr>
        <w:t>標準)評定藥物療效反應，依下列原則申請續用：(109/4/1、109/11/1、114/6/1、</w:t>
      </w:r>
      <w:r>
        <w:rPr>
          <w:rFonts w:ascii="標楷體" w:eastAsia="標楷體" w:hAnsi="標楷體"/>
        </w:rPr>
        <w:lastRenderedPageBreak/>
        <w:t>114/8</w:t>
      </w:r>
      <w:r w:rsidRPr="004374CA">
        <w:rPr>
          <w:rFonts w:ascii="標楷體" w:eastAsia="標楷體" w:hAnsi="標楷體"/>
        </w:rPr>
        <w:t>/1</w:t>
      </w:r>
      <w:r w:rsidRPr="004374CA">
        <w:rPr>
          <w:rFonts w:ascii="標楷體" w:eastAsia="標楷體" w:hAnsi="標楷體" w:cs="標楷體.鬁..." w:hint="eastAsia"/>
          <w:kern w:val="0"/>
          <w:szCs w:val="24"/>
        </w:rPr>
        <w:t>、</w:t>
      </w:r>
      <w:r w:rsidRPr="004374CA">
        <w:rPr>
          <w:rFonts w:ascii="標楷體" w:eastAsia="標楷體" w:hAnsi="標楷體" w:hint="eastAsia"/>
          <w:kern w:val="0"/>
          <w:szCs w:val="24"/>
        </w:rPr>
        <w:t>115/6/1</w:t>
      </w:r>
      <w:r w:rsidRPr="004374CA">
        <w:rPr>
          <w:rFonts w:ascii="標楷體" w:eastAsia="標楷體" w:hAnsi="標楷體"/>
        </w:rPr>
        <w:t>)</w:t>
      </w:r>
    </w:p>
    <w:p w14:paraId="6E2D4492" w14:textId="77777777" w:rsidR="004374CA" w:rsidRPr="004374CA" w:rsidRDefault="004374CA" w:rsidP="004374CA">
      <w:pPr>
        <w:spacing w:line="400" w:lineRule="exact"/>
        <w:ind w:leftChars="590" w:left="1697" w:hangingChars="117" w:hanging="281"/>
        <w:rPr>
          <w:rFonts w:ascii="標楷體" w:eastAsia="標楷體" w:hAnsi="標楷體"/>
          <w:kern w:val="0"/>
          <w:szCs w:val="24"/>
        </w:rPr>
      </w:pPr>
      <w:r w:rsidRPr="004374CA">
        <w:rPr>
          <w:rFonts w:ascii="標楷體" w:eastAsia="標楷體" w:hAnsi="標楷體" w:hint="eastAsia"/>
          <w:szCs w:val="24"/>
        </w:rPr>
        <w:t>I.有療效反應</w:t>
      </w:r>
      <w:proofErr w:type="spellStart"/>
      <w:r w:rsidRPr="004374CA">
        <w:rPr>
          <w:rFonts w:ascii="標楷體" w:eastAsia="標楷體" w:hAnsi="標楷體" w:hint="eastAsia"/>
          <w:szCs w:val="24"/>
        </w:rPr>
        <w:t>iPR</w:t>
      </w:r>
      <w:proofErr w:type="spellEnd"/>
      <w:r w:rsidRPr="004374CA">
        <w:rPr>
          <w:rFonts w:ascii="標楷體" w:eastAsia="標楷體" w:hAnsi="標楷體" w:hint="eastAsia"/>
          <w:szCs w:val="24"/>
        </w:rPr>
        <w:t>(PR)、</w:t>
      </w:r>
      <w:proofErr w:type="spellStart"/>
      <w:r w:rsidRPr="004374CA">
        <w:rPr>
          <w:rFonts w:ascii="標楷體" w:eastAsia="標楷體" w:hAnsi="標楷體" w:hint="eastAsia"/>
          <w:szCs w:val="24"/>
        </w:rPr>
        <w:t>iCR</w:t>
      </w:r>
      <w:proofErr w:type="spellEnd"/>
      <w:r w:rsidRPr="004374CA">
        <w:rPr>
          <w:rFonts w:ascii="標楷體" w:eastAsia="標楷體" w:hAnsi="標楷體" w:hint="eastAsia"/>
          <w:szCs w:val="24"/>
        </w:rPr>
        <w:t>(CR)者，或限使用n</w:t>
      </w:r>
      <w:r w:rsidRPr="004374CA">
        <w:rPr>
          <w:rFonts w:ascii="標楷體" w:eastAsia="標楷體" w:hAnsi="標楷體" w:hint="eastAsia"/>
          <w:kern w:val="0"/>
          <w:szCs w:val="24"/>
        </w:rPr>
        <w:t>ivolumab、avelumab、ipilimumab或</w:t>
      </w:r>
      <w:proofErr w:type="spellStart"/>
      <w:r w:rsidRPr="004374CA">
        <w:rPr>
          <w:rFonts w:ascii="標楷體" w:eastAsia="標楷體" w:hAnsi="標楷體" w:hint="eastAsia"/>
          <w:kern w:val="0"/>
          <w:szCs w:val="24"/>
        </w:rPr>
        <w:t>cemiplimab</w:t>
      </w:r>
      <w:proofErr w:type="spellEnd"/>
      <w:r w:rsidRPr="004374CA">
        <w:rPr>
          <w:rFonts w:ascii="標楷體" w:eastAsia="標楷體" w:hAnsi="標楷體" w:hint="eastAsia"/>
          <w:kern w:val="0"/>
          <w:szCs w:val="24"/>
        </w:rPr>
        <w:t>後評估</w:t>
      </w:r>
      <w:r w:rsidRPr="004374CA">
        <w:rPr>
          <w:rFonts w:ascii="標楷體" w:eastAsia="標楷體" w:hAnsi="標楷體" w:hint="eastAsia"/>
          <w:szCs w:val="24"/>
        </w:rPr>
        <w:t>疾病呈穩定狀態</w:t>
      </w:r>
      <w:proofErr w:type="spellStart"/>
      <w:r w:rsidRPr="004374CA">
        <w:rPr>
          <w:rFonts w:ascii="標楷體" w:eastAsia="標楷體" w:hAnsi="標楷體" w:hint="eastAsia"/>
          <w:szCs w:val="24"/>
        </w:rPr>
        <w:t>iSD</w:t>
      </w:r>
      <w:proofErr w:type="spellEnd"/>
      <w:r w:rsidRPr="004374CA">
        <w:rPr>
          <w:rFonts w:ascii="標楷體" w:eastAsia="標楷體" w:hAnsi="標楷體" w:hint="eastAsia"/>
          <w:szCs w:val="24"/>
        </w:rPr>
        <w:t xml:space="preserve"> (SD)者，得繼續用藥；(109/4/1、</w:t>
      </w:r>
      <w:r w:rsidRPr="004374CA">
        <w:rPr>
          <w:rFonts w:ascii="標楷體" w:eastAsia="標楷體" w:hAnsi="標楷體" w:hint="eastAsia"/>
          <w:kern w:val="0"/>
          <w:szCs w:val="24"/>
        </w:rPr>
        <w:t>115/6/1)</w:t>
      </w:r>
    </w:p>
    <w:p w14:paraId="59AC8AC0" w14:textId="77777777" w:rsidR="004374CA" w:rsidRPr="004374CA" w:rsidRDefault="004374CA" w:rsidP="004374CA">
      <w:pPr>
        <w:tabs>
          <w:tab w:val="left" w:pos="1418"/>
        </w:tabs>
        <w:spacing w:line="400" w:lineRule="exact"/>
        <w:ind w:leftChars="590" w:left="1697" w:hangingChars="117" w:hanging="281"/>
        <w:jc w:val="both"/>
        <w:rPr>
          <w:rFonts w:ascii="標楷體" w:eastAsia="標楷體" w:hAnsi="標楷體"/>
          <w:szCs w:val="24"/>
        </w:rPr>
      </w:pPr>
      <w:r w:rsidRPr="004374CA">
        <w:rPr>
          <w:rFonts w:ascii="標楷體" w:eastAsia="標楷體" w:hAnsi="標楷體" w:hint="eastAsia"/>
          <w:szCs w:val="24"/>
        </w:rPr>
        <w:t>II.初始用藥後，如評估疾病呈未確認疾病惡化者(</w:t>
      </w:r>
      <w:proofErr w:type="spellStart"/>
      <w:r w:rsidRPr="004374CA">
        <w:rPr>
          <w:rFonts w:ascii="標楷體" w:eastAsia="標楷體" w:hAnsi="標楷體" w:hint="eastAsia"/>
          <w:szCs w:val="24"/>
        </w:rPr>
        <w:t>iUPD</w:t>
      </w:r>
      <w:proofErr w:type="spellEnd"/>
      <w:r w:rsidRPr="004374CA">
        <w:rPr>
          <w:rFonts w:ascii="標楷體" w:eastAsia="標楷體" w:hAnsi="標楷體" w:hint="eastAsia"/>
          <w:szCs w:val="24"/>
        </w:rPr>
        <w:t>)，可持續用藥4-8週後再次評估；如再次評估，結果為疾病惡化</w:t>
      </w:r>
      <w:proofErr w:type="spellStart"/>
      <w:r w:rsidRPr="004374CA">
        <w:rPr>
          <w:rFonts w:ascii="標楷體" w:eastAsia="標楷體" w:hAnsi="標楷體" w:hint="eastAsia"/>
          <w:szCs w:val="24"/>
        </w:rPr>
        <w:t>iCPD</w:t>
      </w:r>
      <w:proofErr w:type="spellEnd"/>
      <w:r w:rsidRPr="004374CA">
        <w:rPr>
          <w:rFonts w:ascii="標楷體" w:eastAsia="標楷體" w:hAnsi="標楷體" w:hint="eastAsia"/>
          <w:szCs w:val="24"/>
        </w:rPr>
        <w:t xml:space="preserve"> (PD)者，應停止用藥。(</w:t>
      </w:r>
      <w:r w:rsidRPr="004374CA">
        <w:rPr>
          <w:rFonts w:ascii="標楷體" w:eastAsia="標楷體" w:hAnsi="標楷體" w:hint="eastAsia"/>
          <w:kern w:val="0"/>
          <w:szCs w:val="24"/>
        </w:rPr>
        <w:t>115/6/1</w:t>
      </w:r>
      <w:r w:rsidRPr="004374CA">
        <w:rPr>
          <w:rFonts w:ascii="標楷體" w:eastAsia="標楷體" w:hAnsi="標楷體" w:hint="eastAsia"/>
          <w:szCs w:val="24"/>
        </w:rPr>
        <w:t>)</w:t>
      </w:r>
    </w:p>
    <w:p w14:paraId="4B53CF60" w14:textId="77777777" w:rsidR="004374CA" w:rsidRPr="004374CA" w:rsidRDefault="004374CA" w:rsidP="004374CA">
      <w:pPr>
        <w:tabs>
          <w:tab w:val="left" w:pos="1418"/>
        </w:tabs>
        <w:spacing w:line="400" w:lineRule="exact"/>
        <w:ind w:leftChars="590" w:left="1697" w:hangingChars="117" w:hanging="281"/>
        <w:jc w:val="both"/>
        <w:rPr>
          <w:rFonts w:ascii="標楷體" w:eastAsia="標楷體" w:hAnsi="標楷體"/>
          <w:kern w:val="0"/>
          <w:szCs w:val="24"/>
        </w:rPr>
      </w:pPr>
      <w:r w:rsidRPr="004374CA">
        <w:rPr>
          <w:rFonts w:ascii="標楷體" w:eastAsia="標楷體" w:hAnsi="標楷體" w:hint="eastAsia"/>
          <w:szCs w:val="24"/>
        </w:rPr>
        <w:t>Ⅲ.出現疾病惡化</w:t>
      </w:r>
      <w:proofErr w:type="spellStart"/>
      <w:r w:rsidRPr="004374CA">
        <w:rPr>
          <w:rFonts w:ascii="標楷體" w:eastAsia="標楷體" w:hAnsi="標楷體" w:hint="eastAsia"/>
          <w:szCs w:val="24"/>
        </w:rPr>
        <w:t>iCPD</w:t>
      </w:r>
      <w:proofErr w:type="spellEnd"/>
      <w:r w:rsidRPr="004374CA">
        <w:rPr>
          <w:rFonts w:ascii="標楷體" w:eastAsia="標楷體" w:hAnsi="標楷體" w:hint="eastAsia"/>
          <w:szCs w:val="24"/>
        </w:rPr>
        <w:t xml:space="preserve"> (PD)或出現中、重度或危及生命之藥物不良反應者，應停止用藥；(109/4/1、</w:t>
      </w:r>
      <w:r w:rsidRPr="004374CA">
        <w:rPr>
          <w:rFonts w:ascii="標楷體" w:eastAsia="標楷體" w:hAnsi="標楷體" w:hint="eastAsia"/>
          <w:kern w:val="0"/>
          <w:szCs w:val="24"/>
        </w:rPr>
        <w:t>115/6/1)</w:t>
      </w:r>
    </w:p>
    <w:p w14:paraId="75C92350" w14:textId="77777777" w:rsidR="004374CA" w:rsidRPr="004374CA" w:rsidRDefault="004374CA" w:rsidP="004374CA">
      <w:pPr>
        <w:tabs>
          <w:tab w:val="left" w:pos="1701"/>
        </w:tabs>
        <w:spacing w:line="400" w:lineRule="exact"/>
        <w:ind w:left="1701" w:hanging="283"/>
        <w:jc w:val="both"/>
        <w:rPr>
          <w:rFonts w:ascii="標楷體" w:eastAsia="標楷體" w:hAnsi="標楷體" w:cs="新細明體"/>
          <w:kern w:val="0"/>
          <w:szCs w:val="24"/>
        </w:rPr>
      </w:pPr>
      <w:r w:rsidRPr="004374CA">
        <w:rPr>
          <w:rFonts w:ascii="標楷體" w:eastAsia="標楷體" w:hAnsi="標楷體" w:cs="新細明體"/>
          <w:kern w:val="0"/>
          <w:szCs w:val="24"/>
        </w:rPr>
        <w:t>Ⅳ</w:t>
      </w:r>
      <w:r w:rsidRPr="004374CA">
        <w:rPr>
          <w:rFonts w:ascii="標楷體" w:eastAsia="標楷體" w:hAnsi="標楷體" w:cs="新細明體" w:hint="eastAsia"/>
          <w:kern w:val="0"/>
          <w:szCs w:val="24"/>
        </w:rPr>
        <w:t>.</w:t>
      </w:r>
      <w:r w:rsidRPr="004374CA">
        <w:rPr>
          <w:rFonts w:ascii="標楷體" w:eastAsia="標楷體" w:hAnsi="標楷體" w:hint="eastAsia"/>
          <w:szCs w:val="24"/>
        </w:rPr>
        <w:t>使用</w:t>
      </w:r>
      <w:r w:rsidRPr="004374CA">
        <w:rPr>
          <w:rFonts w:ascii="標楷體" w:eastAsia="標楷體" w:hAnsi="標楷體" w:hint="eastAsia"/>
          <w:kern w:val="0"/>
          <w:szCs w:val="24"/>
        </w:rPr>
        <w:t>atezolizumab、pembrolizumab、durvalumab、</w:t>
      </w:r>
      <w:proofErr w:type="spellStart"/>
      <w:r w:rsidRPr="004374CA">
        <w:rPr>
          <w:rFonts w:ascii="標楷體" w:eastAsia="標楷體" w:hAnsi="標楷體" w:hint="eastAsia"/>
          <w:kern w:val="0"/>
          <w:szCs w:val="24"/>
        </w:rPr>
        <w:t>tremelimumab</w:t>
      </w:r>
      <w:proofErr w:type="spellEnd"/>
      <w:r w:rsidRPr="004374CA">
        <w:rPr>
          <w:rFonts w:ascii="標楷體" w:eastAsia="標楷體" w:hAnsi="標楷體" w:hint="eastAsia"/>
          <w:szCs w:val="24"/>
        </w:rPr>
        <w:t>後評估疾病呈穩定狀態者(SD)，可持續再用藥12週，並於12週後再次評估；經連續二次評估皆為SD者，不得申請續用。durvalumab用於非小細胞肺癌之鞏固治療不在此限。(114/8/1、</w:t>
      </w:r>
      <w:r w:rsidRPr="004374CA">
        <w:rPr>
          <w:rFonts w:ascii="標楷體" w:eastAsia="標楷體" w:hAnsi="標楷體" w:hint="eastAsia"/>
          <w:kern w:val="0"/>
          <w:szCs w:val="24"/>
        </w:rPr>
        <w:t>115/6/1</w:t>
      </w:r>
      <w:r w:rsidRPr="004374CA">
        <w:rPr>
          <w:rFonts w:ascii="標楷體" w:eastAsia="標楷體" w:hAnsi="標楷體" w:hint="eastAsia"/>
          <w:szCs w:val="24"/>
        </w:rPr>
        <w:t>)</w:t>
      </w:r>
    </w:p>
    <w:p w14:paraId="405CA0DC" w14:textId="77777777" w:rsidR="004374CA" w:rsidRPr="004374CA" w:rsidRDefault="004374CA" w:rsidP="004374CA">
      <w:pPr>
        <w:tabs>
          <w:tab w:val="left" w:pos="1418"/>
        </w:tabs>
        <w:spacing w:line="400" w:lineRule="exact"/>
        <w:ind w:left="1418" w:hanging="141"/>
        <w:jc w:val="both"/>
        <w:rPr>
          <w:rFonts w:ascii="標楷體" w:eastAsia="標楷體" w:hAnsi="標楷體" w:cs="新細明體"/>
          <w:kern w:val="0"/>
          <w:szCs w:val="24"/>
        </w:rPr>
      </w:pPr>
      <w:r w:rsidRPr="004374CA">
        <w:rPr>
          <w:rFonts w:ascii="標楷體" w:eastAsia="標楷體" w:hAnsi="標楷體" w:cs="新細明體"/>
          <w:kern w:val="0"/>
          <w:szCs w:val="24"/>
        </w:rPr>
        <w:t>Ⅴ使用於早期三陰性乳癌，術前前導性治療腫瘤惡化</w:t>
      </w:r>
      <w:proofErr w:type="spellStart"/>
      <w:r w:rsidRPr="004374CA">
        <w:rPr>
          <w:rFonts w:ascii="標楷體" w:eastAsia="標楷體" w:hAnsi="標楷體" w:hint="eastAsia"/>
          <w:szCs w:val="24"/>
        </w:rPr>
        <w:t>iCPD</w:t>
      </w:r>
      <w:proofErr w:type="spellEnd"/>
      <w:r w:rsidRPr="004374CA">
        <w:rPr>
          <w:rFonts w:ascii="標楷體" w:eastAsia="標楷體" w:hAnsi="標楷體" w:cs="新細明體"/>
          <w:kern w:val="0"/>
          <w:szCs w:val="24"/>
        </w:rPr>
        <w:t>者，或術後輔助治療復發者，不得申請續用。(114/6/1</w:t>
      </w:r>
      <w:r w:rsidRPr="004374CA">
        <w:rPr>
          <w:rFonts w:ascii="標楷體" w:eastAsia="標楷體" w:hAnsi="標楷體" w:hint="eastAsia"/>
          <w:szCs w:val="24"/>
        </w:rPr>
        <w:t>、</w:t>
      </w:r>
      <w:r w:rsidRPr="004374CA">
        <w:rPr>
          <w:rFonts w:ascii="標楷體" w:eastAsia="標楷體" w:hAnsi="標楷體" w:hint="eastAsia"/>
          <w:kern w:val="0"/>
          <w:szCs w:val="24"/>
        </w:rPr>
        <w:t>115/6/1</w:t>
      </w:r>
      <w:r w:rsidRPr="004374CA">
        <w:rPr>
          <w:rFonts w:ascii="標楷體" w:eastAsia="標楷體" w:hAnsi="標楷體" w:cs="新細明體"/>
          <w:kern w:val="0"/>
          <w:szCs w:val="24"/>
        </w:rPr>
        <w:t>)</w:t>
      </w:r>
    </w:p>
    <w:p w14:paraId="3C93E7DF" w14:textId="77777777" w:rsidR="004374CA" w:rsidRPr="004374CA" w:rsidRDefault="004374CA" w:rsidP="004374CA">
      <w:pPr>
        <w:tabs>
          <w:tab w:val="left" w:pos="1185"/>
        </w:tabs>
        <w:spacing w:line="400" w:lineRule="exact"/>
        <w:ind w:left="1291" w:hanging="440"/>
        <w:rPr>
          <w:rFonts w:ascii="標楷體" w:eastAsia="標楷體" w:hAnsi="標楷體"/>
        </w:rPr>
      </w:pPr>
      <w:r w:rsidRPr="004374CA">
        <w:rPr>
          <w:rFonts w:ascii="標楷體" w:eastAsia="標楷體" w:hAnsi="標楷體"/>
        </w:rPr>
        <w:t>(9)申請續用時，需檢附病人12週內之評估資料如下：(108/6/1、109/11/1</w:t>
      </w:r>
      <w:r w:rsidRPr="004374CA">
        <w:rPr>
          <w:rFonts w:ascii="標楷體" w:eastAsia="標楷體" w:hAnsi="標楷體" w:hint="eastAsia"/>
          <w:szCs w:val="24"/>
        </w:rPr>
        <w:t>、</w:t>
      </w:r>
      <w:r w:rsidRPr="004374CA">
        <w:rPr>
          <w:rFonts w:ascii="標楷體" w:eastAsia="標楷體" w:hAnsi="標楷體" w:hint="eastAsia"/>
          <w:kern w:val="0"/>
          <w:szCs w:val="24"/>
        </w:rPr>
        <w:t>115/6/1</w:t>
      </w:r>
      <w:r w:rsidRPr="004374CA">
        <w:rPr>
          <w:rFonts w:ascii="標楷體" w:eastAsia="標楷體" w:hAnsi="標楷體"/>
        </w:rPr>
        <w:t>)</w:t>
      </w:r>
    </w:p>
    <w:p w14:paraId="11332896" w14:textId="77777777" w:rsidR="004374CA" w:rsidRPr="004374CA" w:rsidRDefault="004374CA" w:rsidP="004374CA">
      <w:pPr>
        <w:tabs>
          <w:tab w:val="left" w:pos="1418"/>
        </w:tabs>
        <w:spacing w:line="400" w:lineRule="exact"/>
        <w:ind w:left="1418" w:hanging="141"/>
        <w:jc w:val="both"/>
        <w:rPr>
          <w:rFonts w:ascii="標楷體" w:eastAsia="標楷體" w:hAnsi="標楷體"/>
        </w:rPr>
      </w:pPr>
      <w:r w:rsidRPr="004374CA">
        <w:rPr>
          <w:rFonts w:ascii="標楷體" w:eastAsia="標楷體" w:hAnsi="標楷體"/>
        </w:rPr>
        <w:t>I.病人身體狀況良好(ECOG≦1)及心肺與肝腎功能之評估資料。</w:t>
      </w:r>
    </w:p>
    <w:p w14:paraId="72A8BC69" w14:textId="679A14E3" w:rsidR="004374CA" w:rsidRPr="004374CA" w:rsidRDefault="004374CA" w:rsidP="004374CA">
      <w:pPr>
        <w:tabs>
          <w:tab w:val="left" w:pos="1418"/>
        </w:tabs>
        <w:spacing w:line="400" w:lineRule="exact"/>
        <w:ind w:left="1418" w:hanging="141"/>
        <w:jc w:val="both"/>
        <w:rPr>
          <w:rFonts w:ascii="標楷體" w:eastAsia="標楷體" w:hAnsi="標楷體"/>
        </w:rPr>
      </w:pPr>
      <w:r w:rsidRPr="004374CA">
        <w:rPr>
          <w:rFonts w:ascii="標楷體" w:eastAsia="標楷體" w:hAnsi="標楷體"/>
        </w:rPr>
        <w:t>II.以</w:t>
      </w:r>
      <w:proofErr w:type="spellStart"/>
      <w:r w:rsidRPr="004374CA">
        <w:rPr>
          <w:rFonts w:ascii="標楷體" w:eastAsia="標楷體" w:hAnsi="標楷體"/>
        </w:rPr>
        <w:t>i</w:t>
      </w:r>
      <w:proofErr w:type="spellEnd"/>
      <w:r w:rsidRPr="004374CA">
        <w:rPr>
          <w:rFonts w:ascii="標楷體" w:eastAsia="標楷體" w:hAnsi="標楷體"/>
        </w:rPr>
        <w:t>-RECIST標準(HCC患者以</w:t>
      </w:r>
      <w:proofErr w:type="spellStart"/>
      <w:r w:rsidRPr="004374CA">
        <w:rPr>
          <w:rFonts w:ascii="標楷體" w:eastAsia="標楷體" w:hAnsi="標楷體"/>
        </w:rPr>
        <w:t>mRECIST</w:t>
      </w:r>
      <w:proofErr w:type="spellEnd"/>
      <w:r w:rsidRPr="004374CA">
        <w:rPr>
          <w:rFonts w:ascii="標楷體" w:eastAsia="標楷體" w:hAnsi="標楷體"/>
        </w:rPr>
        <w:t>標準)評定之藥物療效反應資料、影像檢查及報告(如胸部X光、電腦斷層或其他可作為評估的影像)，此影像證明以可測量(measurable)的病灶為優先，如沒有可以測量的病灶，則可評估(evaluable)的病灶亦可採用。</w:t>
      </w:r>
      <w:r w:rsidRPr="004374CA">
        <w:rPr>
          <w:rFonts w:ascii="標楷體" w:eastAsia="標楷體" w:hAnsi="標楷體" w:hint="eastAsia"/>
          <w:szCs w:val="24"/>
        </w:rPr>
        <w:t>(108/6/1、</w:t>
      </w:r>
      <w:r w:rsidRPr="004374CA">
        <w:rPr>
          <w:rFonts w:ascii="標楷體" w:eastAsia="標楷體" w:hAnsi="標楷體" w:hint="eastAsia"/>
          <w:kern w:val="0"/>
          <w:szCs w:val="24"/>
        </w:rPr>
        <w:t>115/6/1)</w:t>
      </w:r>
    </w:p>
    <w:p w14:paraId="4E50F1A5" w14:textId="77777777" w:rsidR="004374CA" w:rsidRDefault="004374CA" w:rsidP="004374CA">
      <w:pPr>
        <w:tabs>
          <w:tab w:val="left" w:pos="1418"/>
        </w:tabs>
        <w:spacing w:line="400" w:lineRule="exact"/>
        <w:ind w:left="1051" w:hanging="245"/>
        <w:rPr>
          <w:rFonts w:ascii="標楷體" w:eastAsia="標楷體" w:hAnsi="標楷體"/>
        </w:rPr>
      </w:pPr>
      <w:r>
        <w:rPr>
          <w:rFonts w:ascii="標楷體" w:eastAsia="標楷體" w:hAnsi="標楷體"/>
        </w:rPr>
        <w:t>備註：上述影像檢查之給付範圍不包括正子造影(PET)。</w:t>
      </w:r>
    </w:p>
    <w:p w14:paraId="12531731" w14:textId="77777777" w:rsidR="004374CA" w:rsidRDefault="004374CA" w:rsidP="004374CA">
      <w:pPr>
        <w:tabs>
          <w:tab w:val="left" w:pos="1418"/>
        </w:tabs>
        <w:spacing w:line="400" w:lineRule="exact"/>
        <w:ind w:left="1418" w:hanging="141"/>
        <w:jc w:val="both"/>
      </w:pPr>
      <w:r>
        <w:rPr>
          <w:rFonts w:ascii="標楷體" w:eastAsia="標楷體" w:hAnsi="標楷體"/>
        </w:rPr>
        <w:t>Ⅲ.</w:t>
      </w:r>
      <w:r>
        <w:rPr>
          <w:rFonts w:ascii="標楷體" w:eastAsia="標楷體" w:hAnsi="標楷體"/>
          <w:szCs w:val="24"/>
        </w:rPr>
        <w:t>單獨使用pembrolizumab於泌尿道上皮癌第一線用藥時，須另檢附下列其中一項佐證資料：(108/6/1、109/11/1、114/6/1、115/2/1)</w:t>
      </w:r>
    </w:p>
    <w:p w14:paraId="18AD7AE2" w14:textId="77777777" w:rsidR="004374CA" w:rsidRDefault="004374CA" w:rsidP="004374CA">
      <w:pPr>
        <w:tabs>
          <w:tab w:val="left" w:pos="1185"/>
        </w:tabs>
        <w:spacing w:line="400" w:lineRule="exact"/>
        <w:ind w:left="1985" w:hanging="284"/>
        <w:jc w:val="both"/>
        <w:rPr>
          <w:rFonts w:ascii="標楷體" w:eastAsia="標楷體" w:hAnsi="標楷體"/>
        </w:rPr>
      </w:pPr>
      <w:proofErr w:type="spellStart"/>
      <w:r>
        <w:rPr>
          <w:rFonts w:ascii="標楷體" w:eastAsia="標楷體" w:hAnsi="標楷體"/>
        </w:rPr>
        <w:t>i.CTCAE</w:t>
      </w:r>
      <w:proofErr w:type="spellEnd"/>
      <w:r>
        <w:rPr>
          <w:rFonts w:ascii="標楷體" w:eastAsia="標楷體" w:hAnsi="標楷體"/>
        </w:rPr>
        <w:t>(the common terminology criteria for adverse events) v4.0 grade≧2 audiometric hearing loss</w:t>
      </w:r>
    </w:p>
    <w:p w14:paraId="524FFFE6"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ⅱ</w:t>
      </w:r>
      <w:r>
        <w:rPr>
          <w:rFonts w:ascii="標楷體" w:eastAsia="標楷體" w:hAnsi="標楷體"/>
        </w:rPr>
        <w:t>.CTCAE</w:t>
      </w:r>
      <w:proofErr w:type="spellEnd"/>
      <w:r>
        <w:rPr>
          <w:rFonts w:ascii="標楷體" w:eastAsia="標楷體" w:hAnsi="標楷體"/>
        </w:rPr>
        <w:t xml:space="preserve"> v4.0 grade≧2 peripheral neuropathy</w:t>
      </w:r>
    </w:p>
    <w:p w14:paraId="6219058D"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ⅲ</w:t>
      </w:r>
      <w:r>
        <w:rPr>
          <w:rFonts w:ascii="標楷體" w:eastAsia="標楷體" w:hAnsi="標楷體"/>
        </w:rPr>
        <w:t>.CIRS</w:t>
      </w:r>
      <w:proofErr w:type="spellEnd"/>
      <w:r>
        <w:rPr>
          <w:rFonts w:ascii="標楷體" w:eastAsia="標楷體" w:hAnsi="標楷體"/>
        </w:rPr>
        <w:t>(the cumulative illness rating scale) score &gt;6</w:t>
      </w:r>
    </w:p>
    <w:p w14:paraId="74F6DABF" w14:textId="77777777" w:rsidR="004374CA" w:rsidRDefault="004374CA" w:rsidP="004374CA">
      <w:pPr>
        <w:tabs>
          <w:tab w:val="left" w:pos="1418"/>
        </w:tabs>
        <w:spacing w:line="400" w:lineRule="exact"/>
        <w:ind w:left="1418" w:hanging="141"/>
        <w:jc w:val="both"/>
      </w:pPr>
      <w:r>
        <w:rPr>
          <w:rFonts w:ascii="標楷體" w:eastAsia="標楷體" w:hAnsi="標楷體"/>
          <w:szCs w:val="24"/>
        </w:rPr>
        <w:t>IV.使用於早期三陰性乳癌術後輔助治療時，須檢附於乳房和/或手術切除的淋巴結中發現有殘餘的侵襲性癌症(non-</w:t>
      </w:r>
      <w:proofErr w:type="spellStart"/>
      <w:r>
        <w:rPr>
          <w:rFonts w:ascii="標楷體" w:eastAsia="標楷體" w:hAnsi="標楷體"/>
          <w:szCs w:val="24"/>
        </w:rPr>
        <w:t>pCR</w:t>
      </w:r>
      <w:proofErr w:type="spellEnd"/>
      <w:r>
        <w:rPr>
          <w:rFonts w:ascii="標楷體" w:eastAsia="標楷體" w:hAnsi="標楷體"/>
          <w:szCs w:val="24"/>
        </w:rPr>
        <w:t>)佐證。(114/6/1)</w:t>
      </w:r>
    </w:p>
    <w:p w14:paraId="3D32BA23" w14:textId="77777777" w:rsidR="004374CA" w:rsidRDefault="004374CA" w:rsidP="004374CA">
      <w:pPr>
        <w:tabs>
          <w:tab w:val="left" w:pos="1418"/>
        </w:tabs>
        <w:spacing w:line="400" w:lineRule="exact"/>
        <w:ind w:left="1418" w:hanging="141"/>
        <w:jc w:val="both"/>
      </w:pPr>
      <w:r>
        <w:rPr>
          <w:rFonts w:ascii="標楷體" w:eastAsia="標楷體" w:hAnsi="標楷體" w:cs="新細明體"/>
          <w:kern w:val="0"/>
          <w:szCs w:val="24"/>
        </w:rPr>
        <w:t>Ⅴ其他佐證病歷資料。</w:t>
      </w:r>
    </w:p>
    <w:p w14:paraId="5E1BA828" w14:textId="77777777" w:rsidR="004374CA" w:rsidRDefault="004374CA" w:rsidP="004374CA">
      <w:pPr>
        <w:tabs>
          <w:tab w:val="left" w:pos="710"/>
        </w:tabs>
        <w:spacing w:line="400" w:lineRule="exact"/>
        <w:ind w:left="991" w:hanging="422"/>
        <w:rPr>
          <w:rFonts w:ascii="標楷體" w:eastAsia="標楷體" w:hAnsi="標楷體"/>
        </w:rPr>
      </w:pPr>
      <w:r>
        <w:rPr>
          <w:rFonts w:ascii="標楷體" w:eastAsia="標楷體" w:hAnsi="標楷體"/>
        </w:rPr>
        <w:t>4.登錄與結案作業：(109/11/1、114/1/1）</w:t>
      </w:r>
    </w:p>
    <w:p w14:paraId="660EDF65" w14:textId="77777777" w:rsid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(1)醫師處方使用本類藥品，倘病人結束治療、停止用藥、未通過續用申請或達給付時程期限時，醫事機構須在28天內於VPN系統登錄結案。逾期未登錄結案者，系統自動結案，且不予支付該個案自前次事前審查核定日後申報之藥費。</w:t>
      </w:r>
      <w:r>
        <w:rPr>
          <w:rFonts w:ascii="標楷體" w:eastAsia="標楷體" w:hAnsi="標楷體"/>
        </w:rPr>
        <w:lastRenderedPageBreak/>
        <w:t>(109/11/1、114/1/1)</w:t>
      </w:r>
    </w:p>
    <w:p w14:paraId="7A348DDE" w14:textId="17EA5428" w:rsidR="00B96EA0" w:rsidRPr="004374CA" w:rsidRDefault="004374CA" w:rsidP="004374CA">
      <w:pPr>
        <w:tabs>
          <w:tab w:val="left" w:pos="1418"/>
        </w:tabs>
        <w:spacing w:line="400" w:lineRule="exact"/>
        <w:ind w:left="1051" w:hanging="245"/>
        <w:rPr>
          <w:rFonts w:ascii="標楷體" w:eastAsia="標楷體" w:hAnsi="標楷體"/>
        </w:rPr>
      </w:pPr>
      <w:r>
        <w:rPr>
          <w:rFonts w:ascii="標楷體" w:eastAsia="標楷體" w:hAnsi="標楷體"/>
        </w:rPr>
        <w:t>(2)已結案者自結案日後不予支付藥費。</w:t>
      </w:r>
    </w:p>
    <w:p w14:paraId="4D336FC4" w14:textId="77777777" w:rsidR="00A15393" w:rsidRDefault="002F7398" w:rsidP="00A15393">
      <w:pPr>
        <w:spacing w:line="400" w:lineRule="exact"/>
        <w:ind w:left="283"/>
        <w:rPr>
          <w:rFonts w:ascii="標楷體" w:eastAsia="標楷體" w:hAnsi="標楷體"/>
          <w:color w:val="000000"/>
        </w:rPr>
      </w:pPr>
      <w:bookmarkStart w:id="31" w:name="_Hlk212113299"/>
      <w:r>
        <w:rPr>
          <w:rFonts w:ascii="標楷體" w:eastAsia="標楷體" w:hAnsi="標楷體"/>
          <w:color w:val="000000"/>
        </w:rPr>
        <w:t>9.70.</w:t>
      </w:r>
      <w:bookmarkEnd w:id="31"/>
      <w:r w:rsidR="00A15393" w:rsidRPr="00A15393">
        <w:rPr>
          <w:rFonts w:ascii="標楷體" w:eastAsia="標楷體" w:hAnsi="標楷體"/>
          <w:color w:val="000000"/>
        </w:rPr>
        <w:t xml:space="preserve"> </w:t>
      </w:r>
      <w:proofErr w:type="spellStart"/>
      <w:r w:rsidR="00A15393">
        <w:rPr>
          <w:rFonts w:ascii="標楷體" w:eastAsia="標楷體" w:hAnsi="標楷體"/>
          <w:color w:val="000000"/>
        </w:rPr>
        <w:t>Pertuzumab</w:t>
      </w:r>
      <w:proofErr w:type="spellEnd"/>
      <w:r w:rsidR="00A15393">
        <w:rPr>
          <w:rFonts w:ascii="標楷體" w:eastAsia="標楷體" w:hAnsi="標楷體"/>
          <w:color w:val="000000"/>
        </w:rPr>
        <w:t>(如Perjeta)：(108/5/1、108/12/1、112/8/1、113/12/1、114/1/1、114/5/1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14:paraId="49537E41" w14:textId="77777777"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1.本藥品與trastuzumab及化學療法併用於具HER2過度表現（IHC3+或FISH+），且具腋下淋巴結轉移但無遠處臟器轉移之早期乳癌病人（113/12/1、114/5/1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14:paraId="231F6B77" w14:textId="77777777"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(1)使用於術前輔助治療，經外科手術後達病理上完全緩解者（</w:t>
      </w:r>
      <w:proofErr w:type="spellStart"/>
      <w:r>
        <w:rPr>
          <w:rFonts w:ascii="標楷體" w:eastAsia="標楷體" w:hAnsi="標楷體"/>
          <w:color w:val="000000"/>
        </w:rPr>
        <w:t>pCR</w:t>
      </w:r>
      <w:proofErr w:type="spellEnd"/>
      <w:r>
        <w:rPr>
          <w:rFonts w:ascii="標楷體" w:eastAsia="標楷體" w:hAnsi="標楷體"/>
          <w:color w:val="000000"/>
        </w:rPr>
        <w:t>），得繼續使用至18個療程為上限。</w:t>
      </w:r>
    </w:p>
    <w:p w14:paraId="076A84A2" w14:textId="77777777"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14:paraId="1C6EEA82"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(3)下列Ｉ~Ⅲ使用於外科手術前後之總療程合併計算，依藥品仿單記載以18個療程為上限：</w:t>
      </w:r>
    </w:p>
    <w:p w14:paraId="662744C8"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w:t>
      </w:r>
      <w:proofErr w:type="spellStart"/>
      <w:r>
        <w:rPr>
          <w:rFonts w:ascii="標楷體" w:eastAsia="標楷體" w:hAnsi="標楷體"/>
          <w:color w:val="000000"/>
        </w:rPr>
        <w:t>pertuzumab</w:t>
      </w:r>
      <w:proofErr w:type="spellEnd"/>
      <w:r>
        <w:rPr>
          <w:rFonts w:ascii="標楷體" w:eastAsia="標楷體" w:hAnsi="標楷體"/>
          <w:color w:val="000000"/>
        </w:rPr>
        <w:t>與trastuzumab併用</w:t>
      </w:r>
    </w:p>
    <w:p w14:paraId="0B869868"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14:paraId="459188E6"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7B3DC574"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(4)須經事前審查核准後使用，核准後每24週須檢附療效評估資料再次申請，若疾病有惡化情形即不應再行申請。（113/12/1、114/5/1）</w:t>
      </w:r>
    </w:p>
    <w:p w14:paraId="0BCCF48C" w14:textId="77777777"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14:paraId="50CE46A5"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w:t>
      </w:r>
      <w:proofErr w:type="spellStart"/>
      <w:r>
        <w:rPr>
          <w:rFonts w:ascii="標楷體" w:eastAsia="標楷體" w:hAnsi="標楷體"/>
          <w:color w:val="000000"/>
        </w:rPr>
        <w:t>Pertuzumab</w:t>
      </w:r>
      <w:proofErr w:type="spellEnd"/>
      <w:r>
        <w:rPr>
          <w:rFonts w:ascii="標楷體" w:eastAsia="標楷體" w:hAnsi="標楷體"/>
          <w:color w:val="000000"/>
        </w:rPr>
        <w:t>與trastuzumab及docetaxel併用於治療轉移後未曾以抗HER2或化學療法治療之HER2過度表現(IHC3+或FISH+)轉移性乳癌病人。(108/12/1、112/8/1)</w:t>
      </w:r>
    </w:p>
    <w:p w14:paraId="14791318"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(2)須經事前審查核准後使用，核准後每18週須檢附療效評估資料再次申請，若疾病有惡化情形即不應再行申請，每位病人至多給付18個月為限。(108/5/1)</w:t>
      </w:r>
    </w:p>
    <w:p w14:paraId="03DE2975"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(3)下列Ｉ~Ⅱ使用於轉移性乳癌總療程合併計算，以全部18個月為上限(113/12/1)：</w:t>
      </w:r>
    </w:p>
    <w:p w14:paraId="7CE927A5"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w:t>
      </w:r>
      <w:proofErr w:type="spellStart"/>
      <w:r>
        <w:rPr>
          <w:rFonts w:ascii="標楷體" w:eastAsia="標楷體" w:hAnsi="標楷體"/>
          <w:color w:val="000000"/>
        </w:rPr>
        <w:t>pertuzumab</w:t>
      </w:r>
      <w:proofErr w:type="spellEnd"/>
      <w:r>
        <w:rPr>
          <w:rFonts w:ascii="標楷體" w:eastAsia="標楷體" w:hAnsi="標楷體"/>
          <w:color w:val="000000"/>
        </w:rPr>
        <w:t>與trastuzumab併用</w:t>
      </w:r>
    </w:p>
    <w:p w14:paraId="17A2E359"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5EF8914A" w14:textId="77777777"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w:t>
      </w:r>
      <w:proofErr w:type="spellStart"/>
      <w:r>
        <w:rPr>
          <w:rFonts w:ascii="標楷體" w:eastAsia="標楷體" w:hAnsi="標楷體"/>
          <w:color w:val="000000"/>
        </w:rPr>
        <w:t>pertuzumab</w:t>
      </w:r>
      <w:proofErr w:type="spellEnd"/>
      <w:r>
        <w:rPr>
          <w:rFonts w:ascii="標楷體" w:eastAsia="標楷體" w:hAnsi="標楷體"/>
          <w:color w:val="000000"/>
        </w:rPr>
        <w:t>與trastuzumab併用或使用</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)者，不得再次申請</w:t>
      </w:r>
      <w:proofErr w:type="spellStart"/>
      <w:r>
        <w:rPr>
          <w:rFonts w:ascii="標楷體" w:eastAsia="標楷體" w:hAnsi="標楷體"/>
          <w:color w:val="000000"/>
        </w:rPr>
        <w:t>pertuzumab</w:t>
      </w:r>
      <w:proofErr w:type="spellEnd"/>
      <w:r>
        <w:rPr>
          <w:rFonts w:ascii="標楷體" w:eastAsia="標楷體" w:hAnsi="標楷體"/>
          <w:color w:val="000000"/>
        </w:rPr>
        <w:t>與trastuzumab併用，惟於早期乳癌治療結束至首次疾病復發轉移時間超過12個月以上者得再次申請。(113/12/1)</w:t>
      </w:r>
    </w:p>
    <w:p w14:paraId="00EABA6C" w14:textId="77777777" w:rsidR="008B5474" w:rsidRPr="008E774D" w:rsidRDefault="008B5474" w:rsidP="008B5474">
      <w:pPr>
        <w:spacing w:line="400" w:lineRule="exact"/>
        <w:ind w:left="283"/>
      </w:pPr>
      <w:bookmarkStart w:id="32" w:name="_Hlk75424822"/>
      <w:bookmarkStart w:id="33" w:name="_Hlk204092271"/>
      <w:r w:rsidRPr="008E774D">
        <w:rPr>
          <w:rFonts w:ascii="標楷體" w:eastAsia="標楷體" w:hAnsi="標楷體"/>
          <w:color w:val="000000"/>
        </w:rPr>
        <w:t>9.71.</w:t>
      </w:r>
      <w:bookmarkEnd w:id="32"/>
      <w:r w:rsidRPr="008E774D">
        <w:t xml:space="preserve"> </w:t>
      </w:r>
      <w:proofErr w:type="spellStart"/>
      <w:r w:rsidRPr="008E774D">
        <w:rPr>
          <w:rFonts w:ascii="標楷體" w:eastAsia="標楷體" w:hAnsi="標楷體"/>
          <w:color w:val="000000"/>
        </w:rPr>
        <w:t>Venetoclax</w:t>
      </w:r>
      <w:proofErr w:type="spellEnd"/>
      <w:r w:rsidRPr="008E774D">
        <w:rPr>
          <w:rFonts w:ascii="標楷體" w:eastAsia="標楷體" w:hAnsi="標楷體"/>
          <w:color w:val="000000"/>
        </w:rPr>
        <w:t xml:space="preserve"> (如</w:t>
      </w:r>
      <w:proofErr w:type="spellStart"/>
      <w:r w:rsidRPr="008E774D">
        <w:rPr>
          <w:rFonts w:ascii="標楷體" w:eastAsia="標楷體" w:hAnsi="標楷體"/>
          <w:color w:val="000000"/>
        </w:rPr>
        <w:t>Venclexta</w:t>
      </w:r>
      <w:proofErr w:type="spellEnd"/>
      <w:r w:rsidRPr="008E774D">
        <w:rPr>
          <w:rFonts w:ascii="標楷體" w:eastAsia="標楷體" w:hAnsi="標楷體"/>
          <w:color w:val="000000"/>
        </w:rPr>
        <w:t>)：(108/9/1、110/7/1、112/7/1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14:paraId="47FE8259" w14:textId="77777777"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t>1.單獨使用於具有17p 缺失的慢性淋巴球性白血病(CLL) 成年患者。（108/9/1、112/7/1</w:t>
      </w:r>
      <w:r w:rsidR="00086754">
        <w:rPr>
          <w:rFonts w:ascii="標楷體" w:eastAsia="標楷體" w:hAnsi="標楷體" w:hint="eastAsia"/>
          <w:color w:val="000000"/>
        </w:rPr>
        <w:t>、114/10/1</w:t>
      </w:r>
      <w:r w:rsidRPr="008E774D">
        <w:rPr>
          <w:rFonts w:ascii="標楷體" w:eastAsia="標楷體" w:hAnsi="標楷體"/>
          <w:color w:val="000000"/>
        </w:rPr>
        <w:t>)</w:t>
      </w:r>
    </w:p>
    <w:p w14:paraId="09DB6442"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w:t>
      </w:r>
      <w:r w:rsidRPr="008E774D">
        <w:rPr>
          <w:rFonts w:ascii="標楷體" w:eastAsia="標楷體" w:hAnsi="標楷體"/>
          <w:color w:val="000000"/>
        </w:rPr>
        <w:lastRenderedPageBreak/>
        <w:t>CHOP、rituximab加</w:t>
      </w:r>
      <w:proofErr w:type="spellStart"/>
      <w:r w:rsidRPr="008E774D">
        <w:rPr>
          <w:rFonts w:ascii="標楷體" w:eastAsia="標楷體" w:hAnsi="標楷體"/>
          <w:color w:val="000000"/>
        </w:rPr>
        <w:t>bendamustine</w:t>
      </w:r>
      <w:proofErr w:type="spellEnd"/>
      <w:r w:rsidRPr="008E774D">
        <w:rPr>
          <w:rFonts w:ascii="標楷體" w:eastAsia="標楷體" w:hAnsi="標楷體"/>
          <w:color w:val="000000"/>
        </w:rPr>
        <w:t>等)的治療2個療程以上仍惡化或復發者。</w:t>
      </w:r>
    </w:p>
    <w:p w14:paraId="40A1E156" w14:textId="77777777"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(2)開始使用前之疾病狀態需出現下列任一情形：</w:t>
      </w:r>
    </w:p>
    <w:p w14:paraId="1D4E8446"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w:t>
      </w:r>
      <w:proofErr w:type="spellStart"/>
      <w:r w:rsidRPr="008E774D">
        <w:rPr>
          <w:rFonts w:ascii="標楷體" w:eastAsia="標楷體" w:hAnsi="標楷體"/>
          <w:color w:val="000000"/>
        </w:rPr>
        <w:t>uL</w:t>
      </w:r>
      <w:proofErr w:type="spellEnd"/>
      <w:r w:rsidRPr="008E774D">
        <w:rPr>
          <w:rFonts w:ascii="標楷體" w:eastAsia="標楷體" w:hAnsi="標楷體"/>
          <w:color w:val="000000"/>
        </w:rPr>
        <w:t>，且無其他原因可以解釋。</w:t>
      </w:r>
    </w:p>
    <w:p w14:paraId="683537B6"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14:paraId="5CA7297E"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14:paraId="13EFA197"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14:paraId="6B16D706"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14:paraId="6643F1B8"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14:paraId="579D1974"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w:t>
      </w:r>
      <w:proofErr w:type="spellStart"/>
      <w:r w:rsidRPr="008E774D">
        <w:rPr>
          <w:rFonts w:ascii="標楷體" w:eastAsia="標楷體" w:hAnsi="標楷體"/>
          <w:color w:val="000000"/>
        </w:rPr>
        <w:t>iwCLL</w:t>
      </w:r>
      <w:proofErr w:type="spellEnd"/>
      <w:r w:rsidRPr="008E774D">
        <w:rPr>
          <w:rFonts w:ascii="標楷體" w:eastAsia="標楷體" w:hAnsi="標楷體"/>
          <w:color w:val="000000"/>
        </w:rPr>
        <w:t>(International Workshop on CLL)最新定義之partial remission或complete remission，則不予給付。</w:t>
      </w:r>
    </w:p>
    <w:p w14:paraId="40E6496A"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w:t>
      </w:r>
      <w:proofErr w:type="spellStart"/>
      <w:r>
        <w:rPr>
          <w:rFonts w:ascii="標楷體" w:eastAsia="標楷體" w:hAnsi="標楷體" w:hint="eastAsia"/>
          <w:color w:val="000000"/>
        </w:rPr>
        <w:t>v</w:t>
      </w:r>
      <w:r w:rsidRPr="008E774D">
        <w:rPr>
          <w:rFonts w:ascii="標楷體" w:eastAsia="標楷體" w:hAnsi="標楷體"/>
          <w:color w:val="000000"/>
        </w:rPr>
        <w:t>enetoclax</w:t>
      </w:r>
      <w:proofErr w:type="spellEnd"/>
      <w:r w:rsidRPr="008E774D">
        <w:rPr>
          <w:rFonts w:ascii="標楷體" w:eastAsia="標楷體" w:hAnsi="標楷體"/>
          <w:color w:val="000000"/>
        </w:rPr>
        <w:t>、acalabrutinib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w:t>
      </w:r>
      <w:proofErr w:type="spellStart"/>
      <w:r>
        <w:rPr>
          <w:rFonts w:ascii="標楷體" w:eastAsia="標楷體" w:hAnsi="標楷體" w:hint="eastAsia"/>
          <w:color w:val="000000"/>
        </w:rPr>
        <w:t>z</w:t>
      </w:r>
      <w:r>
        <w:rPr>
          <w:rFonts w:ascii="標楷體" w:eastAsia="標楷體" w:hAnsi="標楷體"/>
          <w:color w:val="000000"/>
        </w:rPr>
        <w:t>anubrutinib</w:t>
      </w:r>
      <w:proofErr w:type="spellEnd"/>
      <w:r>
        <w:rPr>
          <w:rFonts w:ascii="標楷體" w:eastAsia="標楷體" w:hAnsi="標楷體" w:hint="eastAsia"/>
          <w:color w:val="000000"/>
        </w:rPr>
        <w:t>四</w:t>
      </w:r>
      <w:r w:rsidRPr="008E774D">
        <w:rPr>
          <w:rFonts w:ascii="標楷體" w:eastAsia="標楷體" w:hAnsi="標楷體"/>
          <w:color w:val="000000"/>
        </w:rPr>
        <w:t>者僅能擇一使用，唯有在出現無法忍受其副作用時方可互換。三者使用總療程合併計算，以全部24個月為上限。（108/9/1、112/7/1</w:t>
      </w:r>
      <w:r>
        <w:rPr>
          <w:rFonts w:ascii="標楷體" w:eastAsia="標楷體" w:hAnsi="標楷體" w:hint="eastAsia"/>
          <w:color w:val="000000"/>
        </w:rPr>
        <w:t>、114/10/1</w:t>
      </w:r>
      <w:r w:rsidRPr="008E774D">
        <w:rPr>
          <w:rFonts w:ascii="標楷體" w:eastAsia="標楷體" w:hAnsi="標楷體"/>
          <w:color w:val="000000"/>
        </w:rPr>
        <w:t>)</w:t>
      </w:r>
    </w:p>
    <w:p w14:paraId="5D9B2BEA"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(5)每日至多處方4粒。</w:t>
      </w:r>
    </w:p>
    <w:p w14:paraId="24F0A9FE" w14:textId="77777777"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r w:rsidRPr="008E774D">
        <w:rPr>
          <w:rFonts w:ascii="標楷體" w:eastAsia="標楷體" w:hAnsi="標楷體" w:hint="eastAsia"/>
          <w:color w:val="000000"/>
        </w:rPr>
        <w:t>併用低劑量cytarabine或azacitidine(除</w:t>
      </w:r>
      <w:proofErr w:type="spellStart"/>
      <w:r w:rsidRPr="008E774D">
        <w:rPr>
          <w:rFonts w:ascii="標楷體" w:eastAsia="標楷體" w:hAnsi="標楷體" w:hint="eastAsia"/>
          <w:color w:val="000000"/>
        </w:rPr>
        <w:t>Winduza</w:t>
      </w:r>
      <w:proofErr w:type="spellEnd"/>
      <w:r w:rsidRPr="008E774D">
        <w:rPr>
          <w:rFonts w:ascii="標楷體" w:eastAsia="標楷體" w:hAnsi="標楷體" w:hint="eastAsia"/>
          <w:color w:val="000000"/>
        </w:rPr>
        <w:t xml:space="preserve">及Azacitidine Lyophilized </w:t>
      </w:r>
      <w:proofErr w:type="spellStart"/>
      <w:r w:rsidRPr="008E774D">
        <w:rPr>
          <w:rFonts w:ascii="標楷體" w:eastAsia="標楷體" w:hAnsi="標楷體" w:hint="eastAsia"/>
          <w:color w:val="000000"/>
        </w:rPr>
        <w:t>Inj</w:t>
      </w:r>
      <w:proofErr w:type="spellEnd"/>
      <w:r w:rsidRPr="008E774D">
        <w:rPr>
          <w:rFonts w:ascii="標楷體" w:eastAsia="標楷體" w:hAnsi="標楷體" w:hint="eastAsia"/>
          <w:color w:val="000000"/>
        </w:rPr>
        <w:t xml:space="preserve"> 100mg"GBC"以外)，使用於無法接受高強度化學治療之初診斷急性骨髓性白血病(AML)病人：(110/7/1、114/8/1)</w:t>
      </w:r>
    </w:p>
    <w:p w14:paraId="3FB64406"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(1)需具有下列I.或Ⅱ.的條件之一：</w:t>
      </w:r>
    </w:p>
    <w:p w14:paraId="4E5C7059"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14:paraId="4B4EDBD3"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status為2或3，且符合下列任一條件者：</w:t>
      </w:r>
    </w:p>
    <w:p w14:paraId="2B541129"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14:paraId="53230DC3"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14:paraId="02D3D0B4"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14:paraId="12FA3B39"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14:paraId="24BEA52B"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14:paraId="40D33A96" w14:textId="77777777"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(4)</w:t>
      </w:r>
      <w:r w:rsidRPr="008E774D">
        <w:rPr>
          <w:rFonts w:ascii="標楷體" w:eastAsia="標楷體" w:hAnsi="標楷體" w:hint="eastAsia"/>
          <w:color w:val="000000"/>
        </w:rPr>
        <w:t>若併用低劑</w:t>
      </w:r>
      <w:r w:rsidRPr="008E774D">
        <w:rPr>
          <w:rFonts w:ascii="標楷體" w:eastAsia="標楷體" w:hAnsi="標楷體" w:hint="eastAsia"/>
        </w:rPr>
        <w:t>量cytarabine，每日至多處方6粒，最多給付4個療程。若併用azacitidine治療，每日至多處方4粒，最多給付6個療程。(110/7/1、114/8/1)</w:t>
      </w:r>
      <w:bookmarkEnd w:id="33"/>
    </w:p>
    <w:p w14:paraId="027B6FC7" w14:textId="77777777" w:rsidR="00C51017" w:rsidRDefault="00C51017" w:rsidP="00C51017">
      <w:pPr>
        <w:spacing w:line="400" w:lineRule="exact"/>
        <w:ind w:left="993" w:hanging="708"/>
      </w:pPr>
      <w:r>
        <w:rPr>
          <w:rFonts w:ascii="標楷體" w:eastAsia="標楷體" w:hAnsi="標楷體"/>
          <w:color w:val="000000"/>
        </w:rPr>
        <w:t>9.72.</w:t>
      </w:r>
      <w:r>
        <w:rPr>
          <w:rFonts w:ascii="標楷體" w:eastAsia="標楷體" w:hAnsi="標楷體"/>
        </w:rPr>
        <w:t xml:space="preserve"> </w:t>
      </w:r>
      <w:r>
        <w:rPr>
          <w:rFonts w:ascii="標楷體" w:eastAsia="標楷體" w:hAnsi="標楷體"/>
          <w:color w:val="000000"/>
        </w:rPr>
        <w:t xml:space="preserve">CDK4/6抑制劑 (如 </w:t>
      </w:r>
      <w:proofErr w:type="spellStart"/>
      <w:r>
        <w:rPr>
          <w:rFonts w:ascii="標楷體" w:eastAsia="標楷體" w:hAnsi="標楷體"/>
          <w:color w:val="000000"/>
        </w:rPr>
        <w:t>ribociclib</w:t>
      </w:r>
      <w:proofErr w:type="spellEnd"/>
      <w:r>
        <w:rPr>
          <w:rFonts w:ascii="標楷體" w:eastAsia="標楷體" w:hAnsi="標楷體"/>
          <w:color w:val="000000"/>
        </w:rPr>
        <w:t>；palbociclib)：(108/10/1、108/12/1、</w:t>
      </w:r>
      <w:r>
        <w:rPr>
          <w:rFonts w:ascii="標楷體" w:eastAsia="標楷體" w:hAnsi="標楷體"/>
          <w:color w:val="000000"/>
        </w:rPr>
        <w:lastRenderedPageBreak/>
        <w:t>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14:paraId="547BCC41"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14:paraId="2C57C4D7"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&gt;30%。（109/10/1、113/1/1)</w:t>
      </w:r>
    </w:p>
    <w:p w14:paraId="3E2733D0"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p>
    <w:p w14:paraId="00FB85E3"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14:paraId="4C4C0857"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14:paraId="1BE8D843"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且滿足下列條件之一：（110/5/1）</w:t>
      </w:r>
    </w:p>
    <w:p w14:paraId="4EBD3B6F" w14:textId="77777777"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14:paraId="4C9DFAE6" w14:textId="77777777"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Ⅱ.曾接受雙側卵巢切除術。</w:t>
      </w:r>
    </w:p>
    <w:p w14:paraId="63AF20C5" w14:textId="77777777" w:rsidR="00C51017" w:rsidRDefault="00C51017" w:rsidP="00C51017">
      <w:pPr>
        <w:spacing w:line="400" w:lineRule="exact"/>
        <w:ind w:left="1134" w:hanging="141"/>
        <w:rPr>
          <w:rFonts w:ascii="標楷體" w:eastAsia="標楷體" w:hAnsi="標楷體"/>
          <w:color w:val="000000"/>
        </w:rPr>
      </w:pPr>
      <w:proofErr w:type="spellStart"/>
      <w:r>
        <w:rPr>
          <w:rFonts w:ascii="標楷體" w:eastAsia="標楷體" w:hAnsi="標楷體"/>
          <w:color w:val="000000"/>
        </w:rPr>
        <w:t>Ⅲ.FSH</w:t>
      </w:r>
      <w:proofErr w:type="spellEnd"/>
      <w:r>
        <w:rPr>
          <w:rFonts w:ascii="標楷體" w:eastAsia="標楷體" w:hAnsi="標楷體"/>
          <w:color w:val="000000"/>
        </w:rPr>
        <w:t>及estradiol血液檢測值在停經後數值範圍內。</w:t>
      </w:r>
    </w:p>
    <w:p w14:paraId="50890FE4"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14:paraId="35336E01"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14:paraId="110FDD7B"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(2)HER-2 檢測為陰性。</w:t>
      </w:r>
    </w:p>
    <w:p w14:paraId="28B0653E"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14:paraId="1228BFC9"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(4)骨轉移不可為唯一轉移部位。</w:t>
      </w:r>
    </w:p>
    <w:p w14:paraId="405247B4" w14:textId="77777777"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3.</w:t>
      </w:r>
      <w:r w:rsidRPr="002E042D">
        <w:rPr>
          <w:rFonts w:ascii="標楷體" w:eastAsia="標楷體" w:hAnsi="標楷體"/>
          <w:color w:val="000000"/>
        </w:rPr>
        <w:t>限palbociclib與</w:t>
      </w:r>
      <w:proofErr w:type="spellStart"/>
      <w:r w:rsidRPr="002E042D">
        <w:rPr>
          <w:rFonts w:ascii="標楷體" w:eastAsia="標楷體" w:hAnsi="標楷體"/>
          <w:color w:val="000000"/>
        </w:rPr>
        <w:t>fulvestrant</w:t>
      </w:r>
      <w:proofErr w:type="spellEnd"/>
      <w:r w:rsidRPr="002E042D">
        <w:rPr>
          <w:rFonts w:ascii="標楷體" w:eastAsia="標楷體" w:hAnsi="標楷體"/>
          <w:color w:val="000000"/>
        </w:rPr>
        <w:t>併用於治療曾接受過內分泌療法之局部晚期或轉移性乳癌病人，且須完全符合下列條件：(115/1/1)</w:t>
      </w:r>
    </w:p>
    <w:p w14:paraId="2F959B62"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14:paraId="1976D406"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14:paraId="7EB0A059"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14:paraId="5904830C"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14:paraId="1D2441FF"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經事前審查核准後使用，核准後每24週須檢附療效評估資料再次申請，若疾病惡化即必須停止使用，且後續不得再申請使用</w:t>
      </w:r>
      <w:proofErr w:type="spellStart"/>
      <w:r w:rsidRPr="002E042D">
        <w:rPr>
          <w:rFonts w:ascii="標楷體" w:eastAsia="標楷體" w:hAnsi="標楷體"/>
          <w:color w:val="000000"/>
        </w:rPr>
        <w:t>ribociclib</w:t>
      </w:r>
      <w:proofErr w:type="spellEnd"/>
      <w:r w:rsidRPr="002E042D">
        <w:rPr>
          <w:rFonts w:ascii="標楷體" w:eastAsia="標楷體" w:hAnsi="標楷體"/>
          <w:color w:val="000000"/>
        </w:rPr>
        <w:t>、palbociclib</w:t>
      </w:r>
      <w:r>
        <w:rPr>
          <w:rFonts w:ascii="標楷體" w:eastAsia="標楷體" w:hAnsi="標楷體"/>
          <w:color w:val="000000"/>
        </w:rPr>
        <w:t>。（110/10/1）</w:t>
      </w:r>
    </w:p>
    <w:p w14:paraId="130496ED"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14:paraId="321EB9EC"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w:t>
      </w:r>
      <w:proofErr w:type="spellStart"/>
      <w:r>
        <w:rPr>
          <w:rFonts w:ascii="標楷體" w:eastAsia="標楷體" w:hAnsi="標楷體"/>
          <w:color w:val="000000"/>
        </w:rPr>
        <w:t>ribociclib</w:t>
      </w:r>
      <w:proofErr w:type="spellEnd"/>
      <w:r>
        <w:rPr>
          <w:rFonts w:ascii="標楷體" w:eastAsia="標楷體" w:hAnsi="標楷體"/>
          <w:color w:val="000000"/>
        </w:rPr>
        <w:t xml:space="preserve"> 每日最多處方3粒。</w:t>
      </w:r>
    </w:p>
    <w:p w14:paraId="5FCF5292"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14:paraId="2F9FA1F4"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(3)</w:t>
      </w:r>
      <w:r w:rsidRPr="00B14F70">
        <w:rPr>
          <w:rFonts w:ascii="標楷體" w:eastAsia="標楷體" w:hAnsi="標楷體"/>
          <w:color w:val="000000"/>
        </w:rPr>
        <w:t xml:space="preserve"> </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與palbociclib</w:t>
      </w:r>
      <w:r>
        <w:rPr>
          <w:rFonts w:ascii="標楷體" w:eastAsia="標楷體" w:hAnsi="標楷體"/>
          <w:color w:val="000000"/>
        </w:rPr>
        <w:t>僅得擇一使用，唯有在耐受不良時方可轉換使用，使用總療程合併計算，以每人終生給付24個月為上限。</w:t>
      </w:r>
      <w:r w:rsidRPr="00B14F70">
        <w:rPr>
          <w:rFonts w:ascii="標楷體" w:eastAsia="標楷體" w:hAnsi="標楷體"/>
          <w:color w:val="000000"/>
        </w:rPr>
        <w:t>(108/12/1)</w:t>
      </w:r>
    </w:p>
    <w:p w14:paraId="1A14CB3C" w14:textId="77777777"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lastRenderedPageBreak/>
        <w:t>(4)若先前於早期乳癌使用</w:t>
      </w:r>
      <w:proofErr w:type="spellStart"/>
      <w:r w:rsidRPr="00B14F70">
        <w:rPr>
          <w:rFonts w:ascii="標楷體" w:eastAsia="標楷體" w:hAnsi="標楷體"/>
          <w:color w:val="000000"/>
        </w:rPr>
        <w:t>abemaciclib</w:t>
      </w:r>
      <w:proofErr w:type="spellEnd"/>
      <w:r w:rsidRPr="00B14F70">
        <w:rPr>
          <w:rFonts w:ascii="標楷體" w:eastAsia="標楷體" w:hAnsi="標楷體"/>
          <w:color w:val="000000"/>
        </w:rPr>
        <w:t>無效後，或於晚期乳癌使用</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、palbociclib無效後，不得再申請</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、palbociclib。(113/3/1、115/1/1)</w:t>
      </w:r>
    </w:p>
    <w:p w14:paraId="2AC57C1D" w14:textId="77777777"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.110年9月30日以前已核定用藥之病人，得經事前審查核准後，使用至總療程(即終生24個月)或總療程期間疾病惡化為止，且後續不得再申請使用本類藥品。（110/10/1、113/1/1）</w:t>
      </w:r>
    </w:p>
    <w:p w14:paraId="75372AAA" w14:textId="77777777"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 xml:space="preserve">.若先前使用 </w:t>
      </w:r>
      <w:proofErr w:type="spellStart"/>
      <w:r>
        <w:rPr>
          <w:rFonts w:ascii="標楷體" w:eastAsia="標楷體" w:hAnsi="標楷體"/>
          <w:color w:val="000000"/>
        </w:rPr>
        <w:t>everolimus</w:t>
      </w:r>
      <w:proofErr w:type="spellEnd"/>
      <w:r>
        <w:rPr>
          <w:rFonts w:ascii="標楷體" w:eastAsia="標楷體" w:hAnsi="標楷體"/>
          <w:color w:val="000000"/>
        </w:rPr>
        <w:t xml:space="preserve"> 無效後，不得再申請本類藥品。(109/4/1)</w:t>
      </w:r>
    </w:p>
    <w:p w14:paraId="606CBC8F" w14:textId="77777777"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 xml:space="preserve">9.73.Inotuzumab </w:t>
      </w:r>
      <w:proofErr w:type="spellStart"/>
      <w:r>
        <w:rPr>
          <w:rFonts w:ascii="標楷體" w:eastAsia="標楷體" w:hAnsi="標楷體"/>
          <w:color w:val="000000"/>
        </w:rPr>
        <w:t>ozogamicin</w:t>
      </w:r>
      <w:proofErr w:type="spellEnd"/>
      <w:r>
        <w:rPr>
          <w:rFonts w:ascii="標楷體" w:eastAsia="標楷體" w:hAnsi="標楷體"/>
          <w:color w:val="000000"/>
        </w:rPr>
        <w:t xml:space="preserve"> (如</w:t>
      </w:r>
      <w:proofErr w:type="spellStart"/>
      <w:r>
        <w:rPr>
          <w:rFonts w:ascii="標楷體" w:eastAsia="標楷體" w:hAnsi="標楷體"/>
          <w:color w:val="000000"/>
        </w:rPr>
        <w:t>Besponsa</w:t>
      </w:r>
      <w:proofErr w:type="spellEnd"/>
      <w:r>
        <w:rPr>
          <w:rFonts w:ascii="標楷體" w:eastAsia="標楷體" w:hAnsi="標楷體"/>
          <w:color w:val="000000"/>
        </w:rPr>
        <w:t>)：(108/11/1、112/12/1)</w:t>
      </w:r>
    </w:p>
    <w:p w14:paraId="468A9D14"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1.適用於治療患有復發型或頑固型且CD22為陽性之B細胞前驅因子之急性淋巴芽細胞白血病(B-ALL)，且計畫進行造血幹細胞移植之成人病患。</w:t>
      </w:r>
    </w:p>
    <w:p w14:paraId="4EB8EE05"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2.上述成人病患如具費城染色體陽性(Ph+)，應至少使用過兩種酪胺酸激酶抑制劑(TKI)藥物治療無效。</w:t>
      </w:r>
    </w:p>
    <w:p w14:paraId="279002EB"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14:paraId="5ACCC7B0"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w:t>
      </w:r>
      <w:proofErr w:type="spellStart"/>
      <w:r>
        <w:rPr>
          <w:rFonts w:ascii="標楷體" w:eastAsia="標楷體" w:hAnsi="標楷體"/>
          <w:color w:val="000000"/>
        </w:rPr>
        <w:t>Blincyto</w:t>
      </w:r>
      <w:proofErr w:type="spellEnd"/>
      <w:r>
        <w:rPr>
          <w:rFonts w:ascii="標楷體" w:eastAsia="標楷體" w:hAnsi="標楷體"/>
          <w:color w:val="000000"/>
        </w:rPr>
        <w:t>）或酪胺酸激酶抑制劑(TKI)（如imatinib、</w:t>
      </w:r>
      <w:proofErr w:type="spellStart"/>
      <w:r>
        <w:rPr>
          <w:rFonts w:ascii="標楷體" w:eastAsia="標楷體" w:hAnsi="標楷體"/>
          <w:color w:val="000000"/>
        </w:rPr>
        <w:t>dasatinib</w:t>
      </w:r>
      <w:proofErr w:type="spellEnd"/>
      <w:r>
        <w:rPr>
          <w:rFonts w:ascii="標楷體" w:eastAsia="標楷體" w:hAnsi="標楷體"/>
          <w:color w:val="000000"/>
        </w:rPr>
        <w:t>、ponatinib）等併用。</w:t>
      </w:r>
    </w:p>
    <w:p w14:paraId="7D158E5D" w14:textId="77777777" w:rsidR="00B96EA0" w:rsidRDefault="007D66B8" w:rsidP="005142EB">
      <w:pPr>
        <w:spacing w:line="400" w:lineRule="exact"/>
        <w:ind w:left="960" w:hanging="240"/>
      </w:pPr>
      <w:r>
        <w:rPr>
          <w:rFonts w:ascii="標楷體" w:eastAsia="標楷體" w:hAnsi="標楷體"/>
          <w:szCs w:val="24"/>
        </w:rPr>
        <w:t>5.病人若已依達完全緩解但仍有殘餘疾病(MRD)之條件取得 blinatumomab 給付同意並接受治療後</w:t>
      </w:r>
      <w:r>
        <w:rPr>
          <w:rFonts w:ascii="新細明體" w:hAnsi="新細明體"/>
          <w:szCs w:val="24"/>
        </w:rPr>
        <w:t>，</w:t>
      </w:r>
      <w:r>
        <w:rPr>
          <w:rFonts w:ascii="標楷體" w:eastAsia="標楷體" w:hAnsi="標楷體"/>
          <w:szCs w:val="24"/>
        </w:rPr>
        <w:t>MRD若未消失但疾病仍在完全緩解時</w:t>
      </w:r>
      <w:r>
        <w:rPr>
          <w:rFonts w:ascii="新細明體" w:hAnsi="新細明體"/>
          <w:szCs w:val="24"/>
        </w:rPr>
        <w:t>，</w:t>
      </w:r>
      <w:r>
        <w:rPr>
          <w:rFonts w:ascii="標楷體" w:eastAsia="標楷體" w:hAnsi="標楷體"/>
          <w:szCs w:val="24"/>
        </w:rPr>
        <w:t>不得申請給付</w:t>
      </w:r>
      <w:proofErr w:type="spellStart"/>
      <w:r>
        <w:rPr>
          <w:rFonts w:ascii="標楷體" w:eastAsia="標楷體" w:hAnsi="標楷體"/>
          <w:szCs w:val="24"/>
        </w:rPr>
        <w:t>inotuzumab</w:t>
      </w:r>
      <w:proofErr w:type="spellEnd"/>
      <w:r>
        <w:rPr>
          <w:rFonts w:ascii="標楷體" w:eastAsia="標楷體" w:hAnsi="標楷體"/>
          <w:szCs w:val="24"/>
        </w:rPr>
        <w:t xml:space="preserve"> </w:t>
      </w:r>
      <w:proofErr w:type="spellStart"/>
      <w:r>
        <w:rPr>
          <w:rFonts w:ascii="標楷體" w:eastAsia="標楷體" w:hAnsi="標楷體"/>
          <w:szCs w:val="24"/>
        </w:rPr>
        <w:t>ozogamicin</w:t>
      </w:r>
      <w:proofErr w:type="spellEnd"/>
      <w:r>
        <w:rPr>
          <w:rFonts w:ascii="標楷體" w:eastAsia="標楷體" w:hAnsi="標楷體"/>
          <w:szCs w:val="24"/>
        </w:rPr>
        <w:t>。（112</w:t>
      </w:r>
      <w:r>
        <w:rPr>
          <w:rFonts w:ascii="標楷體" w:eastAsia="標楷體" w:hAnsi="標楷體"/>
          <w:bCs/>
          <w:szCs w:val="24"/>
        </w:rPr>
        <w:t>/12/1）</w:t>
      </w:r>
    </w:p>
    <w:p w14:paraId="3F038769" w14:textId="77777777" w:rsidR="00105765" w:rsidRPr="00105765" w:rsidRDefault="00105765" w:rsidP="00105765">
      <w:pPr>
        <w:spacing w:line="400" w:lineRule="exact"/>
        <w:ind w:left="284"/>
        <w:rPr>
          <w:rFonts w:ascii="標楷體" w:eastAsia="標楷體" w:hAnsi="標楷體"/>
          <w:color w:val="000000"/>
        </w:rPr>
      </w:pPr>
      <w:bookmarkStart w:id="34" w:name="_Hlk204092375"/>
      <w:r w:rsidRPr="00105765">
        <w:rPr>
          <w:rFonts w:ascii="標楷體" w:eastAsia="標楷體" w:hAnsi="標楷體"/>
          <w:color w:val="000000"/>
        </w:rPr>
        <w:t>9.74.Cabozantinib (如</w:t>
      </w:r>
      <w:proofErr w:type="spellStart"/>
      <w:r w:rsidRPr="00105765">
        <w:rPr>
          <w:rFonts w:ascii="標楷體" w:eastAsia="標楷體" w:hAnsi="標楷體"/>
          <w:color w:val="000000"/>
        </w:rPr>
        <w:t>Cabometyx</w:t>
      </w:r>
      <w:proofErr w:type="spellEnd"/>
      <w:r w:rsidRPr="00105765">
        <w:rPr>
          <w:rFonts w:ascii="標楷體" w:eastAsia="標楷體" w:hAnsi="標楷體"/>
          <w:color w:val="000000"/>
        </w:rPr>
        <w:t>)： (108/12/1、110/12/1、</w:t>
      </w:r>
      <w:r w:rsidRPr="00105765">
        <w:rPr>
          <w:rFonts w:ascii="標楷體" w:eastAsia="標楷體" w:hAnsi="標楷體" w:hint="eastAsia"/>
          <w:color w:val="000000"/>
        </w:rPr>
        <w:t>114/8/1</w:t>
      </w:r>
      <w:r w:rsidRPr="00105765">
        <w:rPr>
          <w:rFonts w:ascii="標楷體" w:eastAsia="標楷體" w:hAnsi="標楷體"/>
          <w:color w:val="000000"/>
        </w:rPr>
        <w:t>)</w:t>
      </w:r>
    </w:p>
    <w:p w14:paraId="056EAA47"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1.腎細胞癌(108/12/1、110/12/1)</w:t>
      </w:r>
    </w:p>
    <w:p w14:paraId="01872530" w14:textId="77777777"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t xml:space="preserve">     (1)適用於未曾接受過治療的中度/重度風險晚期腎細胞癌病人。（110/12/1）</w:t>
      </w:r>
    </w:p>
    <w:p w14:paraId="38AA492D"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無效後則不給付</w:t>
      </w:r>
      <w:proofErr w:type="spellStart"/>
      <w:r w:rsidRPr="00105765">
        <w:rPr>
          <w:rFonts w:ascii="標楷體" w:eastAsia="標楷體" w:hAnsi="標楷體" w:hint="eastAsia"/>
        </w:rPr>
        <w:t>temsirolimus</w:t>
      </w:r>
      <w:proofErr w:type="spellEnd"/>
      <w:r w:rsidRPr="00105765">
        <w:rPr>
          <w:rFonts w:ascii="標楷體" w:eastAsia="標楷體" w:hAnsi="標楷體" w:hint="eastAsia"/>
        </w:rPr>
        <w:t>。</w:t>
      </w:r>
    </w:p>
    <w:p w14:paraId="77C619AA" w14:textId="77777777"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14:paraId="05D37DA8"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(2)適用於先前經抗血管新生療法 (anti-angiogenic therapy)治療無效的晚期腎細胞癌病人。</w:t>
      </w:r>
    </w:p>
    <w:p w14:paraId="1D8842EA"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14:paraId="0F7BDD48"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14:paraId="1DE4D791"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14:paraId="6F2EA94B"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14:paraId="6C21975B"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(2)須經事前審查核准後使用，每次申請療程以3個月為限，送審時需檢送影像資料，每3個月評估一次，無疾病惡化方可繼續使用。</w:t>
      </w:r>
    </w:p>
    <w:p w14:paraId="5FB87AAA" w14:textId="77777777"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34"/>
    </w:p>
    <w:p w14:paraId="4346A84B"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lastRenderedPageBreak/>
        <w:t>9.75. Carfilzomib (如</w:t>
      </w:r>
      <w:proofErr w:type="spellStart"/>
      <w:r>
        <w:rPr>
          <w:rFonts w:ascii="標楷體" w:eastAsia="標楷體" w:hAnsi="標楷體"/>
          <w:color w:val="000000"/>
        </w:rPr>
        <w:t>Kyprolis</w:t>
      </w:r>
      <w:proofErr w:type="spellEnd"/>
      <w:r>
        <w:rPr>
          <w:rFonts w:ascii="標楷體" w:eastAsia="標楷體" w:hAnsi="標楷體"/>
          <w:color w:val="000000"/>
        </w:rPr>
        <w:t>)：(109/2/1、112/4/1、113/4/1)</w:t>
      </w:r>
    </w:p>
    <w:p w14:paraId="08B32B9A" w14:textId="77777777" w:rsidR="00B96EA0" w:rsidRDefault="007D66B8" w:rsidP="005142EB">
      <w:pPr>
        <w:spacing w:line="400" w:lineRule="exact"/>
        <w:ind w:left="991" w:hanging="283"/>
      </w:pPr>
      <w:r>
        <w:rPr>
          <w:rFonts w:ascii="標楷體" w:eastAsia="標楷體" w:hAnsi="標楷體"/>
          <w:color w:val="000000"/>
        </w:rPr>
        <w:t>1.與dexamethasone合併使用於先前曾接受含bortezomib及lenalidomide兩種治療後無法耐受或惡化之病患，且須具有良好日常體能狀態(ECOG &lt; 2)及足夠腎功能(</w:t>
      </w:r>
      <w:proofErr w:type="spellStart"/>
      <w:r>
        <w:rPr>
          <w:rFonts w:ascii="標楷體" w:eastAsia="標楷體" w:hAnsi="標楷體"/>
          <w:color w:val="000000"/>
        </w:rPr>
        <w:t>CrCl</w:t>
      </w:r>
      <w:proofErr w:type="spellEnd"/>
      <w:r>
        <w:rPr>
          <w:rFonts w:ascii="標楷體" w:eastAsia="標楷體" w:hAnsi="標楷體"/>
          <w:color w:val="000000"/>
        </w:rPr>
        <w:t xml:space="preserve"> </w:t>
      </w:r>
      <w:r>
        <w:rPr>
          <w:rFonts w:ascii="Times New Roman" w:eastAsia="標楷體" w:hAnsi="Times New Roman"/>
          <w:sz w:val="28"/>
          <w:szCs w:val="28"/>
        </w:rPr>
        <w:t>≥</w:t>
      </w:r>
      <w:r>
        <w:rPr>
          <w:rFonts w:ascii="標楷體" w:eastAsia="標楷體" w:hAnsi="標楷體"/>
          <w:color w:val="000000"/>
        </w:rPr>
        <w:t>50 ml/minute)的多發性骨髓瘤成年患者。</w:t>
      </w:r>
    </w:p>
    <w:p w14:paraId="5C9C6B11"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w:t>
      </w:r>
      <w:proofErr w:type="spellStart"/>
      <w:r>
        <w:rPr>
          <w:rFonts w:ascii="標楷體" w:eastAsia="標楷體" w:hAnsi="標楷體"/>
          <w:color w:val="000000"/>
        </w:rPr>
        <w:t>isatuximab</w:t>
      </w:r>
      <w:proofErr w:type="spellEnd"/>
      <w:r>
        <w:rPr>
          <w:rFonts w:ascii="標楷體" w:eastAsia="標楷體" w:hAnsi="標楷體"/>
          <w:color w:val="000000"/>
        </w:rPr>
        <w:t>/dexamethasone併用，治療先前曾接受至少一種含bortezomib 或 lenalidomide 之療法治療失敗的多發性骨髓瘤成人患者，且須具有良好日常體能狀態 (ECOG &lt; 2) 者。（113/4/1）</w:t>
      </w:r>
    </w:p>
    <w:p w14:paraId="77C446E3" w14:textId="77777777"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14:paraId="3FE058E4" w14:textId="77777777"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(1)初次申請以4個療程(每療程為4週)為限，且需同時符合下列Ⅰ.與Ⅱ.的條件：（109/2/1、112/4/1）</w:t>
      </w:r>
    </w:p>
    <w:p w14:paraId="1CBF085C" w14:textId="77777777"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67B0699E" w14:textId="77777777"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14:paraId="75D0B513" w14:textId="77777777" w:rsidR="00B96EA0" w:rsidRDefault="007D66B8" w:rsidP="005142EB">
      <w:pPr>
        <w:spacing w:line="400" w:lineRule="exact"/>
        <w:ind w:left="1788" w:hanging="360"/>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M-protein需增加≧0.2 gm/24Hr，且需較前一線治療中的最低值增加≧25%。</w:t>
      </w:r>
    </w:p>
    <w:p w14:paraId="62BFA292"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14:paraId="6CCCA0DD"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iv.新產生的bone lesion(s)或plasmacytoma；且須經病理切片證實。</w:t>
      </w:r>
    </w:p>
    <w:p w14:paraId="014438B9"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 Plasmacytoma體積增加≧50%。</w:t>
      </w:r>
    </w:p>
    <w:p w14:paraId="3140BD31"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1BA6CC2F" w14:textId="77777777"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Ⅱ.出現下列任一臨床症狀：（112/4/1）</w:t>
      </w:r>
    </w:p>
    <w:p w14:paraId="68F3DBB6" w14:textId="77777777"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6E40B2E3" w14:textId="77777777" w:rsidR="00B96EA0" w:rsidRDefault="007D66B8" w:rsidP="005142EB">
      <w:pPr>
        <w:spacing w:line="400" w:lineRule="exact"/>
        <w:ind w:left="1788" w:hanging="360"/>
      </w:pPr>
      <w:proofErr w:type="spellStart"/>
      <w:r>
        <w:rPr>
          <w:rFonts w:ascii="新細明體" w:hAnsi="新細明體" w:cs="新細明體"/>
          <w:color w:val="000000"/>
        </w:rPr>
        <w:t>ⅱ</w:t>
      </w:r>
      <w:r>
        <w:rPr>
          <w:rFonts w:ascii="標楷體" w:eastAsia="標楷體" w:hAnsi="標楷體"/>
          <w:color w:val="000000"/>
        </w:rPr>
        <w:t>.Plasmacytoma</w:t>
      </w:r>
      <w:proofErr w:type="spellEnd"/>
      <w:r>
        <w:rPr>
          <w:rFonts w:ascii="標楷體" w:eastAsia="標楷體" w:hAnsi="標楷體"/>
          <w:color w:val="000000"/>
        </w:rPr>
        <w:t xml:space="preserve"> 體積增加≧50%。</w:t>
      </w:r>
    </w:p>
    <w:p w14:paraId="431BA7D9"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14:paraId="17031390"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 2gm/dL且無其他原因可以解釋)。</w:t>
      </w:r>
    </w:p>
    <w:p w14:paraId="6C124C15"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v.腎功能惡化(eGFR需下降幅度≧25%)，且無其他原因可以解釋。</w:t>
      </w:r>
    </w:p>
    <w:p w14:paraId="14FDBA7E"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14:paraId="64E826CC" w14:textId="77777777"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14:paraId="392554B3" w14:textId="77777777"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 xml:space="preserve">(3)每人終生以10個療程為上限。 （109/2/1、112/4/1） </w:t>
      </w:r>
    </w:p>
    <w:p w14:paraId="682F22C7" w14:textId="77777777"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w:t>
      </w:r>
      <w:r>
        <w:rPr>
          <w:rFonts w:ascii="標楷體" w:eastAsia="標楷體" w:hAnsi="標楷體"/>
          <w:color w:val="000000"/>
        </w:rPr>
        <w:lastRenderedPageBreak/>
        <w:t>(immunomodulatory drugs) 或daratumumab併用。（109/2/1、112/4/1、113/4/1）</w:t>
      </w:r>
    </w:p>
    <w:p w14:paraId="73561EA1" w14:textId="77777777"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14:paraId="49E20DBC" w14:textId="77777777" w:rsidR="00F95F32" w:rsidRDefault="00F95F32" w:rsidP="00F95F32">
      <w:pPr>
        <w:spacing w:line="400" w:lineRule="exact"/>
        <w:rPr>
          <w:rFonts w:ascii="標楷體" w:eastAsia="標楷體" w:hAnsi="標楷體"/>
          <w:color w:val="000000"/>
        </w:rPr>
      </w:pPr>
      <w:bookmarkStart w:id="35" w:name="_Hlk209192170"/>
      <w:r>
        <w:rPr>
          <w:rFonts w:ascii="標楷體" w:eastAsia="標楷體" w:hAnsi="標楷體"/>
          <w:color w:val="000000"/>
        </w:rPr>
        <w:t>9.76.Midostaurin (如</w:t>
      </w:r>
      <w:proofErr w:type="spellStart"/>
      <w:r>
        <w:rPr>
          <w:rFonts w:ascii="標楷體" w:eastAsia="標楷體" w:hAnsi="標楷體"/>
          <w:color w:val="000000"/>
        </w:rPr>
        <w:t>Rydapt</w:t>
      </w:r>
      <w:proofErr w:type="spellEnd"/>
      <w:r>
        <w:rPr>
          <w:rFonts w:ascii="標楷體" w:eastAsia="標楷體" w:hAnsi="標楷體"/>
          <w:color w:val="000000"/>
        </w:rPr>
        <w:t>)：(109/2/1、113/6/1、114/10/1)</w:t>
      </w:r>
    </w:p>
    <w:p w14:paraId="0035B9E5"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 xml:space="preserve">限用於新確診為FLT3突變陽性的急性骨髓性白血病(AML)成人病患之標準前導與鞏固性化療時合併使用。 </w:t>
      </w:r>
    </w:p>
    <w:p w14:paraId="28293C71"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14:paraId="51008202"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首次用於標準前導期，可免事前審查，以2個療程為限，若2個療程後仍未達完全緩解之病患即不得再使用。</w:t>
      </w:r>
    </w:p>
    <w:p w14:paraId="1B886F7B"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14:paraId="5C29729C"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14:paraId="3D1EBBF7" w14:textId="77777777" w:rsidR="00B96EA0"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6.本藥品與</w:t>
      </w:r>
      <w:proofErr w:type="spellStart"/>
      <w:r>
        <w:rPr>
          <w:rFonts w:ascii="標楷體" w:eastAsia="標楷體" w:hAnsi="標楷體"/>
          <w:color w:val="000000"/>
        </w:rPr>
        <w:t>quizartinib</w:t>
      </w:r>
      <w:proofErr w:type="spellEnd"/>
      <w:r>
        <w:rPr>
          <w:rFonts w:ascii="標楷體" w:eastAsia="標楷體" w:hAnsi="標楷體"/>
          <w:color w:val="000000"/>
        </w:rPr>
        <w:t>僅得擇一使用，除因耐受性不良，不得互換。(114/10/1)</w:t>
      </w:r>
      <w:bookmarkEnd w:id="35"/>
    </w:p>
    <w:p w14:paraId="5F1DBEC8" w14:textId="77777777" w:rsidR="00B96EA0" w:rsidRDefault="007D66B8" w:rsidP="00F95F32">
      <w:pPr>
        <w:spacing w:line="400" w:lineRule="exact"/>
      </w:pPr>
      <w:r>
        <w:rPr>
          <w:rFonts w:ascii="標楷體" w:eastAsia="標楷體" w:hAnsi="標楷體"/>
          <w:color w:val="000000"/>
        </w:rPr>
        <w:t>9.77.</w:t>
      </w:r>
      <w:r>
        <w:t xml:space="preserve"> </w:t>
      </w:r>
      <w:proofErr w:type="spellStart"/>
      <w:r>
        <w:rPr>
          <w:rFonts w:ascii="標楷體" w:eastAsia="標楷體" w:hAnsi="標楷體"/>
          <w:color w:val="000000"/>
        </w:rPr>
        <w:t>Ixazomib</w:t>
      </w:r>
      <w:proofErr w:type="spellEnd"/>
      <w:r>
        <w:rPr>
          <w:rFonts w:ascii="標楷體" w:eastAsia="標楷體" w:hAnsi="標楷體"/>
          <w:color w:val="000000"/>
        </w:rPr>
        <w:t xml:space="preserve"> (如</w:t>
      </w:r>
      <w:proofErr w:type="spellStart"/>
      <w:r>
        <w:rPr>
          <w:rFonts w:ascii="標楷體" w:eastAsia="標楷體" w:hAnsi="標楷體"/>
          <w:color w:val="000000"/>
        </w:rPr>
        <w:t>Ninlaro</w:t>
      </w:r>
      <w:proofErr w:type="spellEnd"/>
      <w:r>
        <w:rPr>
          <w:rFonts w:ascii="標楷體" w:eastAsia="標楷體" w:hAnsi="標楷體"/>
          <w:color w:val="000000"/>
        </w:rPr>
        <w:t>)：(109/3/1、112/4/1)</w:t>
      </w:r>
    </w:p>
    <w:p w14:paraId="132CE683" w14:textId="77777777"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1.與lenalidomide及dexamethasone合併使用於先前已接受至少一種治療失敗之多發性骨髓瘤病患，並符合下列條件之一：</w:t>
      </w:r>
    </w:p>
    <w:p w14:paraId="3C93D9A0"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14:paraId="0F10A525" w14:textId="77777777"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曾接受bortezomib治療失敗，但有嚴重心血管共病無法接受</w:t>
      </w:r>
      <w:proofErr w:type="spellStart"/>
      <w:r>
        <w:rPr>
          <w:rFonts w:ascii="標楷體" w:eastAsia="標楷體" w:hAnsi="標楷體"/>
          <w:color w:val="000000"/>
        </w:rPr>
        <w:t>carfizomib</w:t>
      </w:r>
      <w:proofErr w:type="spellEnd"/>
      <w:r>
        <w:rPr>
          <w:rFonts w:ascii="標楷體" w:eastAsia="標楷體" w:hAnsi="標楷體"/>
          <w:color w:val="000000"/>
        </w:rPr>
        <w:t xml:space="preserve"> 治療之病患。（109/3/1、112/4/1）</w:t>
      </w:r>
    </w:p>
    <w:p w14:paraId="0C9C4400" w14:textId="77777777"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(包括具del（17p）、t（4；14）、t(14；16)及1q21 amplification等染色體變化者)；若為第三線以上治療使用，則不需為具高風險遺傳異常者。</w:t>
      </w:r>
    </w:p>
    <w:p w14:paraId="61E97962" w14:textId="77777777" w:rsidR="00B96EA0" w:rsidRDefault="007D66B8" w:rsidP="00F95F32">
      <w:pPr>
        <w:spacing w:line="400" w:lineRule="exact"/>
        <w:ind w:left="567" w:hanging="282"/>
      </w:pPr>
      <w:r>
        <w:rPr>
          <w:rFonts w:ascii="標楷體" w:eastAsia="標楷體" w:hAnsi="標楷體"/>
          <w:color w:val="000000"/>
        </w:rPr>
        <w:t>3.</w:t>
      </w:r>
      <w:r w:rsidRPr="00F95F32">
        <w:rPr>
          <w:rFonts w:ascii="標楷體" w:eastAsia="標楷體" w:hAnsi="標楷體"/>
          <w:color w:val="000000"/>
        </w:rPr>
        <w:t xml:space="preserve"> </w:t>
      </w:r>
      <w:r>
        <w:rPr>
          <w:rFonts w:ascii="標楷體" w:eastAsia="標楷體" w:hAnsi="標楷體"/>
          <w:color w:val="000000"/>
        </w:rPr>
        <w:t>需經事前審查核准後使用：（109/3/1、112/4/1）</w:t>
      </w:r>
    </w:p>
    <w:p w14:paraId="54E28615" w14:textId="77777777"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14:paraId="113EB98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2E607172" w14:textId="77777777"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14:paraId="44ECF07D" w14:textId="77777777" w:rsidR="00B96EA0" w:rsidRDefault="007D66B8" w:rsidP="005142EB">
      <w:pPr>
        <w:spacing w:line="400" w:lineRule="exact"/>
        <w:ind w:left="1231" w:hanging="283"/>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M-protein需增加≧0.2 gm/24Hr，且需較前一線治療中的最低值增加≧25%。 </w:t>
      </w:r>
    </w:p>
    <w:p w14:paraId="50D2CF9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病患，骨髓漿細胞 (plasma cells)之比例絕對值</w:t>
      </w:r>
      <w:r>
        <w:rPr>
          <w:rFonts w:ascii="標楷體" w:eastAsia="標楷體" w:hAnsi="標楷體"/>
          <w:color w:val="000000"/>
        </w:rPr>
        <w:lastRenderedPageBreak/>
        <w:t>增加≧10%，且需較前一線治療中的最低值增加≧25%。</w:t>
      </w:r>
    </w:p>
    <w:p w14:paraId="4272A813"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14:paraId="43A6C10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14:paraId="6F4851D4"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447830DF"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Ⅱ.出現下列任一臨床症狀：（112/4/1）</w:t>
      </w:r>
    </w:p>
    <w:p w14:paraId="51F7A26B" w14:textId="77777777"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241EC0AF" w14:textId="77777777"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體積增加≧50%。</w:t>
      </w:r>
    </w:p>
    <w:p w14:paraId="4AD2BCEF"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14:paraId="11A701FB"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 2gm/dL且無其他原因可以解釋)。</w:t>
      </w:r>
    </w:p>
    <w:p w14:paraId="4F03B5E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v.腎功能惡化(eGFR需下降幅度≧25%)，且無其他原因可以解釋。</w:t>
      </w:r>
    </w:p>
    <w:p w14:paraId="5C662FD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14:paraId="57462B89" w14:textId="77777777"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後續每次申請以4個療程(每療程為4週)為限，續用申請時必須確定paraprotein (M-protein)未上升(即表示對藥物有反應或為穩定狀態)或對部分non-secretory type MM病人以骨髓檢查plasma cell為療效依據，方可繼續使用。（109/3/1、112/4/1）</w:t>
      </w:r>
    </w:p>
    <w:p w14:paraId="3A011E35" w14:textId="77777777"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14:paraId="57F09F42" w14:textId="77777777"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inhibitor)或免疫調節劑(immunomodulatory drugs)併用。（109/3/1、112/4/1）</w:t>
      </w:r>
    </w:p>
    <w:p w14:paraId="451A962C" w14:textId="77777777" w:rsidR="00B96EA0" w:rsidRDefault="007D66B8" w:rsidP="00F95F32">
      <w:pPr>
        <w:spacing w:line="400" w:lineRule="exact"/>
        <w:ind w:left="567" w:hanging="282"/>
      </w:pPr>
      <w:r>
        <w:rPr>
          <w:rFonts w:ascii="標楷體" w:eastAsia="標楷體" w:hAnsi="標楷體"/>
          <w:color w:val="000000"/>
        </w:rPr>
        <w:t>5.</w:t>
      </w:r>
      <w:r w:rsidRPr="00F95F32">
        <w:rPr>
          <w:rFonts w:ascii="標楷體" w:eastAsia="標楷體" w:hAnsi="標楷體"/>
          <w:color w:val="000000"/>
        </w:rPr>
        <w:t xml:space="preserve"> </w:t>
      </w:r>
      <w:r>
        <w:rPr>
          <w:rFonts w:ascii="標楷體" w:eastAsia="標楷體" w:hAnsi="標楷體"/>
          <w:color w:val="000000"/>
        </w:rPr>
        <w:t>112年3月31日以前已核定用藥之病人，得經事前審查核准後，使用至總療程上限（即終生12個療程）或使用期間發生疾病惡化為止。（112/4/1）</w:t>
      </w:r>
    </w:p>
    <w:p w14:paraId="27FFDEBE" w14:textId="77777777" w:rsidR="00D3675A" w:rsidRPr="00276A1A" w:rsidRDefault="007D66B8" w:rsidP="00D3675A">
      <w:pPr>
        <w:adjustRightInd w:val="0"/>
        <w:snapToGrid w:val="0"/>
        <w:spacing w:line="400" w:lineRule="exact"/>
        <w:ind w:left="480" w:hangingChars="200" w:hanging="480"/>
        <w:rPr>
          <w:rFonts w:ascii="標楷體" w:eastAsia="標楷體" w:hAnsi="標楷體"/>
          <w:szCs w:val="24"/>
        </w:rPr>
      </w:pPr>
      <w:r>
        <w:rPr>
          <w:rFonts w:ascii="標楷體" w:eastAsia="標楷體" w:hAnsi="標楷體"/>
          <w:color w:val="000000"/>
        </w:rPr>
        <w:t>9.78.</w:t>
      </w:r>
      <w:r>
        <w:t xml:space="preserve"> </w:t>
      </w:r>
      <w:bookmarkStart w:id="36"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w:t>
      </w:r>
      <w:proofErr w:type="spellStart"/>
      <w:r w:rsidR="00D3675A" w:rsidRPr="00276A1A">
        <w:rPr>
          <w:rFonts w:ascii="標楷體" w:eastAsia="標楷體" w:hAnsi="標楷體" w:hint="eastAsia"/>
          <w:szCs w:val="24"/>
        </w:rPr>
        <w:t>Darzalex</w:t>
      </w:r>
      <w:proofErr w:type="spellEnd"/>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14:paraId="1E10E0D0" w14:textId="77777777"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088D5179"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限與bortezomib、thalidomide及dexamethasone併用。</w:t>
      </w:r>
    </w:p>
    <w:p w14:paraId="307B547E"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14:paraId="06652ED5" w14:textId="77777777" w:rsidR="00D3675A" w:rsidRPr="00276A1A" w:rsidRDefault="00D3675A" w:rsidP="00167FEB">
      <w:pPr>
        <w:numPr>
          <w:ilvl w:val="0"/>
          <w:numId w:val="24"/>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10%，或是經切片確認且有</w:t>
      </w:r>
      <w:r w:rsidRPr="00276A1A">
        <w:rPr>
          <w:rFonts w:ascii="標楷體" w:eastAsia="標楷體" w:hAnsi="標楷體" w:cs="新細明體" w:hint="eastAsia"/>
          <w:szCs w:val="24"/>
        </w:rPr>
        <w:t>≧</w:t>
      </w:r>
      <w:r w:rsidRPr="00276A1A">
        <w:rPr>
          <w:rFonts w:ascii="標楷體" w:eastAsia="標楷體" w:hAnsi="標楷體"/>
          <w:szCs w:val="24"/>
        </w:rPr>
        <w:t>1顆的plasmacytoma。</w:t>
      </w:r>
    </w:p>
    <w:p w14:paraId="72C258AC" w14:textId="77777777" w:rsidR="00D3675A" w:rsidRPr="00276A1A" w:rsidRDefault="00D3675A" w:rsidP="00167FEB">
      <w:pPr>
        <w:numPr>
          <w:ilvl w:val="0"/>
          <w:numId w:val="24"/>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出現下列任一臨床症狀：</w:t>
      </w:r>
    </w:p>
    <w:p w14:paraId="24D0C0A3"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14:paraId="777AF452"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14:paraId="42FBD617" w14:textId="77777777" w:rsidR="00D3675A" w:rsidRPr="00276A1A" w:rsidRDefault="00D3675A" w:rsidP="00167FEB">
      <w:pPr>
        <w:numPr>
          <w:ilvl w:val="0"/>
          <w:numId w:val="25"/>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14:paraId="52510433" w14:textId="77777777"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14:paraId="091AFC30"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60%。</w:t>
      </w:r>
    </w:p>
    <w:p w14:paraId="6B4960E0" w14:textId="77777777"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Serum free light-chain ratio</w:t>
      </w:r>
      <w:r w:rsidRPr="00276A1A">
        <w:rPr>
          <w:rFonts w:ascii="標楷體" w:eastAsia="標楷體" w:hAnsi="標楷體" w:cs="新細明體" w:hint="eastAsia"/>
          <w:szCs w:val="24"/>
        </w:rPr>
        <w:t>≧</w:t>
      </w:r>
      <w:r w:rsidRPr="00276A1A">
        <w:rPr>
          <w:rFonts w:ascii="標楷體" w:eastAsia="標楷體" w:hAnsi="標楷體"/>
          <w:szCs w:val="24"/>
        </w:rPr>
        <w:t>100。</w:t>
      </w:r>
    </w:p>
    <w:p w14:paraId="79166E5A"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首次申請為12次輸注，須檢附完整之造血幹細胞移植計畫</w:t>
      </w:r>
      <w:r w:rsidRPr="00276A1A">
        <w:rPr>
          <w:rFonts w:ascii="標楷體" w:eastAsia="標楷體" w:hAnsi="標楷體" w:hint="eastAsia"/>
          <w:szCs w:val="24"/>
        </w:rPr>
        <w:t>，並詳細記載確認捐贈</w:t>
      </w:r>
      <w:r w:rsidRPr="00276A1A">
        <w:rPr>
          <w:rFonts w:ascii="標楷體" w:eastAsia="標楷體" w:hAnsi="標楷體" w:hint="eastAsia"/>
          <w:szCs w:val="24"/>
        </w:rPr>
        <w:lastRenderedPageBreak/>
        <w:t>者名單及移植前調適治療等資料。需由具訓練血液及骨髓移植醫師能力之醫院申請，並由完成血液及骨髓移植訓練之醫師確認移植計畫。</w:t>
      </w:r>
    </w:p>
    <w:p w14:paraId="6C9471FF"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再次申請為4次輸注，應檢附移植相關資料，且第一線治療總共以16次輸注為上限。</w:t>
      </w:r>
    </w:p>
    <w:p w14:paraId="15E634DB" w14:textId="77777777"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2)者，以總共22次輸注為上限。(109/4/1、112/4/1、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3B867AB8" w14:textId="77777777"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(1)須經事前審查核准後使用：首次申請為10次輸注，且需同時符合下列Ⅰ.、Ⅱ.與Ⅲ.的條件：(109/4/1、112/4/1、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311EB16C" w14:textId="77777777" w:rsidR="00D3675A" w:rsidRPr="00276A1A" w:rsidRDefault="00D3675A" w:rsidP="00167FEB">
      <w:pPr>
        <w:numPr>
          <w:ilvl w:val="2"/>
          <w:numId w:val="22"/>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01894824" w14:textId="77777777" w:rsidR="00D3675A" w:rsidRPr="00276A1A" w:rsidRDefault="00D3675A" w:rsidP="00167FEB">
      <w:pPr>
        <w:numPr>
          <w:ilvl w:val="2"/>
          <w:numId w:val="22"/>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具有下列任一疾病惡化的指標：病患開始治療前須在連續2次評估中均符合同一指標(但若為</w:t>
      </w:r>
      <w:proofErr w:type="spellStart"/>
      <w:r w:rsidRPr="00276A1A">
        <w:rPr>
          <w:rFonts w:ascii="標楷體" w:eastAsia="標楷體" w:hAnsi="標楷體"/>
          <w:szCs w:val="24"/>
        </w:rPr>
        <w:t>plamacytoma</w:t>
      </w:r>
      <w:proofErr w:type="spellEnd"/>
      <w:r w:rsidRPr="00276A1A">
        <w:rPr>
          <w:rFonts w:ascii="標楷體" w:eastAsia="標楷體" w:hAnsi="標楷體"/>
          <w:szCs w:val="24"/>
        </w:rPr>
        <w:t xml:space="preserve"> 體積增加，或是新產生的bone lesion(s)或新plasmacytoma，則僅需1次評估)：（112/4/1）</w:t>
      </w:r>
    </w:p>
    <w:p w14:paraId="0AA140A2"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14:paraId="67393921"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195187C3"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67D1FAAF"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14:paraId="7D8B0A46"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5A16258D"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w:t>
      </w:r>
      <w:proofErr w:type="spellStart"/>
      <w:r w:rsidRPr="00276A1A">
        <w:rPr>
          <w:rFonts w:ascii="標楷體" w:eastAsia="標楷體" w:hAnsi="標楷體"/>
          <w:szCs w:val="24"/>
        </w:rPr>
        <w:t>μL</w:t>
      </w:r>
      <w:proofErr w:type="spellEnd"/>
      <w:r w:rsidRPr="00276A1A">
        <w:rPr>
          <w:rFonts w:ascii="標楷體" w:eastAsia="標楷體" w:hAnsi="標楷體"/>
          <w:szCs w:val="24"/>
        </w:rPr>
        <w:t>。</w:t>
      </w:r>
    </w:p>
    <w:p w14:paraId="1EAB7175" w14:textId="77777777"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Ⅲ出現下列任一臨床症狀：（112/4/1）</w:t>
      </w:r>
    </w:p>
    <w:p w14:paraId="322C6A2D"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14:paraId="6CF1FD90"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1A996684"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14:paraId="09FE8A55"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14:paraId="050D9116"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14:paraId="7483A0ED"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14:paraId="78C19D2E" w14:textId="77777777"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cell為療效依據，方可繼續使用。(109/4/1、112/4/1)</w:t>
      </w:r>
    </w:p>
    <w:p w14:paraId="36B7DBEE" w14:textId="77777777"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467D1ACB" w14:textId="77777777"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lastRenderedPageBreak/>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4879B5B6" w14:textId="77777777"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w:t>
      </w:r>
      <w:proofErr w:type="spellStart"/>
      <w:r w:rsidRPr="00276A1A">
        <w:rPr>
          <w:rFonts w:ascii="標楷體" w:eastAsia="標楷體" w:hAnsi="標楷體"/>
          <w:szCs w:val="24"/>
        </w:rPr>
        <w:t>isatuximab</w:t>
      </w:r>
      <w:proofErr w:type="spellEnd"/>
      <w:r w:rsidRPr="00276A1A">
        <w:rPr>
          <w:rFonts w:ascii="標楷體" w:eastAsia="標楷體" w:hAnsi="標楷體"/>
          <w:szCs w:val="24"/>
        </w:rPr>
        <w:t>二者</w:t>
      </w:r>
      <w:r w:rsidRPr="00276A1A">
        <w:rPr>
          <w:rFonts w:ascii="標楷體" w:eastAsia="標楷體" w:hAnsi="標楷體" w:hint="eastAsia"/>
          <w:szCs w:val="24"/>
        </w:rPr>
        <w:t>僅能擇一使用，除因藥物耐受不良以外，不可以其他原因申請互換使用。（113/4/1）</w:t>
      </w:r>
      <w:bookmarkEnd w:id="36"/>
    </w:p>
    <w:p w14:paraId="003CEA67" w14:textId="77777777" w:rsidR="00275C39" w:rsidRPr="00275C39" w:rsidRDefault="00275C39" w:rsidP="00275C39">
      <w:pPr>
        <w:spacing w:line="400" w:lineRule="exact"/>
        <w:ind w:left="672" w:hanging="386"/>
        <w:rPr>
          <w:rFonts w:ascii="標楷體" w:eastAsia="標楷體" w:hAnsi="標楷體"/>
          <w:color w:val="000000"/>
        </w:rPr>
      </w:pPr>
      <w:bookmarkStart w:id="37" w:name="_Hlk204089600"/>
      <w:r w:rsidRPr="00275C39">
        <w:rPr>
          <w:rFonts w:ascii="標楷體" w:eastAsia="標楷體" w:hAnsi="標楷體"/>
          <w:color w:val="000000"/>
        </w:rPr>
        <w:t>9.79.Obinutuzumab(如</w:t>
      </w:r>
      <w:proofErr w:type="spellStart"/>
      <w:r w:rsidRPr="00275C39">
        <w:rPr>
          <w:rFonts w:ascii="標楷體" w:eastAsia="標楷體" w:hAnsi="標楷體"/>
          <w:color w:val="000000"/>
        </w:rPr>
        <w:t>Gazyva</w:t>
      </w:r>
      <w:proofErr w:type="spellEnd"/>
      <w:r w:rsidRPr="00275C39">
        <w:rPr>
          <w:rFonts w:ascii="標楷體" w:eastAsia="標楷體" w:hAnsi="標楷體"/>
          <w:color w:val="000000"/>
        </w:rPr>
        <w:t>)：（109/4/1、113/2/1</w:t>
      </w:r>
      <w:r w:rsidRPr="00275C39">
        <w:rPr>
          <w:rFonts w:ascii="標楷體" w:eastAsia="標楷體" w:hAnsi="標楷體" w:hint="eastAsia"/>
          <w:color w:val="000000"/>
        </w:rPr>
        <w:t>、114/8/1</w:t>
      </w:r>
      <w:r w:rsidRPr="00275C39">
        <w:rPr>
          <w:rFonts w:ascii="標楷體" w:eastAsia="標楷體" w:hAnsi="標楷體"/>
          <w:color w:val="000000"/>
        </w:rPr>
        <w:t>）</w:t>
      </w:r>
    </w:p>
    <w:p w14:paraId="3BF91862"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1.限用於第一次接受含rituximab治療後治療無效或治療結束後6個月內復發的濾泡性淋巴瘤(follicular lymphoma)患者。</w:t>
      </w:r>
    </w:p>
    <w:p w14:paraId="5E292C76"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14:paraId="6C9B9051" w14:textId="77777777" w:rsidR="00275C39" w:rsidRPr="00275C39" w:rsidRDefault="00275C39" w:rsidP="00347CE0">
      <w:pPr>
        <w:spacing w:line="400" w:lineRule="exact"/>
        <w:ind w:left="1560" w:hanging="386"/>
        <w:rPr>
          <w:rFonts w:ascii="標楷體" w:eastAsia="標楷體" w:hAnsi="標楷體"/>
          <w:color w:val="000000"/>
        </w:rPr>
      </w:pPr>
      <w:bookmarkStart w:id="38" w:name="_Hlk206605286"/>
      <w:r w:rsidRPr="00275C39">
        <w:rPr>
          <w:rFonts w:ascii="標楷體" w:eastAsia="標楷體" w:hAnsi="標楷體"/>
          <w:color w:val="000000"/>
        </w:rPr>
        <w:t>Ⅰ.</w:t>
      </w:r>
      <w:bookmarkEnd w:id="38"/>
      <w:r w:rsidRPr="00275C39">
        <w:rPr>
          <w:rFonts w:ascii="標楷體" w:eastAsia="標楷體" w:hAnsi="標楷體"/>
          <w:color w:val="000000"/>
        </w:rPr>
        <w:t>首次申請限6個療程(共8次治療)，且需與</w:t>
      </w:r>
      <w:proofErr w:type="spellStart"/>
      <w:r w:rsidRPr="00275C39">
        <w:rPr>
          <w:rFonts w:ascii="標楷體" w:eastAsia="標楷體" w:hAnsi="標楷體"/>
          <w:color w:val="000000"/>
        </w:rPr>
        <w:t>bendamustine</w:t>
      </w:r>
      <w:proofErr w:type="spellEnd"/>
      <w:r w:rsidRPr="00275C39">
        <w:rPr>
          <w:rFonts w:ascii="標楷體" w:eastAsia="標楷體" w:hAnsi="標楷體"/>
          <w:color w:val="000000"/>
        </w:rPr>
        <w:t xml:space="preserve"> 併用。</w:t>
      </w:r>
    </w:p>
    <w:p w14:paraId="26FC7162" w14:textId="77777777"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w:t>
      </w:r>
      <w:proofErr w:type="spellStart"/>
      <w:r w:rsidRPr="00275C39">
        <w:rPr>
          <w:rFonts w:ascii="標楷體" w:eastAsia="標楷體" w:hAnsi="標楷體"/>
          <w:color w:val="000000"/>
        </w:rPr>
        <w:t>obinutuzumab</w:t>
      </w:r>
      <w:proofErr w:type="spellEnd"/>
      <w:r w:rsidRPr="00275C39">
        <w:rPr>
          <w:rFonts w:ascii="標楷體" w:eastAsia="標楷體" w:hAnsi="標楷體"/>
          <w:color w:val="000000"/>
        </w:rPr>
        <w:t xml:space="preserve"> 單一藥物維持治療，每次申請最多12個月(6個療程)，每12個月須進行疾病評估，若病情惡化應即停止使用。</w:t>
      </w:r>
    </w:p>
    <w:p w14:paraId="3D967D1E" w14:textId="77777777"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14:paraId="514AAA6F"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14:paraId="3879498E"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2.限與chlorambucil併用於治療先前未曾接受過治療，且具有合併症(comorbidities)而不適合接受含 fludarabine治療的CD20陽性慢性淋巴球性白血病（CLL）患者。（113/2/1）</w:t>
      </w:r>
    </w:p>
    <w:p w14:paraId="20078F46"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 xml:space="preserve">(1)Rai Stage Ⅲ/Ⅳ(或Binet C級)之CLL病人。若用於Rai </w:t>
      </w:r>
      <w:proofErr w:type="spellStart"/>
      <w:r w:rsidRPr="00275C39">
        <w:rPr>
          <w:rFonts w:ascii="標楷體" w:eastAsia="標楷體" w:hAnsi="標楷體"/>
          <w:color w:val="000000"/>
        </w:rPr>
        <w:t>StageⅠ</w:t>
      </w:r>
      <w:proofErr w:type="spellEnd"/>
      <w:r w:rsidRPr="00275C39">
        <w:rPr>
          <w:rFonts w:ascii="標楷體" w:eastAsia="標楷體" w:hAnsi="標楷體"/>
          <w:color w:val="000000"/>
        </w:rPr>
        <w:t>/Ⅱ(或Binet A/B級)併有疾病相關免疫性症候(如自體免疫性溶血、免疫性血小板低下紫瘢症等)的病人時，需符合具有CD20陽性。</w:t>
      </w:r>
    </w:p>
    <w:p w14:paraId="5D103D3B"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14:paraId="5309E13D"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14:paraId="3D12D513"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w:t>
      </w:r>
      <w:proofErr w:type="spellStart"/>
      <w:r w:rsidRPr="00275C39">
        <w:rPr>
          <w:rFonts w:ascii="標楷體" w:eastAsia="標楷體" w:hAnsi="標楷體"/>
          <w:color w:val="000000"/>
        </w:rPr>
        <w:t>zanubrutinib</w:t>
      </w:r>
      <w:proofErr w:type="spellEnd"/>
      <w:r w:rsidRPr="00275C39">
        <w:rPr>
          <w:rFonts w:ascii="標楷體" w:eastAsia="標楷體" w:hAnsi="標楷體"/>
          <w:color w:val="000000"/>
        </w:rPr>
        <w:t>併用，治療先前曾接受至少兩線(每線至少4個療程)全身性治療無效或復發的濾泡性淋巴瘤成人病人。(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14:paraId="168513AB"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r w:rsidRPr="00275C39">
        <w:rPr>
          <w:rFonts w:ascii="標楷體" w:eastAsia="標楷體" w:hAnsi="標楷體"/>
          <w:color w:val="000000"/>
        </w:rPr>
        <w:t>需曾接受過至少一種anti-CD20 monoclonal antibody及一種靜脈注射型之alkylating agent治療。</w:t>
      </w:r>
    </w:p>
    <w:p w14:paraId="0A5051D4"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14:paraId="465FE92A"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開始使用前之疾病狀態需出現下列任一情形：</w:t>
      </w:r>
    </w:p>
    <w:p w14:paraId="6880BE1B" w14:textId="77777777" w:rsidR="00347CE0" w:rsidRDefault="00275C39" w:rsidP="00167FEB">
      <w:pPr>
        <w:numPr>
          <w:ilvl w:val="0"/>
          <w:numId w:val="16"/>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14:paraId="2E0A0773" w14:textId="77777777" w:rsidR="00275C39" w:rsidRPr="00347CE0" w:rsidRDefault="00275C39" w:rsidP="00167FEB">
      <w:pPr>
        <w:numPr>
          <w:ilvl w:val="0"/>
          <w:numId w:val="16"/>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14:paraId="51CC80FF" w14:textId="77777777"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14:paraId="2D7D95A6" w14:textId="77777777"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對</w:t>
      </w:r>
      <w:proofErr w:type="spellStart"/>
      <w:r w:rsidRPr="00275C39">
        <w:rPr>
          <w:rFonts w:ascii="標楷體" w:eastAsia="標楷體" w:hAnsi="標楷體" w:cs="BiauKai"/>
          <w:szCs w:val="24"/>
        </w:rPr>
        <w:t>vitalorgans</w:t>
      </w:r>
      <w:proofErr w:type="spellEnd"/>
      <w:r w:rsidRPr="00275C39">
        <w:rPr>
          <w:rFonts w:ascii="標楷體" w:eastAsia="標楷體" w:hAnsi="標楷體" w:cs="BiauKai"/>
          <w:szCs w:val="24"/>
        </w:rPr>
        <w:t>造成擠壓者；</w:t>
      </w:r>
    </w:p>
    <w:p w14:paraId="45E2C112" w14:textId="77777777" w:rsidR="00347CE0" w:rsidRDefault="00275C39" w:rsidP="00167FEB">
      <w:pPr>
        <w:numPr>
          <w:ilvl w:val="0"/>
          <w:numId w:val="20"/>
        </w:numPr>
        <w:spacing w:line="400" w:lineRule="exact"/>
        <w:rPr>
          <w:rFonts w:ascii="標楷體" w:eastAsia="標楷體" w:hAnsi="標楷體" w:cs="BiauKai"/>
          <w:szCs w:val="24"/>
        </w:rPr>
      </w:pPr>
      <w:r w:rsidRPr="00275C39">
        <w:rPr>
          <w:rFonts w:ascii="標楷體" w:eastAsia="標楷體" w:hAnsi="標楷體" w:cs="BiauKai"/>
          <w:szCs w:val="24"/>
        </w:rPr>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14:paraId="2715991F" w14:textId="77777777" w:rsidR="00275C39" w:rsidRPr="00347CE0" w:rsidRDefault="00275C39" w:rsidP="00167FEB">
      <w:pPr>
        <w:numPr>
          <w:ilvl w:val="0"/>
          <w:numId w:val="19"/>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出現任一系列血球低下者（platelet&lt;100,000/ mm3，或 Hb&lt;10gm/dL，或</w:t>
      </w:r>
      <w:r w:rsidRPr="00347CE0">
        <w:rPr>
          <w:rFonts w:ascii="標楷體" w:eastAsia="標楷體" w:hAnsi="標楷體" w:cs="BiauKai"/>
          <w:szCs w:val="24"/>
        </w:rPr>
        <w:lastRenderedPageBreak/>
        <w:t>absolute neutrophil count&lt;1500/ mm3)。</w:t>
      </w:r>
    </w:p>
    <w:p w14:paraId="029FFBFA" w14:textId="77777777" w:rsidR="00275C39" w:rsidRPr="00275C39" w:rsidRDefault="00275C39" w:rsidP="00167FEB">
      <w:pPr>
        <w:numPr>
          <w:ilvl w:val="0"/>
          <w:numId w:val="19"/>
        </w:numPr>
        <w:spacing w:line="400" w:lineRule="exact"/>
        <w:rPr>
          <w:rFonts w:ascii="標楷體" w:eastAsia="標楷體" w:hAnsi="標楷體" w:cs="BiauKai"/>
          <w:szCs w:val="24"/>
        </w:rPr>
      </w:pPr>
      <w:r w:rsidRPr="00275C39">
        <w:rPr>
          <w:rFonts w:ascii="標楷體" w:eastAsia="標楷體" w:hAnsi="標楷體" w:cs="BiauKai"/>
          <w:szCs w:val="24"/>
        </w:rPr>
        <w:t>B symptoms。</w:t>
      </w:r>
    </w:p>
    <w:p w14:paraId="4E9264C2"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需經事前審查核准後使用，每3 個月需再次申請，再次申請時需檢附療效評估資料，若未達partial remission或 complete remission，則不予給付。</w:t>
      </w:r>
    </w:p>
    <w:p w14:paraId="6130567F"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14:paraId="167325D3" w14:textId="77777777"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w:t>
      </w:r>
      <w:proofErr w:type="spellStart"/>
      <w:r w:rsidRPr="00275C39">
        <w:rPr>
          <w:rFonts w:ascii="標楷體" w:eastAsia="標楷體" w:hAnsi="標楷體" w:hint="eastAsia"/>
          <w:color w:val="000000"/>
        </w:rPr>
        <w:t>obinutuzumab</w:t>
      </w:r>
      <w:proofErr w:type="spellEnd"/>
      <w:r w:rsidRPr="00275C39">
        <w:rPr>
          <w:rFonts w:ascii="標楷體" w:eastAsia="標楷體" w:hAnsi="標楷體" w:hint="eastAsia"/>
          <w:color w:val="000000"/>
        </w:rPr>
        <w:t xml:space="preserve"> 1,000mg作為</w:t>
      </w:r>
      <w:proofErr w:type="spellStart"/>
      <w:r w:rsidRPr="00275C39">
        <w:rPr>
          <w:rFonts w:ascii="標楷體" w:eastAsia="標楷體" w:hAnsi="標楷體" w:hint="eastAsia"/>
          <w:color w:val="000000"/>
        </w:rPr>
        <w:t>glofitamab</w:t>
      </w:r>
      <w:proofErr w:type="spellEnd"/>
      <w:r w:rsidRPr="00275C39">
        <w:rPr>
          <w:rFonts w:ascii="標楷體" w:eastAsia="標楷體" w:hAnsi="標楷體" w:hint="eastAsia"/>
          <w:color w:val="000000"/>
        </w:rPr>
        <w:t>用於治療先前曾接受至少兩線全身治療之復發性或難治性瀰漫性大B細胞淋巴瘤 (DLBCL) 的成人病人之前置治療，需與</w:t>
      </w:r>
      <w:proofErr w:type="spellStart"/>
      <w:r w:rsidRPr="00275C39">
        <w:rPr>
          <w:rFonts w:ascii="標楷體" w:eastAsia="標楷體" w:hAnsi="標楷體" w:hint="eastAsia"/>
          <w:color w:val="000000"/>
        </w:rPr>
        <w:t>glofitamab</w:t>
      </w:r>
      <w:proofErr w:type="spellEnd"/>
      <w:r w:rsidRPr="00275C39">
        <w:rPr>
          <w:rFonts w:ascii="標楷體" w:eastAsia="標楷體" w:hAnsi="標楷體" w:hint="eastAsia"/>
          <w:color w:val="000000"/>
        </w:rPr>
        <w:t>首次治療同時申請事前審查並經核准後使用。(114/8/1）</w:t>
      </w:r>
      <w:bookmarkEnd w:id="37"/>
    </w:p>
    <w:p w14:paraId="5A7EC167" w14:textId="77777777"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w:t>
      </w:r>
      <w:proofErr w:type="spellStart"/>
      <w:r>
        <w:rPr>
          <w:rFonts w:ascii="標楷體" w:eastAsia="標楷體" w:hAnsi="標楷體"/>
          <w:color w:val="000000"/>
        </w:rPr>
        <w:t>Tagrisso</w:t>
      </w:r>
      <w:proofErr w:type="spellEnd"/>
      <w:r>
        <w:rPr>
          <w:rFonts w:ascii="標楷體" w:eastAsia="標楷體" w:hAnsi="標楷體"/>
          <w:color w:val="000000"/>
        </w:rPr>
        <w:t>)：(109/4/1、109/6/1、109/10/1、111/4/1、113/6/1、113/10/1)</w:t>
      </w:r>
    </w:p>
    <w:p w14:paraId="4BCE7DA2" w14:textId="77777777"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14:paraId="4BB69B4C" w14:textId="77777777"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14:paraId="37709E95" w14:textId="77777777"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
    <w:p w14:paraId="76808A26" w14:textId="77777777" w:rsidR="00B96EA0" w:rsidRDefault="007D66B8" w:rsidP="005142EB">
      <w:pPr>
        <w:spacing w:line="400" w:lineRule="exact"/>
        <w:ind w:left="709"/>
      </w:pPr>
      <w:r>
        <w:rPr>
          <w:rFonts w:ascii="標楷體" w:eastAsia="標楷體" w:hAnsi="標楷體"/>
          <w:color w:val="000000"/>
        </w:rPr>
        <w:t>2.使用注意事項：(109/10/1</w:t>
      </w:r>
      <w:r>
        <w:rPr>
          <w:rFonts w:ascii="新細明體" w:hAnsi="新細明體"/>
          <w:color w:val="000000"/>
        </w:rPr>
        <w:t>、</w:t>
      </w:r>
      <w:r>
        <w:rPr>
          <w:rFonts w:ascii="標楷體" w:eastAsia="標楷體" w:hAnsi="標楷體"/>
          <w:color w:val="000000"/>
        </w:rPr>
        <w:t>111/4/1、113/6/1、113/10/1）</w:t>
      </w:r>
    </w:p>
    <w:p w14:paraId="3C40D3B5" w14:textId="77777777" w:rsidR="00B96EA0" w:rsidRDefault="007D66B8" w:rsidP="005142EB">
      <w:pPr>
        <w:spacing w:line="400" w:lineRule="exact"/>
        <w:ind w:left="426"/>
        <w:rPr>
          <w:rFonts w:ascii="標楷體" w:eastAsia="標楷體" w:hAnsi="標楷體"/>
          <w:color w:val="000000"/>
        </w:rPr>
      </w:pPr>
      <w:r>
        <w:rPr>
          <w:rFonts w:ascii="標楷體" w:eastAsia="標楷體" w:hAnsi="標楷體"/>
          <w:color w:val="000000"/>
        </w:rPr>
        <w:t>(1)須經事前審查核准後使用：</w:t>
      </w:r>
    </w:p>
    <w:p w14:paraId="1E06A2FE" w14:textId="77777777" w:rsidR="00B96EA0" w:rsidRDefault="007D66B8" w:rsidP="005142EB">
      <w:pPr>
        <w:tabs>
          <w:tab w:val="left" w:pos="851"/>
        </w:tabs>
        <w:spacing w:line="400" w:lineRule="exact"/>
        <w:ind w:left="1133" w:hanging="425"/>
        <w:rPr>
          <w:rFonts w:ascii="標楷體" w:eastAsia="標楷體" w:hAnsi="標楷體"/>
          <w:color w:val="000000"/>
        </w:rPr>
      </w:pPr>
      <w:r>
        <w:rPr>
          <w:rFonts w:ascii="標楷體" w:eastAsia="標楷體" w:hAnsi="標楷體"/>
          <w:color w:val="000000"/>
        </w:rPr>
        <w:t>I.每次申請事前審查之療程以三個月為限，每三個月需再次申請。</w:t>
      </w:r>
    </w:p>
    <w:p w14:paraId="7FA7B4C0" w14:textId="77777777"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II.初次申請時需檢具確實患有肺腺癌或非小細胞肺癌之病理或細胞檢查報告，及檢附EGFR基因檢測結果報告，且需符合全民健康保險藥品給付規定之通則十二。(113/6/1、113/10/1)</w:t>
      </w:r>
    </w:p>
    <w:p w14:paraId="5FCE18B8" w14:textId="77777777"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I.再次申請時需附上治療後相關臨床資料（如：影像學）證實無惡化，才可繼續使用。每次處方以4週為限，如給藥4週後需追蹤胸部X光或電腦斷層等影像檢查評估療效，每8至12週需進行完整療效評估(如胸部X光或電腦斷層)，若病情惡化、復發或產生不可接受之毒性，即不得再次申請。</w:t>
      </w:r>
    </w:p>
    <w:p w14:paraId="00972523" w14:textId="77777777"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(2)用於第一線治療用藥：與gefitinib、erlotinib、afatinib及dacomitinib僅得擇一使用，除因耐受性不良，不得互換。如需更換使用本藥品，必須符合本藥品具有EGFR Exon 19 Del或Exon 21 L858R基因突變之局部侵犯性或轉移性（即為IIIB、IIIC期或第Ⅳ期）肺腺癌病患。(109/6/1、111/4/1、113/10/1)</w:t>
      </w:r>
    </w:p>
    <w:p w14:paraId="41785E78" w14:textId="77777777"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(3)用於第二線治療用藥：須符合本藥品具有EGFR T790M基因突變，及檢附曾經接受gefitinib、erlotinib、afatinib或dacomitinib治療之證明，以及目前又有疾病惡化之影像診斷證明（如胸部X光、電腦斷層或其他可作為評估的影像），此影像證明以可測量（measurable）的病灶為優先，如沒有可以測量的病灶，則可評估（evaluable）的病灶亦可採用。 (109/10/1、113/10/1)</w:t>
      </w:r>
    </w:p>
    <w:p w14:paraId="41CD089F" w14:textId="77777777" w:rsidR="00B96EA0" w:rsidRDefault="007D66B8" w:rsidP="005142EB">
      <w:pPr>
        <w:spacing w:line="400" w:lineRule="exact"/>
        <w:ind w:left="709" w:hanging="283"/>
      </w:pPr>
      <w:r>
        <w:rPr>
          <w:rFonts w:ascii="標楷體" w:eastAsia="標楷體" w:hAnsi="標楷體"/>
          <w:color w:val="000000"/>
          <w:szCs w:val="28"/>
        </w:rPr>
        <w:lastRenderedPageBreak/>
        <w:t>(4)每日限用1粒。</w:t>
      </w:r>
    </w:p>
    <w:p w14:paraId="71D097B2"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w:t>
      </w:r>
      <w:proofErr w:type="spellStart"/>
      <w:r>
        <w:rPr>
          <w:rFonts w:ascii="標楷體" w:eastAsia="標楷體" w:hAnsi="標楷體"/>
          <w:color w:val="000000"/>
        </w:rPr>
        <w:t>Lorviqua</w:t>
      </w:r>
      <w:proofErr w:type="spellEnd"/>
      <w:r>
        <w:rPr>
          <w:rFonts w:ascii="標楷體" w:eastAsia="標楷體" w:hAnsi="標楷體"/>
          <w:color w:val="000000"/>
        </w:rPr>
        <w:t>)：(109/6/1、112/11/1、113/4/1、113/6/1)</w:t>
      </w:r>
    </w:p>
    <w:p w14:paraId="6A5882FE"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14:paraId="60A649E0"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14:paraId="666CFD06"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I.每次申請事前審查之療程以三個月為限，每三個月需再次申請。</w:t>
      </w:r>
    </w:p>
    <w:p w14:paraId="7E33C989"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14:paraId="23C77E5D"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週後，需追蹤胸部X光或電腦斷層等影像檢查評估療效，往後每4週做胸部X光檢查，每3個月需追蹤其作為評估藥效的影像（如胸部X光或電腦斷層），若病情惡化即不得再次申請。</w:t>
      </w:r>
    </w:p>
    <w:p w14:paraId="3747775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w:t>
      </w:r>
      <w:proofErr w:type="spellStart"/>
      <w:r>
        <w:rPr>
          <w:rFonts w:ascii="標楷體" w:eastAsia="標楷體" w:hAnsi="標楷體"/>
          <w:color w:val="000000"/>
        </w:rPr>
        <w:t>Lorlatinib</w:t>
      </w:r>
      <w:proofErr w:type="spellEnd"/>
      <w:r>
        <w:rPr>
          <w:rFonts w:ascii="標楷體" w:eastAsia="標楷體" w:hAnsi="標楷體"/>
          <w:color w:val="000000"/>
        </w:rPr>
        <w:t>與</w:t>
      </w:r>
      <w:proofErr w:type="spellStart"/>
      <w:r>
        <w:rPr>
          <w:rFonts w:ascii="標楷體" w:eastAsia="標楷體" w:hAnsi="標楷體"/>
          <w:color w:val="000000"/>
        </w:rPr>
        <w:t>alectinib</w:t>
      </w:r>
      <w:proofErr w:type="spellEnd"/>
      <w:r>
        <w:rPr>
          <w:rFonts w:ascii="標楷體" w:eastAsia="標楷體" w:hAnsi="標楷體"/>
          <w:color w:val="000000"/>
        </w:rPr>
        <w:t>、</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crizotinib</w:t>
      </w:r>
      <w:proofErr w:type="spellEnd"/>
      <w:r>
        <w:rPr>
          <w:rFonts w:ascii="標楷體" w:eastAsia="標楷體" w:hAnsi="標楷體"/>
          <w:color w:val="000000"/>
        </w:rPr>
        <w:t>、</w:t>
      </w:r>
      <w:proofErr w:type="spellStart"/>
      <w:r>
        <w:rPr>
          <w:rFonts w:ascii="標楷體" w:eastAsia="標楷體" w:hAnsi="標楷體"/>
          <w:color w:val="000000"/>
        </w:rPr>
        <w:t>brigatinib</w:t>
      </w:r>
      <w:proofErr w:type="spellEnd"/>
      <w:r>
        <w:rPr>
          <w:rFonts w:ascii="標楷體" w:eastAsia="標楷體" w:hAnsi="標楷體"/>
          <w:color w:val="000000"/>
        </w:rPr>
        <w:t>用於ALK陽性之晚期非小細胞肺癌第一線治療時，僅得擇一使用，除因病人使用後，發生嚴重不良反應或耐受不良之情形外，不得互換。</w:t>
      </w:r>
    </w:p>
    <w:p w14:paraId="4BBA68B3"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alectinib</w:t>
      </w:r>
      <w:proofErr w:type="spellEnd"/>
      <w:r>
        <w:rPr>
          <w:rFonts w:ascii="標楷體" w:eastAsia="標楷體" w:hAnsi="標楷體"/>
          <w:color w:val="000000"/>
        </w:rPr>
        <w:t>或</w:t>
      </w:r>
      <w:proofErr w:type="spellStart"/>
      <w:r>
        <w:rPr>
          <w:rFonts w:ascii="標楷體" w:eastAsia="標楷體" w:hAnsi="標楷體"/>
          <w:color w:val="000000"/>
        </w:rPr>
        <w:t>brigatinib</w:t>
      </w:r>
      <w:proofErr w:type="spellEnd"/>
      <w:r>
        <w:rPr>
          <w:rFonts w:ascii="標楷體" w:eastAsia="標楷體" w:hAnsi="標楷體"/>
          <w:color w:val="000000"/>
        </w:rPr>
        <w:t>治療中惡化之ALK陽性的晚期非小細胞肺癌患者。(109/6/1、112/11/1、113/4/1)</w:t>
      </w:r>
    </w:p>
    <w:p w14:paraId="494F6CEC"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14:paraId="07128808"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(2)每次申請事前審查之療程以三個月為限，每三個月需再次申請，再次申請時並需附上治療後相關臨床資料，若病情惡化即不得再次申請。</w:t>
      </w:r>
    </w:p>
    <w:p w14:paraId="6CF95CC4" w14:textId="77777777"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w:t>
      </w:r>
      <w:proofErr w:type="spellStart"/>
      <w:r>
        <w:rPr>
          <w:rFonts w:ascii="標楷體" w:eastAsia="標楷體" w:hAnsi="標楷體"/>
          <w:color w:val="000000"/>
        </w:rPr>
        <w:t>Alunbrig</w:t>
      </w:r>
      <w:proofErr w:type="spellEnd"/>
      <w:r>
        <w:rPr>
          <w:rFonts w:ascii="標楷體" w:eastAsia="標楷體" w:hAnsi="標楷體"/>
          <w:color w:val="000000"/>
        </w:rPr>
        <w:t>)：(109/8/1、111/8/1、112/11/1、113/6/1)</w:t>
      </w:r>
    </w:p>
    <w:p w14:paraId="3568BE72" w14:textId="77777777" w:rsidR="00B96EA0" w:rsidRDefault="007D66B8" w:rsidP="00167FEB">
      <w:pPr>
        <w:pStyle w:val="a9"/>
        <w:numPr>
          <w:ilvl w:val="0"/>
          <w:numId w:val="4"/>
        </w:numPr>
        <w:suppressAutoHyphens w:val="0"/>
        <w:spacing w:line="400" w:lineRule="exact"/>
        <w:ind w:left="992" w:hanging="284"/>
        <w:textAlignment w:val="auto"/>
      </w:pPr>
      <w:r>
        <w:rPr>
          <w:rFonts w:ascii="標楷體" w:eastAsia="標楷體" w:hAnsi="標楷體"/>
        </w:rPr>
        <w:t>適用</w:t>
      </w:r>
      <w:r>
        <w:rPr>
          <w:rFonts w:ascii="標楷體" w:eastAsia="標楷體" w:hAnsi="標楷體"/>
          <w:color w:val="000000"/>
        </w:rPr>
        <w:t>於ALK陽性的晚期非小細胞肺癌第一線治療。（111/8/1、113/6/1)</w:t>
      </w:r>
    </w:p>
    <w:p w14:paraId="0E5EDCFB" w14:textId="77777777"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t>需經</w:t>
      </w:r>
      <w:r>
        <w:rPr>
          <w:rFonts w:ascii="標楷體" w:eastAsia="標楷體" w:hAnsi="標楷體"/>
        </w:rPr>
        <w:t>事前</w:t>
      </w:r>
      <w:r>
        <w:rPr>
          <w:rFonts w:ascii="標楷體" w:eastAsia="標楷體" w:hAnsi="標楷體"/>
          <w:color w:val="000000"/>
        </w:rPr>
        <w:t>審查核准後使用：</w:t>
      </w:r>
    </w:p>
    <w:p w14:paraId="68503A2F"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14:paraId="68D51555"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14:paraId="51A04C2C"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14:paraId="0D971C37" w14:textId="77777777"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proofErr w:type="spellStart"/>
      <w:r>
        <w:rPr>
          <w:rFonts w:ascii="標楷體" w:eastAsia="標楷體" w:hAnsi="標楷體"/>
          <w:color w:val="000000"/>
        </w:rPr>
        <w:t>Brigatinib</w:t>
      </w:r>
      <w:proofErr w:type="spellEnd"/>
      <w:r>
        <w:rPr>
          <w:rFonts w:ascii="標楷體" w:eastAsia="標楷體" w:hAnsi="標楷體"/>
          <w:color w:val="000000"/>
        </w:rPr>
        <w:t>與</w:t>
      </w:r>
      <w:proofErr w:type="spellStart"/>
      <w:r>
        <w:rPr>
          <w:rFonts w:ascii="標楷體" w:eastAsia="標楷體" w:hAnsi="標楷體"/>
          <w:color w:val="000000"/>
        </w:rPr>
        <w:t>alectinib</w:t>
      </w:r>
      <w:proofErr w:type="spellEnd"/>
      <w:r>
        <w:rPr>
          <w:rFonts w:ascii="標楷體" w:eastAsia="標楷體" w:hAnsi="標楷體"/>
          <w:color w:val="000000"/>
        </w:rPr>
        <w:t>、</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crizotinib</w:t>
      </w:r>
      <w:proofErr w:type="spellEnd"/>
      <w:r>
        <w:rPr>
          <w:rFonts w:ascii="標楷體" w:eastAsia="標楷體" w:hAnsi="標楷體"/>
          <w:color w:val="000000"/>
        </w:rPr>
        <w:t>、</w:t>
      </w:r>
      <w:proofErr w:type="spellStart"/>
      <w:r>
        <w:rPr>
          <w:rFonts w:ascii="標楷體" w:eastAsia="標楷體" w:hAnsi="標楷體"/>
          <w:color w:val="000000"/>
        </w:rPr>
        <w:t>lorlatinib</w:t>
      </w:r>
      <w:proofErr w:type="spellEnd"/>
      <w:r>
        <w:rPr>
          <w:rFonts w:ascii="標楷體" w:eastAsia="標楷體" w:hAnsi="標楷體"/>
          <w:color w:val="000000"/>
        </w:rPr>
        <w:t>用於ALK陽性之晚期非小細胞肺癌第一線治療時，僅得擇一使用，除因病人使用後，發生嚴重不良反應或耐受不良之情形外，不得互換。(112/11/1)</w:t>
      </w:r>
    </w:p>
    <w:p w14:paraId="7922107E" w14:textId="77777777" w:rsidR="00B96EA0" w:rsidRDefault="007D66B8" w:rsidP="00167FEB">
      <w:pPr>
        <w:pStyle w:val="a9"/>
        <w:numPr>
          <w:ilvl w:val="0"/>
          <w:numId w:val="4"/>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t>適用於在</w:t>
      </w:r>
      <w:proofErr w:type="spellStart"/>
      <w:r>
        <w:rPr>
          <w:rFonts w:ascii="標楷體" w:eastAsia="標楷體" w:hAnsi="標楷體"/>
          <w:color w:val="000000"/>
        </w:rPr>
        <w:t>crizotinib</w:t>
      </w:r>
      <w:proofErr w:type="spellEnd"/>
      <w:r>
        <w:rPr>
          <w:rFonts w:ascii="標楷體" w:eastAsia="標楷體" w:hAnsi="標楷體"/>
          <w:color w:val="000000"/>
        </w:rPr>
        <w:t>治療中惡化之ALK陽性的晚期非小細胞肺癌患者。</w:t>
      </w:r>
    </w:p>
    <w:p w14:paraId="2ADF998D" w14:textId="77777777"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14:paraId="5F127FBA" w14:textId="77777777"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14:paraId="63BAE3AD"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lastRenderedPageBreak/>
        <w:t>3.每日最大劑量限180mg。(111/8/1)。</w:t>
      </w:r>
    </w:p>
    <w:p w14:paraId="13BD4D46" w14:textId="77777777" w:rsidR="00B96EA0" w:rsidRDefault="007D66B8" w:rsidP="005142EB">
      <w:pPr>
        <w:spacing w:line="400" w:lineRule="exact"/>
        <w:ind w:left="283"/>
        <w:rPr>
          <w:rFonts w:ascii="標楷體" w:eastAsia="標楷體" w:hAnsi="標楷體"/>
        </w:rPr>
      </w:pPr>
      <w:r>
        <w:rPr>
          <w:rFonts w:ascii="標楷體" w:eastAsia="標楷體" w:hAnsi="標楷體"/>
        </w:rPr>
        <w:t>9.83.Dacomitinib (如</w:t>
      </w:r>
      <w:proofErr w:type="spellStart"/>
      <w:r>
        <w:rPr>
          <w:rFonts w:ascii="標楷體" w:eastAsia="標楷體" w:hAnsi="標楷體"/>
        </w:rPr>
        <w:t>Vizimpro</w:t>
      </w:r>
      <w:proofErr w:type="spellEnd"/>
      <w:r>
        <w:rPr>
          <w:rFonts w:ascii="標楷體" w:eastAsia="標楷體" w:hAnsi="標楷體"/>
        </w:rPr>
        <w:t>)：(109/10/1、111/9/1、113/6/1)</w:t>
      </w:r>
    </w:p>
    <w:p w14:paraId="604A3FB5"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或第Ⅳ期)之肺腺癌病患之第一線治療，需檢附EGFR基因檢測結果報告，且需符合全民健康保險藥品給付規定之通則十二。</w:t>
      </w:r>
    </w:p>
    <w:p w14:paraId="1B7AF552" w14:textId="77777777"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14:paraId="57221A36"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w:t>
      </w:r>
    </w:p>
    <w:p w14:paraId="52547823"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突變檢測報告。</w:t>
      </w:r>
    </w:p>
    <w:p w14:paraId="0D91AD7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(2)每次處方以4週為限，再次處方時需於病歷記錄治療後相關臨床資 </w:t>
      </w:r>
    </w:p>
    <w:p w14:paraId="28B92E90"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料，如每4週需追蹤胸部X光或電腦斷層等影像檢查，每8至12週需</w:t>
      </w:r>
    </w:p>
    <w:p w14:paraId="633C0CD9"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進行完整療效評估（如胸部X光或電腦斷層）。</w:t>
      </w:r>
    </w:p>
    <w:p w14:paraId="11C5C610"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(3)本藥品與gefitinib、erlotinib及afatinib，僅得擇一使用，除因</w:t>
      </w:r>
    </w:p>
    <w:p w14:paraId="6B4C167F"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耐受性不良，不得互換。如需更換使用本藥品，必須符合本藥品第一</w:t>
      </w:r>
    </w:p>
    <w:p w14:paraId="6107F94D"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線使用於具有EGFR-TK Exon 19 Del或Exon 21 L858R點突變，且無</w:t>
      </w:r>
    </w:p>
    <w:p w14:paraId="09F3DFD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腦轉移(non-CNS)之局部侵犯性或轉移性(即第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或第Ⅳ期)肺</w:t>
      </w:r>
    </w:p>
    <w:p w14:paraId="6BDFA913"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腺癌之限制。(111/9/1)</w:t>
      </w:r>
    </w:p>
    <w:p w14:paraId="7E6639E8"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(4)每日限用1粒。</w:t>
      </w:r>
    </w:p>
    <w:p w14:paraId="32C86AC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w:t>
      </w:r>
      <w:proofErr w:type="spellStart"/>
      <w:r>
        <w:rPr>
          <w:rFonts w:ascii="標楷體" w:eastAsia="標楷體" w:hAnsi="標楷體"/>
          <w:color w:val="000000"/>
        </w:rPr>
        <w:t>Aliqopa</w:t>
      </w:r>
      <w:proofErr w:type="spellEnd"/>
      <w:r>
        <w:rPr>
          <w:rFonts w:ascii="標楷體" w:eastAsia="標楷體" w:hAnsi="標楷體"/>
          <w:color w:val="000000"/>
        </w:rPr>
        <w:t>）(刪除)：(109/11/1、113/6/1)</w:t>
      </w:r>
    </w:p>
    <w:p w14:paraId="4DB5F524" w14:textId="77777777" w:rsidR="007455F6" w:rsidRPr="00EA15AB" w:rsidRDefault="007455F6" w:rsidP="007455F6">
      <w:pPr>
        <w:spacing w:line="400" w:lineRule="exact"/>
        <w:ind w:left="849" w:hanging="566"/>
        <w:rPr>
          <w:rFonts w:ascii="標楷體" w:eastAsia="標楷體" w:hAnsi="標楷體"/>
        </w:rPr>
      </w:pPr>
      <w:bookmarkStart w:id="39" w:name="_Hlk209192735"/>
      <w:r w:rsidRPr="00EA15AB">
        <w:rPr>
          <w:rFonts w:ascii="標楷體" w:eastAsia="標楷體" w:hAnsi="標楷體"/>
          <w:color w:val="000000"/>
          <w:szCs w:val="24"/>
        </w:rPr>
        <w:t>9.85.PARP抑制劑(如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、niraparib、</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olor w:val="000000"/>
          <w:szCs w:val="24"/>
        </w:rPr>
        <w:t>)：(109/11/1、111/6/1、111/8/1、112/1/1、112/11/1、113/3/1、113/6/1、113/9/1、114/3/1、114/6/1、114/8/1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14:paraId="588A4888"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14:paraId="4C0D7D2C" w14:textId="77777777"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於具下列所有條件的病人做為維持治療，限用兩年：</w:t>
      </w:r>
    </w:p>
    <w:p w14:paraId="3C87CCD0"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I.對第一線含鉑化療有治療反應後使用。</w:t>
      </w:r>
    </w:p>
    <w:p w14:paraId="40C91A82"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14:paraId="7E0AC9FC"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14:paraId="7EF3C3CD" w14:textId="77777777" w:rsidR="007455F6" w:rsidRPr="00EA15AB" w:rsidRDefault="007455F6" w:rsidP="007455F6">
      <w:pPr>
        <w:spacing w:line="400" w:lineRule="exact"/>
        <w:ind w:left="1176"/>
        <w:rPr>
          <w:rFonts w:ascii="標楷體" w:eastAsia="標楷體" w:hAnsi="標楷體"/>
          <w:color w:val="000000"/>
        </w:rPr>
      </w:pPr>
      <w:proofErr w:type="spellStart"/>
      <w:r w:rsidRPr="00EA15AB">
        <w:rPr>
          <w:rFonts w:ascii="標楷體" w:eastAsia="標楷體" w:hAnsi="標楷體"/>
          <w:color w:val="000000"/>
        </w:rPr>
        <w:t>Ⅲ.FIGO</w:t>
      </w:r>
      <w:proofErr w:type="spellEnd"/>
      <w:r w:rsidRPr="00EA15AB">
        <w:rPr>
          <w:rFonts w:ascii="標楷體" w:eastAsia="標楷體" w:hAnsi="標楷體"/>
          <w:color w:val="000000"/>
        </w:rPr>
        <w:t xml:space="preserve"> (International Federation of Gynecology and Obstetrics)  </w:t>
      </w:r>
    </w:p>
    <w:p w14:paraId="68AB8808"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14:paraId="178E7ECA" w14:textId="77777777"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14:paraId="50A2C3BA" w14:textId="77777777"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I.對第一線含鉑化療有治療反應後使用。</w:t>
      </w:r>
    </w:p>
    <w:p w14:paraId="0F3BA731" w14:textId="77777777"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Ⅱ.檢測結果符合下列任一情形之病人：</w:t>
      </w:r>
    </w:p>
    <w:p w14:paraId="7E89B67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.具germline or somatic BRCA 1/2 致病性或疑似致病性突變病人。</w:t>
      </w:r>
    </w:p>
    <w:p w14:paraId="042B3315"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14:paraId="0853535F" w14:textId="77777777" w:rsidR="007455F6" w:rsidRPr="00EA15AB" w:rsidRDefault="007455F6" w:rsidP="007455F6">
      <w:pPr>
        <w:tabs>
          <w:tab w:val="left" w:pos="5245"/>
        </w:tabs>
        <w:spacing w:line="400" w:lineRule="exact"/>
        <w:ind w:left="1701" w:hanging="425"/>
        <w:rPr>
          <w:rFonts w:ascii="標楷體" w:eastAsia="標楷體" w:hAnsi="標楷體"/>
          <w:color w:val="000000"/>
        </w:rPr>
      </w:pPr>
      <w:proofErr w:type="spellStart"/>
      <w:r w:rsidRPr="00EA15AB">
        <w:rPr>
          <w:rFonts w:ascii="標楷體" w:eastAsia="標楷體" w:hAnsi="標楷體"/>
          <w:color w:val="000000"/>
        </w:rPr>
        <w:lastRenderedPageBreak/>
        <w:t>Ⅲ.FIGO</w:t>
      </w:r>
      <w:proofErr w:type="spellEnd"/>
      <w:r w:rsidRPr="00EA15AB">
        <w:rPr>
          <w:rFonts w:ascii="標楷體" w:eastAsia="標楷體" w:hAnsi="標楷體"/>
          <w:color w:val="000000"/>
        </w:rPr>
        <w:t xml:space="preserve"> (International Federation of Gynecology and Obstetrics) Stage III or IV disease。</w:t>
      </w:r>
    </w:p>
    <w:p w14:paraId="7FB21376" w14:textId="77777777"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併用 bevacizumab(限使用</w:t>
      </w:r>
      <w:proofErr w:type="spellStart"/>
      <w:r w:rsidRPr="00EA15AB">
        <w:rPr>
          <w:rFonts w:ascii="標楷體" w:eastAsia="標楷體" w:hAnsi="標楷體"/>
          <w:color w:val="000000"/>
        </w:rPr>
        <w:t>Alymsys</w:t>
      </w:r>
      <w:proofErr w:type="spellEnd"/>
      <w:r w:rsidRPr="00EA15AB">
        <w:rPr>
          <w:rFonts w:ascii="標楷體" w:eastAsia="標楷體" w:hAnsi="標楷體"/>
          <w:color w:val="000000"/>
        </w:rPr>
        <w:t>、</w:t>
      </w:r>
      <w:proofErr w:type="spellStart"/>
      <w:r w:rsidRPr="00EA15AB">
        <w:rPr>
          <w:rFonts w:ascii="標楷體" w:eastAsia="標楷體" w:hAnsi="標楷體"/>
          <w:color w:val="000000"/>
        </w:rPr>
        <w:t>Abevmy</w:t>
      </w:r>
      <w:proofErr w:type="spellEnd"/>
      <w:r w:rsidRPr="00EA15AB">
        <w:rPr>
          <w:rFonts w:ascii="標楷體" w:eastAsia="標楷體" w:hAnsi="標楷體"/>
          <w:color w:val="000000"/>
        </w:rPr>
        <w:t>、</w:t>
      </w:r>
      <w:proofErr w:type="spellStart"/>
      <w:r w:rsidRPr="00EA15AB">
        <w:rPr>
          <w:rFonts w:ascii="標楷體" w:eastAsia="標楷體" w:hAnsi="標楷體"/>
          <w:color w:val="000000"/>
        </w:rPr>
        <w:t>Vegzelma</w:t>
      </w:r>
      <w:proofErr w:type="spellEnd"/>
      <w:r w:rsidRPr="00EA15AB">
        <w:rPr>
          <w:rFonts w:ascii="標楷體" w:eastAsia="標楷體" w:hAnsi="標楷體"/>
          <w:color w:val="000000"/>
        </w:rPr>
        <w:t>或</w:t>
      </w:r>
    </w:p>
    <w:p w14:paraId="6DA19FA8" w14:textId="77777777" w:rsidR="007455F6" w:rsidRPr="00EA15AB" w:rsidRDefault="007455F6" w:rsidP="007455F6">
      <w:pPr>
        <w:spacing w:line="400" w:lineRule="exact"/>
        <w:ind w:left="1276"/>
        <w:rPr>
          <w:rFonts w:ascii="標楷體" w:eastAsia="標楷體" w:hAnsi="標楷體"/>
          <w:color w:val="000000"/>
        </w:rPr>
      </w:pPr>
      <w:proofErr w:type="spellStart"/>
      <w:r w:rsidRPr="00EA15AB">
        <w:rPr>
          <w:rFonts w:ascii="標楷體" w:eastAsia="標楷體" w:hAnsi="標楷體"/>
          <w:color w:val="000000"/>
        </w:rPr>
        <w:t>Mvasi</w:t>
      </w:r>
      <w:proofErr w:type="spellEnd"/>
      <w:r w:rsidRPr="00EA15AB">
        <w:rPr>
          <w:rFonts w:ascii="標楷體" w:eastAsia="標楷體" w:hAnsi="標楷體"/>
          <w:color w:val="000000"/>
        </w:rPr>
        <w:t>)，使用於具下列所有條件的成年病人做為維持治療，限用兩年：(114/6/1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14:paraId="6C76F1BB"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I.對第一線含鉑化療合併bevacizumab有反應(完全反應或部分反應)。</w:t>
      </w:r>
    </w:p>
    <w:p w14:paraId="2A247CF5" w14:textId="77777777"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Ⅱ.其癌症帶有下列任一定義的DNA同源修復系統缺失 (homologous recombination deficiency, HRD)：</w:t>
      </w:r>
    </w:p>
    <w:p w14:paraId="54DA9DBE"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.致病性或疑似致病性BRCA突變。</w:t>
      </w:r>
    </w:p>
    <w:p w14:paraId="61E25A96"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14:paraId="43BA2128" w14:textId="77777777"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14:paraId="5696CE40"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14:paraId="72735B77" w14:textId="77777777"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14:paraId="4E88EBDA" w14:textId="77777777"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Ⅲ.再次申請必須提出客觀證據（如：影像學）證實無惡化，才可繼續使用。</w:t>
      </w:r>
    </w:p>
    <w:p w14:paraId="75CCDB57" w14:textId="77777777"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t>(5)用於具germline or somatic BRCA 1/2 致病性或疑似致病性突變時，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與niraparib僅能擇一使用，除因耐受不良，不得互換。(112/1/1、114/6/1)</w:t>
      </w:r>
    </w:p>
    <w:p w14:paraId="4F078DF1" w14:textId="77777777"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t xml:space="preserve"> (6)倘因併用bevacizumab耐受性不良，在維持性治療可再換成</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單獨使用，總療程數合併計算，限用兩年。(114/6/1)</w:t>
      </w:r>
    </w:p>
    <w:p w14:paraId="6FDD41C5" w14:textId="77777777"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niraparib使用時，體重大於(含)77公斤且基期血小板高於(含)15萬/</w:t>
      </w:r>
      <w:proofErr w:type="spellStart"/>
      <w:r w:rsidRPr="00EA15AB">
        <w:rPr>
          <w:rFonts w:ascii="標楷體" w:eastAsia="標楷體" w:hAnsi="標楷體"/>
          <w:kern w:val="0"/>
          <w:szCs w:val="24"/>
        </w:rPr>
        <w:t>uL</w:t>
      </w:r>
      <w:proofErr w:type="spellEnd"/>
      <w:r w:rsidRPr="00EA15AB">
        <w:rPr>
          <w:rFonts w:ascii="標楷體" w:eastAsia="標楷體" w:hAnsi="標楷體"/>
          <w:kern w:val="0"/>
          <w:szCs w:val="24"/>
        </w:rPr>
        <w:t>，每日最多使用300mg；體重小於77公斤或基期血小板低於15萬/</w:t>
      </w:r>
      <w:proofErr w:type="spellStart"/>
      <w:r w:rsidRPr="00EA15AB">
        <w:rPr>
          <w:rFonts w:ascii="標楷體" w:eastAsia="標楷體" w:hAnsi="標楷體"/>
          <w:kern w:val="0"/>
          <w:szCs w:val="24"/>
        </w:rPr>
        <w:t>uL</w:t>
      </w:r>
      <w:proofErr w:type="spellEnd"/>
      <w:r w:rsidRPr="00EA15AB">
        <w:rPr>
          <w:rFonts w:ascii="標楷體" w:eastAsia="標楷體" w:hAnsi="標楷體"/>
          <w:kern w:val="0"/>
          <w:szCs w:val="24"/>
        </w:rPr>
        <w:t>，每日最多使用200mg。(112/1/1)</w:t>
      </w:r>
    </w:p>
    <w:p w14:paraId="16312000" w14:textId="77777777"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1/2致病性或疑似致病性突變者，若已經申請niraparib用於第一線化學治療後維持性治療時不得另外申請bevacizumab併用，除因niraparib耐受性不良，在維持性治療可再換成bevacizumab(除</w:t>
      </w:r>
      <w:proofErr w:type="spellStart"/>
      <w:r w:rsidRPr="00EA15AB">
        <w:rPr>
          <w:rFonts w:ascii="標楷體" w:eastAsia="標楷體" w:hAnsi="標楷體"/>
          <w:kern w:val="0"/>
          <w:szCs w:val="24"/>
        </w:rPr>
        <w:t>Zirabev</w:t>
      </w:r>
      <w:proofErr w:type="spellEnd"/>
      <w:r w:rsidRPr="00EA15AB">
        <w:rPr>
          <w:rFonts w:ascii="標楷體" w:eastAsia="標楷體" w:hAnsi="標楷體"/>
          <w:kern w:val="0"/>
          <w:szCs w:val="24"/>
        </w:rPr>
        <w:t>以外)單獨使用，總申請療程以17個療程為上限。(113/3/1、113/9/1、114/3/1、114/6/1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14:paraId="75A5562C"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2.三陰性乳癌(</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olor w:val="000000"/>
          <w:szCs w:val="24"/>
        </w:rPr>
        <w:t>)：(109/11/1、111/6/1、111/8/1、112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14:paraId="62E7BC56" w14:textId="77777777"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t>(1)</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單獨使用於曾接受前導性、術後輔助性或轉移性化療，且具germline BRCA 1/2致病性或疑似致病性突變之三陰性(荷爾蒙接受體及 HER2受體皆為陰性)轉移性乳癌病人。(109/11/1、111/8/1、112/1/1)</w:t>
      </w:r>
    </w:p>
    <w:p w14:paraId="6F310DE0" w14:textId="77777777"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s="BiauKai"/>
          <w:color w:val="000000"/>
          <w:szCs w:val="24"/>
        </w:rPr>
        <w:t>限用於治療同時符合下列條件之18歲以上局部晚期或轉移性乳癌</w:t>
      </w:r>
      <w:r w:rsidRPr="00EA15AB">
        <w:rPr>
          <w:rFonts w:ascii="標楷體" w:eastAsia="標楷體" w:hAnsi="標楷體" w:cs="BiauKai"/>
          <w:color w:val="000000"/>
          <w:szCs w:val="24"/>
        </w:rPr>
        <w:lastRenderedPageBreak/>
        <w:t>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14:paraId="47EE3406"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14:paraId="184EA884"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14:paraId="1CA39DBB"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14:paraId="4BE6D73D" w14:textId="77777777"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14:paraId="71DC23DC"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14:paraId="2558B3EC"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14:paraId="56FB2818"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Ⅲ.再次申請必須提出客觀證據（如：影像學）證實無惡化，才可繼續使  </w:t>
      </w:r>
    </w:p>
    <w:p w14:paraId="7C3E05DE" w14:textId="77777777"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14:paraId="72741E17" w14:textId="77777777"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w:t>
      </w:r>
      <w:proofErr w:type="spellStart"/>
      <w:r w:rsidRPr="00EA15AB">
        <w:rPr>
          <w:rFonts w:ascii="標楷體" w:eastAsia="標楷體" w:hAnsi="標楷體" w:cs="BiauKai"/>
          <w:color w:val="000000"/>
          <w:szCs w:val="24"/>
        </w:rPr>
        <w:t>talazoparib</w:t>
      </w:r>
      <w:proofErr w:type="spellEnd"/>
      <w:r w:rsidRPr="00EA15AB">
        <w:rPr>
          <w:rFonts w:ascii="標楷體" w:eastAsia="標楷體" w:hAnsi="標楷體" w:cs="BiauKai"/>
          <w:color w:val="000000"/>
          <w:szCs w:val="24"/>
        </w:rPr>
        <w:t>僅得擇一使用，除因耐受性不良，不得互換。（111/8/1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14:paraId="6BB34FB7" w14:textId="77777777"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w:t>
      </w:r>
      <w:proofErr w:type="spellStart"/>
      <w:r w:rsidRPr="00EA15AB">
        <w:rPr>
          <w:rFonts w:ascii="標楷體" w:eastAsia="標楷體" w:hAnsi="標楷體"/>
          <w:color w:val="000000"/>
        </w:rPr>
        <w:t>mCRPC</w:t>
      </w:r>
      <w:proofErr w:type="spellEnd"/>
      <w:r w:rsidRPr="00EA15AB">
        <w:rPr>
          <w:rFonts w:ascii="標楷體" w:eastAsia="標楷體" w:hAnsi="標楷體"/>
          <w:color w:val="000000"/>
        </w:rPr>
        <w:t>) (</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)：（112/11/1、113/6/1、114/6/1)</w:t>
      </w:r>
    </w:p>
    <w:p w14:paraId="590606F5"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 xml:space="preserve">(1)單獨使用於具germline or somatic BRCA 1/2致病性或疑似致病性突變且先前接受過新荷爾蒙藥物(novel hormonal agents)治療後惡化之成人病人。 </w:t>
      </w:r>
    </w:p>
    <w:p w14:paraId="5745B8FF"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(2) 併用abiraterone及prednisone或prednisolone，用於具germline或 somatic BRCA 1/2致病性或疑似致病性突變且尚未接受化學治療之成人病人：(114/6/1）</w:t>
      </w:r>
    </w:p>
    <w:p w14:paraId="28D7003B"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I.需符合下列條件之 一：</w:t>
      </w:r>
    </w:p>
    <w:p w14:paraId="5B3098F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.未曾使用新型荷爾蒙藥品(abiraterone、apalutamide、</w:t>
      </w:r>
      <w:proofErr w:type="spellStart"/>
      <w:r w:rsidRPr="00EA15AB">
        <w:rPr>
          <w:rFonts w:ascii="標楷體" w:eastAsia="標楷體" w:hAnsi="標楷體"/>
          <w:color w:val="000000"/>
        </w:rPr>
        <w:t>darolutamide</w:t>
      </w:r>
      <w:proofErr w:type="spellEnd"/>
      <w:r w:rsidRPr="00EA15AB">
        <w:rPr>
          <w:rFonts w:ascii="標楷體" w:eastAsia="標楷體" w:hAnsi="標楷體"/>
          <w:color w:val="000000"/>
        </w:rPr>
        <w:t>和enzalutamide)治療前列腺癌。</w:t>
      </w:r>
    </w:p>
    <w:p w14:paraId="726A4600"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w:t>
      </w:r>
      <w:proofErr w:type="spellStart"/>
      <w:r w:rsidRPr="00EA15AB">
        <w:rPr>
          <w:rFonts w:ascii="標楷體" w:eastAsia="標楷體" w:hAnsi="標楷體"/>
          <w:color w:val="000000"/>
        </w:rPr>
        <w:t>mCRPC</w:t>
      </w:r>
      <w:proofErr w:type="spellEnd"/>
      <w:r w:rsidRPr="00EA15AB">
        <w:rPr>
          <w:rFonts w:ascii="標楷體" w:eastAsia="標楷體" w:hAnsi="標楷體"/>
          <w:color w:val="000000"/>
        </w:rPr>
        <w:t>階段使用abiraterone治療未超過4個月且使用期間未惡化。</w:t>
      </w:r>
    </w:p>
    <w:p w14:paraId="720C6642" w14:textId="77777777"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w:t>
      </w:r>
      <w:proofErr w:type="spellStart"/>
      <w:r w:rsidRPr="00EA15AB">
        <w:rPr>
          <w:rFonts w:ascii="標楷體" w:eastAsia="標楷體" w:hAnsi="標楷體"/>
          <w:color w:val="000000"/>
          <w:szCs w:val="24"/>
        </w:rPr>
        <w:t>darolutamide</w:t>
      </w:r>
      <w:proofErr w:type="spellEnd"/>
      <w:r w:rsidRPr="00EA15AB">
        <w:rPr>
          <w:rFonts w:ascii="標楷體" w:eastAsia="標楷體" w:hAnsi="標楷體"/>
          <w:color w:val="000000"/>
          <w:szCs w:val="24"/>
        </w:rPr>
        <w:t>和enzalutamide) ，及</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 xml:space="preserve"> 與 abiraterone併用，終生僅能接受一種治療，且除非出現嚴重不耐受反應導致必須永久停止治療，不得互換。</w:t>
      </w:r>
    </w:p>
    <w:p w14:paraId="60BBE058" w14:textId="77777777"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14:paraId="229A7F3D"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1/2突變檢測報告，且需符合全民健康保險藥品給付規定之通則十二。</w:t>
      </w:r>
    </w:p>
    <w:p w14:paraId="1C1016E3"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Ⅱ.申請時需檢附病理報告、使用雄性素去除療法紀錄及系列PSA和睪固酮數據。</w:t>
      </w:r>
    </w:p>
    <w:p w14:paraId="304AC022"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14:paraId="3EB99EA2"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lastRenderedPageBreak/>
        <w:t>IV.下降達最低值後之持續追蹤出現PSA較最低值上升50%以上且PSA≧2ng/ml，則需停藥，但影像學證據尚無疾病進展者，可以繼續使用。</w:t>
      </w:r>
    </w:p>
    <w:p w14:paraId="72079539"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14:paraId="27F4ACE3"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w:t>
      </w:r>
      <w:proofErr w:type="spellStart"/>
      <w:r w:rsidRPr="00EA15AB">
        <w:rPr>
          <w:rFonts w:ascii="標楷體" w:eastAsia="標楷體" w:hAnsi="標楷體"/>
        </w:rPr>
        <w:t>olaparib</w:t>
      </w:r>
      <w:proofErr w:type="spellEnd"/>
      <w:r w:rsidRPr="00EA15AB">
        <w:rPr>
          <w:rFonts w:ascii="標楷體" w:eastAsia="標楷體" w:hAnsi="標楷體"/>
        </w:rPr>
        <w:t>)：(114/6/1)</w:t>
      </w:r>
    </w:p>
    <w:p w14:paraId="709939A2" w14:textId="77777777"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(1)Olaparib適用於曾接受前導性化療或術後輔助性化療，且具遺傳性BRCA1/2 (germline BRCA1/2)突變併 HER2陰性而有高復發風險之早期乳癌成年病人術後輔助治療，依藥品仿單記載以1年為上限。</w:t>
      </w:r>
    </w:p>
    <w:p w14:paraId="4144EC65"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(2)病人須完成至少6個週期的前導性化療或術後輔助性化療，且化療處方須含有anthracyclines類藥物、</w:t>
      </w:r>
      <w:proofErr w:type="spellStart"/>
      <w:r w:rsidRPr="00EA15AB">
        <w:rPr>
          <w:rFonts w:ascii="標楷體" w:eastAsia="標楷體" w:hAnsi="標楷體"/>
          <w:color w:val="000000"/>
          <w:szCs w:val="24"/>
        </w:rPr>
        <w:t>taxane</w:t>
      </w:r>
      <w:proofErr w:type="spellEnd"/>
      <w:r w:rsidRPr="00EA15AB">
        <w:rPr>
          <w:rFonts w:ascii="標楷體" w:eastAsia="標楷體" w:hAnsi="標楷體"/>
          <w:color w:val="000000"/>
          <w:szCs w:val="24"/>
        </w:rPr>
        <w:t>類藥物，或兩者的複方；亦允許含鉑化療。</w:t>
      </w:r>
    </w:p>
    <w:p w14:paraId="0C2DB1F1" w14:textId="77777777"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(3)病人須在最後一次治療(包括手術、化療或放療)完成後的12週內使用</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w:t>
      </w:r>
    </w:p>
    <w:p w14:paraId="50101675"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14:paraId="143A7148"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Ⅰ.三陰性乳癌：</w:t>
      </w:r>
    </w:p>
    <w:p w14:paraId="2118846A"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.針對曾接受前導性化療的病人，須符合於乳房和/或手術切除的淋巴結中發現有殘餘的侵襲性癌症(non-</w:t>
      </w:r>
      <w:proofErr w:type="spellStart"/>
      <w:r w:rsidRPr="00EA15AB">
        <w:rPr>
          <w:rFonts w:ascii="標楷體" w:eastAsia="標楷體" w:hAnsi="標楷體"/>
          <w:color w:val="000000"/>
        </w:rPr>
        <w:t>pCR</w:t>
      </w:r>
      <w:proofErr w:type="spellEnd"/>
      <w:r w:rsidRPr="00EA15AB">
        <w:rPr>
          <w:rFonts w:ascii="標楷體" w:eastAsia="標楷體" w:hAnsi="標楷體"/>
          <w:color w:val="000000"/>
        </w:rPr>
        <w:t>)。</w:t>
      </w:r>
    </w:p>
    <w:p w14:paraId="449CA542" w14:textId="77777777"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ii.針對曾接受手術且接續術後輔助性化療的病人，須具有腋窩淋巴結陽性(≧pN1)，或腋窩淋巴結陰性(pN0)且原發性病理腫瘤大小≧2公分(≧pT2)。</w:t>
      </w:r>
    </w:p>
    <w:p w14:paraId="487CAB25"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Ⅱ.HR陽性且HER2陰性乳癌：</w:t>
      </w:r>
    </w:p>
    <w:p w14:paraId="71BE7FE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.針對曾接受前導性化療的病人，須為non-</w:t>
      </w:r>
      <w:proofErr w:type="spellStart"/>
      <w:r w:rsidRPr="00EA15AB">
        <w:rPr>
          <w:rFonts w:ascii="標楷體" w:eastAsia="標楷體" w:hAnsi="標楷體"/>
          <w:color w:val="000000"/>
        </w:rPr>
        <w:t>pCR</w:t>
      </w:r>
      <w:proofErr w:type="spellEnd"/>
      <w:r w:rsidRPr="00EA15AB">
        <w:rPr>
          <w:rFonts w:ascii="標楷體" w:eastAsia="標楷體" w:hAnsi="標楷體"/>
          <w:color w:val="000000"/>
        </w:rPr>
        <w:t>。</w:t>
      </w:r>
    </w:p>
    <w:p w14:paraId="343ED754" w14:textId="77777777"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針對曾接受手術且接續術後輔助性化療的病人，須具有4個以上經病理學證實的陽性淋巴結。</w:t>
      </w:r>
    </w:p>
    <w:p w14:paraId="69D793BF"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(5)須經事前審查核准後使用：</w:t>
      </w:r>
    </w:p>
    <w:p w14:paraId="0E4BE540" w14:textId="77777777"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14:paraId="10A67A15" w14:textId="77777777"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14:paraId="5DA62316" w14:textId="77777777"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III.再次申請必須提出客觀證據（如：影像學）證實無惡化，才可繼續使用。</w:t>
      </w:r>
    </w:p>
    <w:p w14:paraId="499CEA51" w14:textId="77777777"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IV. 用於術後輔助治療，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與pembrolizumab僅能擇一給付。</w:t>
      </w:r>
    </w:p>
    <w:p w14:paraId="23D611C6" w14:textId="77777777"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9"/>
    </w:p>
    <w:p w14:paraId="6674A56E"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9.86.Vandetanib (如</w:t>
      </w:r>
      <w:proofErr w:type="spellStart"/>
      <w:r>
        <w:rPr>
          <w:rFonts w:ascii="標楷體" w:eastAsia="標楷體" w:hAnsi="標楷體"/>
          <w:color w:val="000000"/>
        </w:rPr>
        <w:t>Caprelsa</w:t>
      </w:r>
      <w:proofErr w:type="spellEnd"/>
      <w:r>
        <w:rPr>
          <w:rFonts w:ascii="標楷體" w:eastAsia="標楷體" w:hAnsi="標楷體"/>
          <w:color w:val="000000"/>
        </w:rPr>
        <w:t>)：(109/11/1)</w:t>
      </w:r>
    </w:p>
    <w:p w14:paraId="23FB5843" w14:textId="77777777" w:rsidR="00B96EA0" w:rsidRDefault="007D66B8" w:rsidP="005142EB">
      <w:pPr>
        <w:spacing w:line="400" w:lineRule="exact"/>
        <w:ind w:left="283"/>
      </w:pPr>
      <w:r>
        <w:rPr>
          <w:rFonts w:ascii="標楷體" w:eastAsia="標楷體" w:hAnsi="標楷體"/>
          <w:color w:val="000000"/>
        </w:rPr>
        <w:t>適用於無法進行手術切除的局部侵犯或轉移性甲狀腺</w:t>
      </w:r>
      <w:r>
        <w:rPr>
          <w:rFonts w:ascii="標楷體" w:eastAsia="標楷體" w:hAnsi="標楷體" w:cs="BiauKai"/>
          <w:color w:val="000000"/>
          <w:szCs w:val="28"/>
        </w:rPr>
        <w:t>髓質癌，並且為症狀性及疾病侵襲性的患者。</w:t>
      </w:r>
    </w:p>
    <w:p w14:paraId="7C75BA02" w14:textId="77777777" w:rsidR="00B96EA0" w:rsidRDefault="007D66B8" w:rsidP="00167FEB">
      <w:pPr>
        <w:numPr>
          <w:ilvl w:val="0"/>
          <w:numId w:val="6"/>
        </w:numPr>
        <w:spacing w:line="400" w:lineRule="exact"/>
        <w:ind w:left="922" w:hanging="284"/>
        <w:jc w:val="both"/>
      </w:pPr>
      <w:r>
        <w:rPr>
          <w:rFonts w:ascii="標楷體" w:eastAsia="標楷體" w:hAnsi="標楷體"/>
          <w:color w:val="000000"/>
          <w:szCs w:val="28"/>
        </w:rPr>
        <w:t>需經事前審查核准後使用，每次申請之療程以6個月為限，送審時需檢送影像資料，每6個月評估一次。</w:t>
      </w:r>
    </w:p>
    <w:p w14:paraId="4B6DDD5B" w14:textId="77777777" w:rsidR="00B96EA0" w:rsidRDefault="007D66B8" w:rsidP="00167FEB">
      <w:pPr>
        <w:numPr>
          <w:ilvl w:val="0"/>
          <w:numId w:val="6"/>
        </w:numPr>
        <w:spacing w:line="400" w:lineRule="exact"/>
        <w:ind w:left="922" w:hanging="284"/>
        <w:jc w:val="both"/>
      </w:pPr>
      <w:r>
        <w:rPr>
          <w:rFonts w:ascii="標楷體" w:eastAsia="標楷體" w:hAnsi="標楷體"/>
          <w:color w:val="000000"/>
          <w:szCs w:val="28"/>
        </w:rPr>
        <w:t>出現疾病惡化或無法忍受之藥物不良反應，應立即停用。</w:t>
      </w:r>
    </w:p>
    <w:p w14:paraId="50D1C4FF" w14:textId="77777777" w:rsidR="00B96EA0" w:rsidRDefault="007D66B8" w:rsidP="005142EB">
      <w:pPr>
        <w:spacing w:line="400" w:lineRule="exact"/>
        <w:ind w:left="644"/>
        <w:jc w:val="both"/>
      </w:pPr>
      <w:r>
        <w:rPr>
          <w:rFonts w:ascii="標楷體" w:eastAsia="標楷體" w:hAnsi="標楷體"/>
          <w:color w:val="000000"/>
          <w:szCs w:val="28"/>
        </w:rPr>
        <w:t>4.每日最大劑量為300毫克。</w:t>
      </w:r>
    </w:p>
    <w:p w14:paraId="1A7F5BC8"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lastRenderedPageBreak/>
        <w:t>9.87.Trastuzumab emtansine (如Kadcyla)：(110/2/1、113/8/1、114/2/1、114/5/1)</w:t>
      </w:r>
    </w:p>
    <w:p w14:paraId="22F0C5C6" w14:textId="77777777"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14:paraId="09E006AA"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3+或FISH+)之早期乳癌病人，曾接受過至少6個療程（每3週一療程，至少16週）的化學治療（其中至少3個療程(9週)的</w:t>
      </w:r>
      <w:proofErr w:type="spellStart"/>
      <w:r>
        <w:rPr>
          <w:rFonts w:ascii="標楷體" w:eastAsia="標楷體" w:hAnsi="標楷體"/>
          <w:color w:val="000000"/>
        </w:rPr>
        <w:t>taxane</w:t>
      </w:r>
      <w:proofErr w:type="spellEnd"/>
      <w:r>
        <w:rPr>
          <w:rFonts w:ascii="標楷體" w:eastAsia="標楷體" w:hAnsi="標楷體"/>
          <w:color w:val="000000"/>
        </w:rPr>
        <w:t>藥物）和至少3個療程(9週)的trastuzumab術前輔助治療後，仍有殘留病灶的術後輔助治療，且需符合下列任一條件：</w:t>
      </w:r>
    </w:p>
    <w:p w14:paraId="726C510A"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14:paraId="406DF00F"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14:paraId="549F3A00"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(2)經事前審查核准後使用，核准後每24週須檢附療效評估資料再次申請，若疾病有惡化情形即不應再行申請。每位病人使用本藥品以14個療程為上限。（113/8/1、114/5/1）</w:t>
      </w:r>
    </w:p>
    <w:p w14:paraId="7B8107EF" w14:textId="77777777"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14:paraId="201A5848"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I.未於術後12週內開始治療或提出治療申請。</w:t>
      </w:r>
    </w:p>
    <w:p w14:paraId="2DB990C2"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14:paraId="42F32AB5"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Ⅲ.不得與其他抗HER2藥物併用。</w:t>
      </w:r>
    </w:p>
    <w:p w14:paraId="05BA3F7E"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(4)本藥品申請通過後，如轉換成trastuzumab或其他抗HER2藥物後不得再次申請本藥品，且本藥品與trastuzumab使用於早期乳癌手術前後的總療程合併計算，每位病人以全部18個療程為上限。</w:t>
      </w:r>
    </w:p>
    <w:p w14:paraId="5522812A" w14:textId="77777777"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14:paraId="27C21189" w14:textId="77777777"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(1)限單獨使用於先前未使用過本藥品且HER2過度表現(IHC3+或FISH+)之轉移性乳癌病人作為二線治療，並同時符合下列情形：</w:t>
      </w:r>
    </w:p>
    <w:p w14:paraId="5B27701D"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w:t>
      </w:r>
      <w:proofErr w:type="spellStart"/>
      <w:r>
        <w:rPr>
          <w:rFonts w:ascii="標楷體" w:eastAsia="標楷體" w:hAnsi="標楷體"/>
          <w:color w:val="000000"/>
        </w:rPr>
        <w:t>taxane</w:t>
      </w:r>
      <w:proofErr w:type="spellEnd"/>
      <w:r>
        <w:rPr>
          <w:rFonts w:ascii="標楷體" w:eastAsia="標楷體" w:hAnsi="標楷體"/>
          <w:color w:val="000000"/>
        </w:rPr>
        <w:t>藥物治療，或其合併療法，或</w:t>
      </w:r>
      <w:proofErr w:type="spellStart"/>
      <w:r>
        <w:rPr>
          <w:rFonts w:ascii="標楷體" w:eastAsia="標楷體" w:hAnsi="標楷體"/>
          <w:color w:val="000000"/>
        </w:rPr>
        <w:t>pertuzumab</w:t>
      </w:r>
      <w:proofErr w:type="spellEnd"/>
      <w:r>
        <w:rPr>
          <w:rFonts w:ascii="標楷體" w:eastAsia="標楷體" w:hAnsi="標楷體"/>
          <w:color w:val="000000"/>
        </w:rPr>
        <w:t>與trastuzumab與一種</w:t>
      </w:r>
      <w:proofErr w:type="spellStart"/>
      <w:r>
        <w:rPr>
          <w:rFonts w:ascii="標楷體" w:eastAsia="標楷體" w:hAnsi="標楷體"/>
          <w:color w:val="000000"/>
        </w:rPr>
        <w:t>taxane</w:t>
      </w:r>
      <w:proofErr w:type="spellEnd"/>
      <w:r>
        <w:rPr>
          <w:rFonts w:ascii="標楷體" w:eastAsia="標楷體" w:hAnsi="標楷體"/>
          <w:color w:val="000000"/>
        </w:rPr>
        <w:t>藥物治療。</w:t>
      </w:r>
    </w:p>
    <w:p w14:paraId="1304DCFB"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14:paraId="3C9E57DC"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14:paraId="219D6220" w14:textId="77777777"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(2)經事前審查核准後使用，核准後每12週須檢附療效評估資料再次申請，若疾病有惡化情形即不應再行申請，每位病人至多給付10個月(13個療程為上限)。</w:t>
      </w:r>
    </w:p>
    <w:p w14:paraId="2DCA18E1" w14:textId="77777777"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 xml:space="preserve">(3)Trastuzumab emtansine、lapatinib和trastuzumab </w:t>
      </w:r>
      <w:proofErr w:type="spellStart"/>
      <w:r>
        <w:rPr>
          <w:rFonts w:ascii="標楷體" w:eastAsia="標楷體" w:hAnsi="標楷體"/>
          <w:color w:val="000000"/>
        </w:rPr>
        <w:t>deruxtecan</w:t>
      </w:r>
      <w:proofErr w:type="spellEnd"/>
      <w:r>
        <w:rPr>
          <w:rFonts w:ascii="標楷體" w:eastAsia="標楷體" w:hAnsi="標楷體"/>
          <w:color w:val="000000"/>
        </w:rPr>
        <w:t>僅能擇一給付，不得互換。(114/2/1)</w:t>
      </w:r>
    </w:p>
    <w:p w14:paraId="3D292C81"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w:t>
      </w:r>
      <w:proofErr w:type="spellStart"/>
      <w:r>
        <w:rPr>
          <w:rFonts w:ascii="標楷體" w:eastAsia="標楷體" w:hAnsi="標楷體"/>
          <w:color w:val="000000"/>
        </w:rPr>
        <w:t>Ixempra</w:t>
      </w:r>
      <w:proofErr w:type="spellEnd"/>
      <w:r>
        <w:rPr>
          <w:rFonts w:ascii="標楷體" w:eastAsia="標楷體" w:hAnsi="標楷體"/>
          <w:color w:val="000000"/>
        </w:rPr>
        <w:t>)：(110/2/1)</w:t>
      </w:r>
    </w:p>
    <w:p w14:paraId="6F9D369D" w14:textId="77777777"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1.限Ixabepilone合併capecitabine用於局部晚期或轉移性乳癌患者，需符合以下條件之一：</w:t>
      </w:r>
    </w:p>
    <w:p w14:paraId="7D45187F" w14:textId="77777777"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w:t>
      </w:r>
      <w:proofErr w:type="spellStart"/>
      <w:r>
        <w:rPr>
          <w:rFonts w:ascii="標楷體" w:eastAsia="標楷體" w:hAnsi="標楷體"/>
          <w:color w:val="000000"/>
        </w:rPr>
        <w:t>taxane</w:t>
      </w:r>
      <w:proofErr w:type="spellEnd"/>
      <w:r>
        <w:rPr>
          <w:rFonts w:ascii="標楷體" w:eastAsia="標楷體" w:hAnsi="標楷體"/>
          <w:color w:val="000000"/>
        </w:rPr>
        <w:t>有抗藥性且無法接受anthracycline治療者。</w:t>
      </w:r>
    </w:p>
    <w:p w14:paraId="5EC9BCE4" w14:textId="77777777"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w:t>
      </w:r>
      <w:proofErr w:type="spellStart"/>
      <w:r>
        <w:rPr>
          <w:rFonts w:ascii="標楷體" w:eastAsia="標楷體" w:hAnsi="標楷體"/>
          <w:color w:val="000000"/>
        </w:rPr>
        <w:t>taxane</w:t>
      </w:r>
      <w:proofErr w:type="spellEnd"/>
      <w:r>
        <w:rPr>
          <w:rFonts w:ascii="標楷體" w:eastAsia="標楷體" w:hAnsi="標楷體"/>
          <w:color w:val="000000"/>
        </w:rPr>
        <w:t>及anthracycline治療無效者。</w:t>
      </w:r>
    </w:p>
    <w:p w14:paraId="7C60614C" w14:textId="77777777"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lastRenderedPageBreak/>
        <w:t>2.每3個療程需進行療效評估，病歷應留存評估紀錄，無疾病惡化方可繼續使用。</w:t>
      </w:r>
    </w:p>
    <w:p w14:paraId="1881A516" w14:textId="77777777"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w:t>
      </w:r>
      <w:proofErr w:type="spellStart"/>
      <w:r>
        <w:rPr>
          <w:rFonts w:ascii="標楷體" w:eastAsia="標楷體" w:hAnsi="標楷體"/>
          <w:color w:val="000000"/>
        </w:rPr>
        <w:t>eribulin</w:t>
      </w:r>
      <w:proofErr w:type="spellEnd"/>
      <w:r>
        <w:rPr>
          <w:rFonts w:ascii="標楷體" w:eastAsia="標楷體" w:hAnsi="標楷體"/>
          <w:color w:val="000000"/>
        </w:rPr>
        <w:t>用於治療上述之轉移性乳癌患者時，僅得擇一使用，且不得互換(ixabepilone限用於未曾使用過</w:t>
      </w:r>
      <w:proofErr w:type="spellStart"/>
      <w:r>
        <w:rPr>
          <w:rFonts w:ascii="標楷體" w:eastAsia="標楷體" w:hAnsi="標楷體"/>
          <w:color w:val="000000"/>
        </w:rPr>
        <w:t>eribulin</w:t>
      </w:r>
      <w:proofErr w:type="spellEnd"/>
      <w:r>
        <w:rPr>
          <w:rFonts w:ascii="標楷體" w:eastAsia="標楷體" w:hAnsi="標楷體"/>
          <w:color w:val="000000"/>
        </w:rPr>
        <w:t>之病患)。</w:t>
      </w:r>
    </w:p>
    <w:p w14:paraId="40A6F5DD" w14:textId="77777777"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14:paraId="6032F3F4" w14:textId="77777777" w:rsidR="00B96EA0" w:rsidRDefault="007D66B8" w:rsidP="005142EB">
      <w:pPr>
        <w:spacing w:line="400" w:lineRule="exact"/>
        <w:ind w:left="283"/>
      </w:pPr>
      <w:r>
        <w:rPr>
          <w:rFonts w:ascii="標楷體" w:eastAsia="標楷體" w:hAnsi="標楷體"/>
          <w:color w:val="000000"/>
        </w:rPr>
        <w:t>9.90.</w:t>
      </w:r>
      <w:r>
        <w:t xml:space="preserve"> </w:t>
      </w:r>
      <w:r>
        <w:rPr>
          <w:rFonts w:ascii="標楷體" w:eastAsia="標楷體" w:hAnsi="標楷體"/>
          <w:color w:val="000000"/>
        </w:rPr>
        <w:t>Apalutamide (如</w:t>
      </w:r>
      <w:proofErr w:type="spellStart"/>
      <w:r>
        <w:rPr>
          <w:rFonts w:ascii="標楷體" w:eastAsia="標楷體" w:hAnsi="標楷體"/>
          <w:color w:val="000000"/>
        </w:rPr>
        <w:t>Erleada</w:t>
      </w:r>
      <w:proofErr w:type="spellEnd"/>
      <w:r>
        <w:rPr>
          <w:rFonts w:ascii="標楷體" w:eastAsia="標楷體" w:hAnsi="標楷體"/>
          <w:color w:val="000000"/>
        </w:rPr>
        <w:t>)：(110/3/1、110/11/1、111/3/1、112/9/1、113/8/1、114/6/1)</w:t>
      </w:r>
    </w:p>
    <w:p w14:paraId="1DC5BB39" w14:textId="77777777"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 xml:space="preserve">1.治療高風險非轉移性去勢抗性前列腺癌(high risk </w:t>
      </w:r>
      <w:proofErr w:type="spellStart"/>
      <w:r>
        <w:rPr>
          <w:rFonts w:ascii="標楷體" w:eastAsia="標楷體" w:hAnsi="標楷體"/>
          <w:szCs w:val="24"/>
        </w:rPr>
        <w:t>nmCRPC</w:t>
      </w:r>
      <w:proofErr w:type="spellEnd"/>
      <w:r>
        <w:rPr>
          <w:rFonts w:ascii="標楷體" w:eastAsia="標楷體" w:hAnsi="標楷體"/>
          <w:szCs w:val="24"/>
        </w:rPr>
        <w:t>)的成年男性。</w:t>
      </w:r>
    </w:p>
    <w:p w14:paraId="45AC3C8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14:paraId="7B9B7B3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(2)初次申請時需檢附病理報告、使用雄性素去除療法紀錄，系列PSA和睪固酮數據，三個月內影像報告證明無遠端轉移。</w:t>
      </w:r>
    </w:p>
    <w:p w14:paraId="16D3855D"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(3)ECOG分數須≦1。</w:t>
      </w:r>
    </w:p>
    <w:p w14:paraId="4BB00F3C"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time≦10個月，PSA倍增之時間，應依線性回歸模型計算，且其參數取得需基於下列原則：（112/9/1）</w:t>
      </w:r>
    </w:p>
    <w:p w14:paraId="3C455174"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14:paraId="4A52B51E"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14:paraId="61FB21E7"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14:paraId="7A508B3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 xml:space="preserve">(5)每3個月需再次申請，申請之療程以3個月為限。再次申請時，有PSA progression者，需檢附影像學報告，若影像學報告證實轉移，則需停藥;無PSA progression者，則每6個月需檢附影像學報告，若影像學報告證實轉移，則需停藥。（112/9/1） </w:t>
      </w:r>
    </w:p>
    <w:p w14:paraId="7EFA6159" w14:textId="77777777" w:rsidR="00B96EA0" w:rsidRDefault="007D66B8" w:rsidP="005142EB">
      <w:pPr>
        <w:tabs>
          <w:tab w:val="left" w:leader="underscore" w:pos="567"/>
        </w:tabs>
        <w:snapToGrid w:val="0"/>
        <w:spacing w:line="400" w:lineRule="exact"/>
        <w:ind w:left="1200"/>
        <w:rPr>
          <w:rFonts w:ascii="標楷體" w:eastAsia="標楷體" w:hAnsi="標楷體"/>
          <w:szCs w:val="24"/>
        </w:rPr>
      </w:pPr>
      <w:r>
        <w:rPr>
          <w:rFonts w:ascii="標楷體" w:eastAsia="標楷體" w:hAnsi="標楷體"/>
          <w:szCs w:val="24"/>
        </w:rPr>
        <w:t>註：</w:t>
      </w:r>
    </w:p>
    <w:p w14:paraId="66758A8A" w14:textId="77777777"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nadir≧25%，且PSA≧2 ng/mL，並於至少3週後，再次抽血確認PSA值有上升趨勢。</w:t>
      </w:r>
    </w:p>
    <w:p w14:paraId="4650D009" w14:textId="77777777"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w:t>
      </w:r>
      <w:proofErr w:type="spellStart"/>
      <w:r>
        <w:rPr>
          <w:rFonts w:ascii="標楷體" w:eastAsia="標楷體" w:hAnsi="標楷體"/>
          <w:szCs w:val="24"/>
        </w:rPr>
        <w:t>mCSPC</w:t>
      </w:r>
      <w:proofErr w:type="spellEnd"/>
      <w:r>
        <w:rPr>
          <w:rFonts w:ascii="標楷體" w:eastAsia="標楷體" w:hAnsi="標楷體"/>
          <w:szCs w:val="24"/>
        </w:rPr>
        <w:t>)，總療程以36個月為上限。（110/3/1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14:paraId="2549C56F"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14:paraId="1A27F6D6" w14:textId="77777777"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14:paraId="0A353C79" w14:textId="77777777"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(3)下降達最低值後之持續追蹤出現PSA較最低值上升50%以上且PSA≧2ng/mL，則需停藥，但影像學證據尚無疾病進展者，可以繼續使用。</w:t>
      </w:r>
    </w:p>
    <w:p w14:paraId="375DA16F" w14:textId="77777777"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14:paraId="1E06F100" w14:textId="77777777"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14:paraId="0B584008" w14:textId="77777777"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骨骼掃描出現三個(含)以上病灶且至少其中一處以上為非脊柱及非骨盆腔</w:t>
      </w:r>
      <w:r>
        <w:rPr>
          <w:rFonts w:ascii="標楷體" w:eastAsia="標楷體" w:hAnsi="標楷體"/>
          <w:color w:val="000000"/>
          <w:szCs w:val="24"/>
        </w:rPr>
        <w:lastRenderedPageBreak/>
        <w:t>轉移。（111/3/1、113/8/1）</w:t>
      </w:r>
    </w:p>
    <w:p w14:paraId="539D1AC4" w14:textId="77777777"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14:paraId="4D18C352" w14:textId="77777777"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abiraterone併用，終生僅給付一種治療，且除非出現嚴重不耐受反應導致必須永久停止治療，不得互換。 (112/9/1、114/6/1)</w:t>
      </w:r>
    </w:p>
    <w:p w14:paraId="4A09ECC4"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9.91.Dabrafenib (如</w:t>
      </w:r>
      <w:proofErr w:type="spellStart"/>
      <w:r>
        <w:rPr>
          <w:rFonts w:ascii="標楷體" w:eastAsia="標楷體" w:hAnsi="標楷體"/>
          <w:color w:val="000000"/>
        </w:rPr>
        <w:t>Tafinlar</w:t>
      </w:r>
      <w:proofErr w:type="spellEnd"/>
      <w:r>
        <w:rPr>
          <w:rFonts w:ascii="標楷體" w:eastAsia="標楷體" w:hAnsi="標楷體"/>
          <w:color w:val="000000"/>
        </w:rPr>
        <w:t>)、Trametinib (如</w:t>
      </w:r>
      <w:proofErr w:type="spellStart"/>
      <w:r>
        <w:rPr>
          <w:rFonts w:ascii="標楷體" w:eastAsia="標楷體" w:hAnsi="標楷體"/>
          <w:color w:val="000000"/>
        </w:rPr>
        <w:t>Mekinist</w:t>
      </w:r>
      <w:proofErr w:type="spellEnd"/>
      <w:r>
        <w:rPr>
          <w:rFonts w:ascii="標楷體" w:eastAsia="標楷體" w:hAnsi="標楷體"/>
          <w:color w:val="000000"/>
        </w:rPr>
        <w:t>)：(110/3/1、113/3/1、113/6/1)</w:t>
      </w:r>
    </w:p>
    <w:p w14:paraId="79CCFC15" w14:textId="77777777" w:rsidR="00B96EA0" w:rsidRDefault="007D66B8" w:rsidP="005142EB">
      <w:pPr>
        <w:spacing w:line="400" w:lineRule="exact"/>
        <w:ind w:left="708" w:hanging="142"/>
      </w:pPr>
      <w:r>
        <w:rPr>
          <w:rFonts w:ascii="標楷體" w:eastAsia="標楷體" w:hAnsi="標楷體"/>
          <w:color w:val="000000"/>
        </w:rPr>
        <w:t>1.Dabrafenib和trametinib併用於治療BRAF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w:t>
      </w:r>
      <w:proofErr w:type="spellStart"/>
      <w:r>
        <w:rPr>
          <w:rFonts w:ascii="標楷體" w:eastAsia="標楷體" w:hAnsi="標楷體"/>
          <w:color w:val="000000"/>
        </w:rPr>
        <w:t>ⅢC</w:t>
      </w:r>
      <w:proofErr w:type="spellEnd"/>
      <w:r>
        <w:rPr>
          <w:rFonts w:ascii="標楷體" w:eastAsia="標楷體" w:hAnsi="標楷體"/>
          <w:color w:val="000000"/>
        </w:rPr>
        <w:t>期)或轉移性(第Ⅳ期)黑色素瘤之病人：</w:t>
      </w:r>
    </w:p>
    <w:p w14:paraId="47EFAC83"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14:paraId="50B9F33B"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14:paraId="08B50FE1"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2.Dabrafenib和trametinib併用於BRAF V600突變陽性且完全切除之第三期黑色素瘤病人術後輔助治療：</w:t>
      </w:r>
    </w:p>
    <w:p w14:paraId="252EDE5E"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14:paraId="12157566"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(2)限用1年。</w:t>
      </w:r>
    </w:p>
    <w:p w14:paraId="5C4574D6" w14:textId="77777777"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3.本品(dabrafenib併用trametinib之治療組合)與vemurafenib僅能擇一使用，除因耐受性不良，不得互換。</w:t>
      </w:r>
    </w:p>
    <w:p w14:paraId="6FA02B14" w14:textId="77777777" w:rsidR="00B96EA0" w:rsidRDefault="007D66B8" w:rsidP="005142EB">
      <w:pPr>
        <w:spacing w:line="400" w:lineRule="exact"/>
        <w:ind w:left="840" w:hanging="274"/>
      </w:pPr>
      <w:r>
        <w:t xml:space="preserve">4. </w:t>
      </w:r>
      <w:r>
        <w:rPr>
          <w:rFonts w:ascii="標楷體" w:eastAsia="標楷體" w:hAnsi="標楷體"/>
          <w:color w:val="000000"/>
        </w:rPr>
        <w:t>Dabrafenib與trametinib併用於治療BRAF V600E突變之轉移性(第IV期)非小細胞肺癌成人病人：(113/3/1、113/6/1)</w:t>
      </w:r>
    </w:p>
    <w:p w14:paraId="6EA18956" w14:textId="77777777"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(1)作為先前已接受過第一線含鉑化學治療，但仍惡化的轉移性(第IV期)非小細胞肺癌成人病人第二線治療，使用本品無效後則不再給付該適應症相關之免疫檢查點PD-1、PD-L1抑制劑。</w:t>
      </w:r>
    </w:p>
    <w:p w14:paraId="461E97CF" w14:textId="77777777"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14:paraId="1EB2CBE0" w14:textId="77777777"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14:paraId="4C440486" w14:textId="77777777"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14:paraId="686E72B3" w14:textId="77777777" w:rsidR="00B96EA0" w:rsidRDefault="007D66B8" w:rsidP="005142EB">
      <w:pPr>
        <w:spacing w:line="400" w:lineRule="exact"/>
        <w:ind w:left="283"/>
        <w:rPr>
          <w:rFonts w:ascii="標楷體" w:eastAsia="標楷體" w:hAnsi="標楷體"/>
          <w:color w:val="000000"/>
        </w:rPr>
      </w:pPr>
      <w:bookmarkStart w:id="40" w:name="_Hlk70327755"/>
      <w:r>
        <w:rPr>
          <w:rFonts w:ascii="標楷體" w:eastAsia="標楷體" w:hAnsi="標楷體"/>
          <w:color w:val="000000"/>
        </w:rPr>
        <w:t>9.92. Ramucirumab (如Cyramza)：(110/5/1)</w:t>
      </w:r>
    </w:p>
    <w:p w14:paraId="70333E0D" w14:textId="77777777"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14:paraId="78E070AE" w14:textId="77777777"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14:paraId="554FBC12" w14:textId="77777777"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lastRenderedPageBreak/>
        <w:t>3.Ramucirumab與regorafenib、nivolumab僅能擇一使用，不得互換。</w:t>
      </w:r>
      <w:bookmarkEnd w:id="40"/>
    </w:p>
    <w:p w14:paraId="6EEED7ED"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w:t>
      </w:r>
      <w:proofErr w:type="spellStart"/>
      <w:r>
        <w:rPr>
          <w:rFonts w:ascii="標楷體" w:eastAsia="標楷體" w:hAnsi="標楷體"/>
          <w:color w:val="000000"/>
        </w:rPr>
        <w:t>Rozlytrek</w:t>
      </w:r>
      <w:proofErr w:type="spellEnd"/>
      <w:r>
        <w:rPr>
          <w:rFonts w:ascii="標楷體" w:eastAsia="標楷體" w:hAnsi="標楷體"/>
          <w:color w:val="000000"/>
        </w:rPr>
        <w:t>)：(110/7/1、113/6/1)</w:t>
      </w:r>
    </w:p>
    <w:p w14:paraId="5BDE93AF" w14:textId="77777777"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1.單獨使用於ROS-1陽性之局部晚期或轉移性非小細胞肺癌的成人病人。</w:t>
      </w:r>
    </w:p>
    <w:p w14:paraId="04D492B2" w14:textId="77777777"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14:paraId="6A0C5C47" w14:textId="77777777"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14:paraId="773CF0AC" w14:textId="77777777"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個月為限，每三個月需再次申請，再次申請時並需附上治療後相關臨床資料，如給藥4週後，需追蹤胸部X光或電腦斷層等影像檢查評估療效，往後每4週做胸部X光檢查，每隔8週需追蹤其作為評估藥效的影像(如胸部X光或電腦斷層)，若病情惡化即不得再次申請。</w:t>
      </w:r>
    </w:p>
    <w:p w14:paraId="77E9F15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w:t>
      </w:r>
      <w:proofErr w:type="spellStart"/>
      <w:r>
        <w:rPr>
          <w:rFonts w:ascii="標楷體" w:eastAsia="標楷體" w:hAnsi="標楷體"/>
          <w:color w:val="000000"/>
        </w:rPr>
        <w:t>crizotinib</w:t>
      </w:r>
      <w:proofErr w:type="spellEnd"/>
      <w:r>
        <w:rPr>
          <w:rFonts w:ascii="標楷體" w:eastAsia="標楷體" w:hAnsi="標楷體"/>
          <w:color w:val="000000"/>
        </w:rPr>
        <w:t>用於ROS-1陽性之晚期非小細胞肺癌時，僅得擇一使用，除因病人使用後，發生嚴重不良反應或耐受不良之情形外，不得互換。</w:t>
      </w:r>
    </w:p>
    <w:p w14:paraId="64DD78C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14:paraId="1F6FCEE7" w14:textId="77777777" w:rsidR="00140897" w:rsidRDefault="00140897" w:rsidP="00140897">
      <w:pPr>
        <w:spacing w:line="400" w:lineRule="exact"/>
        <w:ind w:left="567" w:hanging="245"/>
      </w:pPr>
      <w:bookmarkStart w:id="41" w:name="_Hlk198656405"/>
      <w:bookmarkStart w:id="42" w:name="_Hlk85807933"/>
      <w:r>
        <w:rPr>
          <w:rFonts w:ascii="標楷體" w:eastAsia="標楷體" w:hAnsi="標楷體"/>
          <w:color w:val="000000"/>
        </w:rPr>
        <w:t>9.94.</w:t>
      </w:r>
      <w:r>
        <w:t xml:space="preserve"> </w:t>
      </w:r>
      <w:proofErr w:type="spellStart"/>
      <w:r>
        <w:rPr>
          <w:rFonts w:ascii="標楷體" w:eastAsia="標楷體" w:hAnsi="標楷體"/>
          <w:color w:val="000000"/>
        </w:rPr>
        <w:t>Darolutamide</w:t>
      </w:r>
      <w:proofErr w:type="spellEnd"/>
      <w:r>
        <w:rPr>
          <w:rFonts w:ascii="標楷體" w:eastAsia="標楷體" w:hAnsi="標楷體"/>
          <w:color w:val="000000"/>
        </w:rPr>
        <w:t>(如</w:t>
      </w:r>
      <w:proofErr w:type="spellStart"/>
      <w:r>
        <w:rPr>
          <w:rFonts w:ascii="標楷體" w:eastAsia="標楷體" w:hAnsi="標楷體"/>
          <w:color w:val="000000"/>
        </w:rPr>
        <w:t>Nubeqa</w:t>
      </w:r>
      <w:proofErr w:type="spellEnd"/>
      <w:r>
        <w:rPr>
          <w:rFonts w:ascii="標楷體" w:eastAsia="標楷體" w:hAnsi="標楷體"/>
          <w:color w:val="000000"/>
        </w:rPr>
        <w:t>)：(110/11/1、112/9/1、113/5/1、113/8/1</w:t>
      </w:r>
      <w:r>
        <w:rPr>
          <w:rFonts w:ascii="標楷體" w:eastAsia="標楷體" w:hAnsi="標楷體" w:hint="eastAsia"/>
          <w:color w:val="000000"/>
        </w:rPr>
        <w:t>、115/4/1</w:t>
      </w:r>
      <w:r>
        <w:rPr>
          <w:rFonts w:ascii="標楷體" w:eastAsia="標楷體" w:hAnsi="標楷體"/>
          <w:color w:val="000000"/>
        </w:rPr>
        <w:t>)</w:t>
      </w:r>
    </w:p>
    <w:p w14:paraId="1F612E84" w14:textId="77777777" w:rsidR="00140897" w:rsidRDefault="00140897" w:rsidP="00140897">
      <w:pPr>
        <w:spacing w:line="400" w:lineRule="exact"/>
        <w:ind w:left="811" w:hanging="245"/>
      </w:pPr>
      <w:r>
        <w:rPr>
          <w:rFonts w:ascii="標楷體" w:eastAsia="標楷體" w:hAnsi="標楷體"/>
          <w:color w:val="000000"/>
        </w:rPr>
        <w:t>1.</w:t>
      </w:r>
      <w:r>
        <w:rPr>
          <w:rFonts w:ascii="標楷體" w:eastAsia="標楷體" w:hAnsi="標楷體" w:hint="eastAsia"/>
          <w:color w:val="000000"/>
        </w:rPr>
        <w:t>作為單一療法或</w:t>
      </w:r>
      <w:r>
        <w:rPr>
          <w:rFonts w:ascii="標楷體" w:eastAsia="標楷體" w:hAnsi="標楷體"/>
          <w:color w:val="000000"/>
        </w:rPr>
        <w:t>與docetaxel併用於治療高風險轉移性的去勢敏感性前列腺癌(</w:t>
      </w:r>
      <w:proofErr w:type="spellStart"/>
      <w:r>
        <w:rPr>
          <w:rFonts w:ascii="標楷體" w:eastAsia="標楷體" w:hAnsi="標楷體"/>
          <w:color w:val="000000"/>
        </w:rPr>
        <w:t>mCSPC</w:t>
      </w:r>
      <w:proofErr w:type="spellEnd"/>
      <w:r>
        <w:rPr>
          <w:rFonts w:ascii="標楷體" w:eastAsia="標楷體" w:hAnsi="標楷體"/>
          <w:color w:val="000000"/>
        </w:rPr>
        <w:t>)，總療程以</w:t>
      </w:r>
      <w:r>
        <w:rPr>
          <w:rFonts w:ascii="標楷體" w:eastAsia="標楷體" w:hAnsi="標楷體" w:hint="eastAsia"/>
          <w:color w:val="000000"/>
        </w:rPr>
        <w:t>36</w:t>
      </w:r>
      <w:r>
        <w:rPr>
          <w:rFonts w:ascii="標楷體" w:eastAsia="標楷體" w:hAnsi="標楷體"/>
          <w:color w:val="000000"/>
        </w:rPr>
        <w:t>個月為上限。(113/5/1、114/6/1</w:t>
      </w:r>
      <w:r>
        <w:rPr>
          <w:rFonts w:ascii="標楷體" w:eastAsia="標楷體" w:hAnsi="標楷體" w:hint="eastAsia"/>
          <w:color w:val="000000"/>
        </w:rPr>
        <w:t>、115/4/1</w:t>
      </w:r>
      <w:r>
        <w:rPr>
          <w:rFonts w:ascii="標楷體" w:eastAsia="標楷體" w:hAnsi="標楷體"/>
          <w:color w:val="000000"/>
        </w:rPr>
        <w:t>)</w:t>
      </w:r>
    </w:p>
    <w:p w14:paraId="6E423313"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14:paraId="7CAE57C9" w14:textId="77777777"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(2)每3個月需再次申請，再申請時若PSA值下降未超過治療前的50%以上，則需停藥。</w:t>
      </w:r>
    </w:p>
    <w:p w14:paraId="476AABD6" w14:textId="77777777"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(3)下降達最低值後之持續追蹤出現PSA較最低值上升50%以上且PSA≧2ng/mL，則需停藥，但影像學證據尚無疾病進展者，可以繼續使用。</w:t>
      </w:r>
    </w:p>
    <w:p w14:paraId="624F0748"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(4)前述高風險需符合下列三項條件中至少兩項(113/5/1、113/8/1)：</w:t>
      </w:r>
    </w:p>
    <w:p w14:paraId="0CD74D7F"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score)≧8。</w:t>
      </w:r>
    </w:p>
    <w:p w14:paraId="3AC4A9AC" w14:textId="77777777" w:rsidR="00140897" w:rsidRDefault="00140897" w:rsidP="00140897">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骨骼掃描出現三個(含)以上病灶且至少其中一處以上為非脊柱及非骨盆腔轉移。(113/5/1、113/8/1)</w:t>
      </w:r>
    </w:p>
    <w:p w14:paraId="25AE0F97"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14:paraId="2198E11C"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(5)與docetaxel併用，docetaxel  </w:t>
      </w:r>
    </w:p>
    <w:p w14:paraId="0100AD11"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14:paraId="11FC1A01"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Ⅰ.ECOG≦1。</w:t>
      </w:r>
    </w:p>
    <w:p w14:paraId="0F7E4E04"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Ⅱ.絕對嗜中性球計數≧1500/mm3。</w:t>
      </w:r>
    </w:p>
    <w:p w14:paraId="7B83B086"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Ⅲ.血小板計數≧100,000/mm3。</w:t>
      </w:r>
    </w:p>
    <w:p w14:paraId="06180EAA"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IV.GPT≦2倍之正常值上限。</w:t>
      </w:r>
    </w:p>
    <w:p w14:paraId="63F742EF"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w:t>
      </w:r>
      <w:proofErr w:type="spellStart"/>
      <w:r>
        <w:rPr>
          <w:rFonts w:ascii="標楷體" w:eastAsia="標楷體" w:hAnsi="標楷體"/>
          <w:color w:val="000000"/>
        </w:rPr>
        <w:t>V.Total</w:t>
      </w:r>
      <w:proofErr w:type="spellEnd"/>
      <w:r>
        <w:rPr>
          <w:rFonts w:ascii="標楷體" w:eastAsia="標楷體" w:hAnsi="標楷體"/>
          <w:color w:val="000000"/>
        </w:rPr>
        <w:t xml:space="preserve"> bilirubin≦正常值上限。</w:t>
      </w:r>
    </w:p>
    <w:p w14:paraId="1FCFA6FD"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14:paraId="7C45FB6B" w14:textId="77777777" w:rsidR="00140897" w:rsidRDefault="00140897" w:rsidP="00140897">
      <w:pPr>
        <w:spacing w:line="400" w:lineRule="exact"/>
        <w:ind w:left="811" w:hanging="245"/>
        <w:rPr>
          <w:rFonts w:ascii="標楷體" w:eastAsia="標楷體" w:hAnsi="標楷體"/>
          <w:color w:val="000000"/>
        </w:rPr>
      </w:pPr>
      <w:r>
        <w:rPr>
          <w:rFonts w:ascii="標楷體" w:eastAsia="標楷體" w:hAnsi="標楷體"/>
          <w:color w:val="000000"/>
        </w:rPr>
        <w:t xml:space="preserve">2.治療高風險非轉移性去勢抗性前列腺癌(high risk </w:t>
      </w:r>
      <w:proofErr w:type="spellStart"/>
      <w:r>
        <w:rPr>
          <w:rFonts w:ascii="標楷體" w:eastAsia="標楷體" w:hAnsi="標楷體"/>
          <w:color w:val="000000"/>
        </w:rPr>
        <w:t>nmCRPC</w:t>
      </w:r>
      <w:proofErr w:type="spellEnd"/>
      <w:r>
        <w:rPr>
          <w:rFonts w:ascii="標楷體" w:eastAsia="標楷體" w:hAnsi="標楷體"/>
          <w:color w:val="000000"/>
        </w:rPr>
        <w:t>)的成年男性。</w:t>
      </w:r>
    </w:p>
    <w:p w14:paraId="23CB2AF7"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14:paraId="443BF935"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lastRenderedPageBreak/>
        <w:t>(2)初次申請時需檢附病理報告、使用雄性素去除療法紀錄，系列PSA和睪固酮數據，三個月內影像報告證明無遠端轉移。</w:t>
      </w:r>
    </w:p>
    <w:p w14:paraId="4BD437ED"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(3)ECOG分數須≦1。</w:t>
      </w:r>
    </w:p>
    <w:p w14:paraId="2772587D"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(4)PSA doubling time≦10個月，PSA倍增之時間，應依線性回歸模型計算，且其參數取得需基於下列原則：（112/9/1）</w:t>
      </w:r>
    </w:p>
    <w:p w14:paraId="68B981A2" w14:textId="77777777"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Ⅰ.至少三個連續PSA測量值，且各測量值皆≧0.2 ng/mL（最高的PSA值必須&gt;1.0ng/ml）。</w:t>
      </w:r>
    </w:p>
    <w:p w14:paraId="2FAF15F8" w14:textId="77777777"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Ⅱ.應包含先前ADT治療期間的測量值，且最少一測量值為最近3個月內測得之PSA數值。</w:t>
      </w:r>
    </w:p>
    <w:p w14:paraId="6AEA9712"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Ⅲ.第一個和最後一個PSA測量值間隔需≧8週，但≦12個月。</w:t>
      </w:r>
    </w:p>
    <w:p w14:paraId="44B26E6C"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14:paraId="0C42F9D5"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註：</w:t>
      </w:r>
    </w:p>
    <w:p w14:paraId="007716A2" w14:textId="77777777" w:rsidR="00140897" w:rsidRDefault="00140897" w:rsidP="00140897">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nadir≧25%，且PSA≧2 ng/mL，並於至少3週後，再次抽血 確認PSA值有上升趨勢。</w:t>
      </w:r>
    </w:p>
    <w:p w14:paraId="73ABE571" w14:textId="77777777" w:rsidR="00B96EA0" w:rsidRDefault="00140897" w:rsidP="00140897">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w:t>
      </w:r>
      <w:proofErr w:type="spellStart"/>
      <w:r>
        <w:rPr>
          <w:rFonts w:ascii="標楷體" w:eastAsia="標楷體" w:hAnsi="標楷體"/>
          <w:color w:val="000000"/>
        </w:rPr>
        <w:t>darolutamide</w:t>
      </w:r>
      <w:proofErr w:type="spellEnd"/>
      <w:r>
        <w:rPr>
          <w:rFonts w:ascii="標楷體" w:eastAsia="標楷體" w:hAnsi="標楷體"/>
          <w:color w:val="000000"/>
        </w:rPr>
        <w:t>和enzalutamide) ，及</w:t>
      </w:r>
      <w:proofErr w:type="spellStart"/>
      <w:r>
        <w:rPr>
          <w:rFonts w:ascii="標楷體" w:eastAsia="標楷體" w:hAnsi="標楷體"/>
          <w:color w:val="000000"/>
        </w:rPr>
        <w:t>olaparib</w:t>
      </w:r>
      <w:proofErr w:type="spellEnd"/>
      <w:r>
        <w:rPr>
          <w:rFonts w:ascii="標楷體" w:eastAsia="標楷體" w:hAnsi="標楷體"/>
          <w:color w:val="000000"/>
        </w:rPr>
        <w:t xml:space="preserve"> 與 abiraterone併用，終生僅給付一種治療，且除非出現嚴重不耐受反應導致必須永久停止治療，不得互換。(112/9/1、114/6/1)</w:t>
      </w:r>
      <w:bookmarkEnd w:id="41"/>
    </w:p>
    <w:bookmarkEnd w:id="42"/>
    <w:p w14:paraId="248E20C8"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w:t>
      </w:r>
      <w:proofErr w:type="spellStart"/>
      <w:r>
        <w:rPr>
          <w:rFonts w:ascii="標楷體" w:eastAsia="標楷體" w:hAnsi="標楷體"/>
          <w:color w:val="000000"/>
        </w:rPr>
        <w:t>Vitrakvi</w:t>
      </w:r>
      <w:proofErr w:type="spellEnd"/>
      <w:r>
        <w:rPr>
          <w:rFonts w:ascii="標楷體" w:eastAsia="標楷體" w:hAnsi="標楷體"/>
          <w:color w:val="000000"/>
        </w:rPr>
        <w:t>)：(111/3/1、111/6/1、112/12/1、113/6/1)</w:t>
      </w:r>
    </w:p>
    <w:p w14:paraId="7B8C59E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14:paraId="52626E3A"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(1)具NTRK基因融合且無已知的後天阻抗性突變(acquired resistance mutation)。</w:t>
      </w:r>
    </w:p>
    <w:p w14:paraId="252B899A"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14:paraId="124AAD51"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14:paraId="55E7C422"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歲)病人，除了嬰兒纖維肉瘤可作為(含)一線以上使用外，其餘適應症須為曾接受一線治療後無效或復發的病人。（112/12/1)</w:t>
      </w:r>
    </w:p>
    <w:p w14:paraId="375C1FAC"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3.前述1.之成人(≧18歲)病人，包括之適應症有:（112/12/1)</w:t>
      </w:r>
    </w:p>
    <w:p w14:paraId="6437E2B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(1)非小細胞肺癌:</w:t>
      </w:r>
    </w:p>
    <w:p w14:paraId="4F01B9DC"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I.不適合接受化學治療之晚期非小細胞肺癌成人患者，非鱗狀癌者需為EGFR/ALK/ROS-1 腫瘤基因原生型、鱗狀癌者需為EGFR/ALK 腫瘤基因原生型。</w:t>
      </w:r>
    </w:p>
    <w:p w14:paraId="104400EB"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lastRenderedPageBreak/>
        <w:t>Ⅱ.先前已使用過platinum 類化學治療失敗後，又有疾病惡化，且EGFR/ALK 腫瘤基因為原生型之晚期鱗狀非小細胞肺癌患者。</w:t>
      </w:r>
    </w:p>
    <w:p w14:paraId="1BE4029A"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腫瘤基因為原生型之晚期非小細胞肺腺癌患者。</w:t>
      </w:r>
    </w:p>
    <w:p w14:paraId="15448F83"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14:paraId="0242459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14:paraId="4374AA1E"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(3)黑色素瘤:先前曾接受過至少一次全身性治療失敗，又有疾病惡化，且BRAF腫瘤基因為原生型之無法手術切除或轉移的第三期或第四期黑色素瘤患者。</w:t>
      </w:r>
    </w:p>
    <w:p w14:paraId="6DAF08D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14:paraId="6EF2AC3E"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(progressive)甲狀腺癌。</w:t>
      </w:r>
    </w:p>
    <w:p w14:paraId="6EC6B0D8"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(6)惡性神經膠質瘤或退行性星狀細胞瘤:先前曾接受過標準放射線治療以及化學藥物治療失敗之高度惡性神經膠質瘤(WHO 第4級)或退行性星狀細胞瘤(WHO 第3-4 級)。</w:t>
      </w:r>
    </w:p>
    <w:p w14:paraId="577B451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(7)肝內膽管癌:先前曾接受過至少一次全身性治療失敗，又有疾病惡化，無法手術切除或晚期或復發之膽道癌(含肝內膽管)病患。</w:t>
      </w:r>
    </w:p>
    <w:p w14:paraId="2F15FEC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14:paraId="79DC3BC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(9)胃腸道基質瘤:先前曾接受過至少一次全身性治療失敗，又有疾病惡化，無法手術切除或轉移的惡性胃腸道基質瘤。</w:t>
      </w:r>
    </w:p>
    <w:p w14:paraId="10EE74E6"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14:paraId="27075E2B"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14:paraId="60B45D7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14:paraId="02721013"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(13)分泌型乳腺癌:先前曾接受過前導性、術後輔助性或轉移性化學治療的轉移性分泌型乳腺癌。</w:t>
      </w:r>
    </w:p>
    <w:p w14:paraId="6CDF4FB6"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14:paraId="4E01FCC5"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(1)每次申請之療程以12週為限。</w:t>
      </w:r>
    </w:p>
    <w:p w14:paraId="3D4AE18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w:t>
      </w:r>
      <w:r>
        <w:rPr>
          <w:rFonts w:ascii="標楷體" w:eastAsia="標楷體" w:hAnsi="標楷體"/>
          <w:color w:val="000000"/>
        </w:rPr>
        <w:lastRenderedPageBreak/>
        <w:t>險藥品給付規定之通則十二。(111/6/1、113/6/1)</w:t>
      </w:r>
    </w:p>
    <w:p w14:paraId="7CBA5785"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14:paraId="13BC8FF7" w14:textId="77777777" w:rsidR="00B96EA0" w:rsidRDefault="007D66B8" w:rsidP="005142EB">
      <w:pPr>
        <w:spacing w:line="400" w:lineRule="exact"/>
        <w:ind w:left="567" w:hanging="245"/>
        <w:rPr>
          <w:rFonts w:ascii="標楷體" w:eastAsia="標楷體" w:hAnsi="標楷體"/>
          <w:color w:val="000000"/>
        </w:rPr>
      </w:pPr>
      <w:bookmarkStart w:id="43" w:name="_Hlk101789957"/>
      <w:r>
        <w:rPr>
          <w:rFonts w:ascii="標楷體" w:eastAsia="標楷體" w:hAnsi="標楷體"/>
          <w:color w:val="000000"/>
        </w:rPr>
        <w:t>9.96.Decitabine：(111/5/1)</w:t>
      </w:r>
    </w:p>
    <w:p w14:paraId="43EBB9F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 xml:space="preserve">1.骨髓增生不良症候群高危險性病患：頑固性貧血併有過量芽細胞（RA with excess blasts, RAEB）、轉變中的頑固性貧血併有過量芽細胞（RAEB in transformation, RAEB-T）、及慢性骨髓單核細胞性白血病（chronic myelomonocytic leukemia, </w:t>
      </w:r>
      <w:proofErr w:type="spellStart"/>
      <w:r>
        <w:rPr>
          <w:rFonts w:ascii="標楷體" w:eastAsia="標楷體" w:hAnsi="標楷體"/>
          <w:color w:val="000000"/>
        </w:rPr>
        <w:t>CMMoL</w:t>
      </w:r>
      <w:proofErr w:type="spellEnd"/>
      <w:r>
        <w:rPr>
          <w:rFonts w:ascii="標楷體" w:eastAsia="標楷體" w:hAnsi="標楷體"/>
          <w:color w:val="000000"/>
        </w:rPr>
        <w:t>）。</w:t>
      </w:r>
    </w:p>
    <w:p w14:paraId="454929C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14:paraId="22D42E8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14:paraId="4109C13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4.急性骨髓性白血病之定義：骨髓芽細胞（myeloblast）大於30%。</w:t>
      </w:r>
    </w:p>
    <w:p w14:paraId="2E46427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5.本藥品與azacitidine僅能擇一使用，除因耐受性不良，不得互換。使用本藥品無效後，不得再申請azacitidine。</w:t>
      </w:r>
      <w:bookmarkEnd w:id="43"/>
    </w:p>
    <w:p w14:paraId="5870566C"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w:t>
      </w:r>
      <w:proofErr w:type="spellStart"/>
      <w:r>
        <w:rPr>
          <w:rFonts w:ascii="標楷體" w:eastAsia="標楷體" w:hAnsi="標楷體"/>
          <w:color w:val="000000"/>
        </w:rPr>
        <w:t>Ayvakit</w:t>
      </w:r>
      <w:proofErr w:type="spellEnd"/>
      <w:r>
        <w:rPr>
          <w:rFonts w:ascii="標楷體" w:eastAsia="標楷體" w:hAnsi="標楷體"/>
          <w:color w:val="000000"/>
        </w:rPr>
        <w:t>)：(111/6/1、113/6/1)</w:t>
      </w:r>
    </w:p>
    <w:p w14:paraId="68B057D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1.治療具有血小板衍生生長因子α受體(PDGFRA)D842V突變之無法切除或轉移性腸胃道間質瘤的成年病人。</w:t>
      </w:r>
    </w:p>
    <w:p w14:paraId="5027589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2.需經事前審查核准後使用，初次申請時需檢附血小板衍生生長因子α受體(PDGFRA)D842V突變檢測報告，且需符合全民健康保險藥品給付規定之通則十二。(111/6/1、113/6/1)</w:t>
      </w:r>
    </w:p>
    <w:p w14:paraId="107F094E"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3.每次申請事前審查之療程以6個月為限，再次申請必須提出客觀證據(如：影像學)證實無惡化，才可繼續使用。</w:t>
      </w:r>
    </w:p>
    <w:p w14:paraId="7494A463"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4.每日至多處方100mg 2粒或300mg 1粒。</w:t>
      </w:r>
    </w:p>
    <w:p w14:paraId="05736CDE"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w:t>
      </w:r>
      <w:proofErr w:type="spellStart"/>
      <w:r>
        <w:rPr>
          <w:rFonts w:ascii="標楷體" w:eastAsia="標楷體" w:hAnsi="標楷體"/>
          <w:color w:val="000000"/>
        </w:rPr>
        <w:t>Pemazyre</w:t>
      </w:r>
      <w:proofErr w:type="spellEnd"/>
      <w:r>
        <w:rPr>
          <w:rFonts w:ascii="標楷體" w:eastAsia="標楷體" w:hAnsi="標楷體"/>
          <w:color w:val="000000"/>
        </w:rPr>
        <w:t>)：(112/5/1、113/6/1)</w:t>
      </w:r>
    </w:p>
    <w:p w14:paraId="382440B7"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1.適用於成人接受過全身性藥物治療、腫瘤具有FGFR2融合或重排、不可手術切除的局部晚期或轉移性肝內膽管癌。</w:t>
      </w:r>
    </w:p>
    <w:p w14:paraId="61D36B91"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14:paraId="06D297A2"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14:paraId="580FE24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14:paraId="746912D0"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w:t>
      </w:r>
      <w:proofErr w:type="spellStart"/>
      <w:r>
        <w:rPr>
          <w:rFonts w:ascii="標楷體" w:eastAsia="標楷體" w:hAnsi="標楷體"/>
          <w:color w:val="000000"/>
        </w:rPr>
        <w:t>Xospata</w:t>
      </w:r>
      <w:proofErr w:type="spellEnd"/>
      <w:r>
        <w:rPr>
          <w:rFonts w:ascii="標楷體" w:eastAsia="標楷體" w:hAnsi="標楷體"/>
          <w:color w:val="000000"/>
        </w:rPr>
        <w:t>)：(112/6/1、113/6/1)</w:t>
      </w:r>
    </w:p>
    <w:p w14:paraId="7E039EE9"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1.限單獨使用於具有FLT3突變的復發性或難治性急性骨髓性白血病(R/R AML)且計畫進行造血幹細胞移植的成年病人，限移植前使用，每位病人限給付6療程。病患須至少接受過一次 含anthracycline藥物的化學治療。</w:t>
      </w:r>
    </w:p>
    <w:p w14:paraId="6BF43978"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2.須事前審查核准後使用，初次申請時須檢附：</w:t>
      </w:r>
    </w:p>
    <w:p w14:paraId="134D8EEE"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(1)相關病歷資料。</w:t>
      </w:r>
    </w:p>
    <w:p w14:paraId="21710E50"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lastRenderedPageBreak/>
        <w:t>(2)完整之造血幹細胞移植計畫，並詳細記載確認捐贈者名單及移植前調適治療等資料。需由具訓練血液及骨髓移植醫師能力之醫院申請，並由完成血液及骨髓移植訓練之醫師確認移植計畫。</w:t>
      </w:r>
    </w:p>
    <w:p w14:paraId="093EE257"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(3)染色體檢驗報告，若為unfavorable karyotype(包含complex karyotype、-5、-5q、 -7、-7q、除t(9;11)外的11q23 abnormalities、inv(3)、(3;3)、t(6;9)以及t(9;22)等) 則不予給付。</w:t>
      </w:r>
    </w:p>
    <w:p w14:paraId="4C7DDDD3"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(4)檢附之FLT3突變檢測結果報告，需符合全民健康保險藥品給付規定之通則十二。(113/6/1)</w:t>
      </w:r>
    </w:p>
    <w:p w14:paraId="13B3C6A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3.每次申請為二個療程；續申請次二個療程時須檢附達到PR、</w:t>
      </w:r>
      <w:proofErr w:type="spellStart"/>
      <w:r>
        <w:rPr>
          <w:rFonts w:ascii="標楷體" w:eastAsia="標楷體" w:hAnsi="標楷體"/>
          <w:color w:val="000000"/>
        </w:rPr>
        <w:t>CRi</w:t>
      </w:r>
      <w:proofErr w:type="spellEnd"/>
      <w:r>
        <w:rPr>
          <w:rFonts w:ascii="標楷體" w:eastAsia="標楷體" w:hAnsi="標楷體"/>
          <w:color w:val="000000"/>
        </w:rPr>
        <w:t xml:space="preserve"> 或CR的證明方可續用。申請劑量以每日120mg為上限。</w:t>
      </w:r>
    </w:p>
    <w:p w14:paraId="0FC54558" w14:textId="77777777" w:rsidR="00AB09A6" w:rsidRPr="006A54F7" w:rsidRDefault="00AB09A6" w:rsidP="00AB09A6">
      <w:pPr>
        <w:spacing w:line="400" w:lineRule="exact"/>
        <w:ind w:left="142" w:hangingChars="59" w:hanging="142"/>
        <w:rPr>
          <w:rFonts w:ascii="標楷體" w:eastAsia="標楷體" w:hAnsi="標楷體"/>
        </w:rPr>
      </w:pPr>
      <w:r w:rsidRPr="006A54F7">
        <w:rPr>
          <w:rFonts w:ascii="標楷體" w:eastAsia="標楷體" w:hAnsi="標楷體" w:hint="eastAsia"/>
        </w:rPr>
        <w:t>9.100.Acalabrutinib(如</w:t>
      </w:r>
      <w:proofErr w:type="spellStart"/>
      <w:r w:rsidRPr="006A54F7">
        <w:rPr>
          <w:rFonts w:ascii="標楷體" w:eastAsia="標楷體" w:hAnsi="標楷體" w:hint="eastAsia"/>
        </w:rPr>
        <w:t>Calquence</w:t>
      </w:r>
      <w:proofErr w:type="spellEnd"/>
      <w:r w:rsidRPr="006A54F7">
        <w:rPr>
          <w:rFonts w:ascii="標楷體" w:eastAsia="標楷體" w:hAnsi="標楷體" w:hint="eastAsia"/>
        </w:rPr>
        <w:t>)：(112/7/1、112/12/1、114/10/1、115/5/1)</w:t>
      </w:r>
    </w:p>
    <w:p w14:paraId="1E01F33F" w14:textId="77777777" w:rsidR="00AB09A6" w:rsidRPr="006A54F7" w:rsidRDefault="00AB09A6" w:rsidP="00AB09A6">
      <w:pPr>
        <w:spacing w:line="400" w:lineRule="exact"/>
        <w:ind w:leftChars="118" w:left="283"/>
        <w:rPr>
          <w:rFonts w:ascii="標楷體" w:eastAsia="標楷體" w:hAnsi="標楷體"/>
        </w:rPr>
      </w:pPr>
      <w:r w:rsidRPr="006A54F7">
        <w:rPr>
          <w:rFonts w:ascii="標楷體" w:eastAsia="標楷體" w:hAnsi="標楷體" w:hint="eastAsia"/>
        </w:rPr>
        <w:t>1.單獨使用於先前接受過至少一種化學或標靶治療方式無效或復發的被套細胞淋巴瘤成年病人。</w:t>
      </w:r>
    </w:p>
    <w:p w14:paraId="4BDD8D28"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(1)需經事前審查核准後使用。首次申請事前審查之療程以4個月為限，之後每3個月需再次申請，再次申請時應檢附前次治療結果評估資料，如影像學檢查報告。</w:t>
      </w:r>
    </w:p>
    <w:p w14:paraId="0D7D0622"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(2)若疾病進展，則必須停止使用。</w:t>
      </w:r>
    </w:p>
    <w:p w14:paraId="10610E96"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(3)每位病人限給付20個月。</w:t>
      </w:r>
    </w:p>
    <w:p w14:paraId="767947DC"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(4)每日至多處方2粒。</w:t>
      </w:r>
    </w:p>
    <w:p w14:paraId="25C6CC0B"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(5)</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、ibrutinib及acalabrutinib僅能擇一使用，唯有在出現無法忍受其副作用時方可互換。三者使用總療程合併計算，以全部20個月為上限。(112/12/1)</w:t>
      </w:r>
    </w:p>
    <w:p w14:paraId="568E850E" w14:textId="77777777" w:rsidR="00AB09A6" w:rsidRPr="006A54F7" w:rsidRDefault="00AB09A6" w:rsidP="00AB09A6">
      <w:pPr>
        <w:spacing w:line="400" w:lineRule="exact"/>
        <w:ind w:leftChars="118" w:left="283"/>
        <w:rPr>
          <w:rFonts w:ascii="標楷體" w:eastAsia="標楷體" w:hAnsi="標楷體"/>
        </w:rPr>
      </w:pPr>
      <w:r w:rsidRPr="006A54F7">
        <w:rPr>
          <w:rFonts w:ascii="標楷體" w:eastAsia="標楷體" w:hAnsi="標楷體" w:hint="eastAsia"/>
        </w:rPr>
        <w:t>2.單獨使用於慢性淋巴球性白血病(CLL)成年病人。(112/7/1、112/12/1、114/10/1、115/5/1)</w:t>
      </w:r>
    </w:p>
    <w:p w14:paraId="349359BB"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(1)ECOG 分數須≦2。(114/10/1)</w:t>
      </w:r>
    </w:p>
    <w:p w14:paraId="13E62724"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(2)需符合下列任一情況：</w:t>
      </w:r>
    </w:p>
    <w:p w14:paraId="7F783923" w14:textId="77777777" w:rsidR="00AB09A6" w:rsidRPr="006A54F7" w:rsidRDefault="00AB09A6" w:rsidP="00AB09A6">
      <w:pPr>
        <w:spacing w:line="400" w:lineRule="exact"/>
        <w:ind w:leftChars="354" w:left="850"/>
        <w:rPr>
          <w:rFonts w:ascii="標楷體" w:eastAsia="標楷體" w:hAnsi="標楷體"/>
        </w:rPr>
      </w:pPr>
      <w:r w:rsidRPr="006A54F7">
        <w:rPr>
          <w:rFonts w:ascii="標楷體" w:eastAsia="標楷體" w:hAnsi="標楷體" w:hint="eastAsia"/>
        </w:rPr>
        <w:t>I.具有17p缺失。</w:t>
      </w:r>
    </w:p>
    <w:p w14:paraId="4234E23C" w14:textId="77777777" w:rsidR="00AB09A6" w:rsidRPr="006A54F7" w:rsidRDefault="00AB09A6" w:rsidP="00AB09A6">
      <w:pPr>
        <w:spacing w:line="400" w:lineRule="exact"/>
        <w:ind w:leftChars="354" w:left="1220" w:hangingChars="154" w:hanging="370"/>
        <w:rPr>
          <w:rFonts w:ascii="標楷體" w:eastAsia="標楷體" w:hAnsi="標楷體"/>
        </w:rPr>
      </w:pPr>
      <w:r w:rsidRPr="006A54F7">
        <w:rPr>
          <w:rFonts w:ascii="標楷體" w:eastAsia="標楷體" w:hAnsi="標楷體" w:hint="eastAsia"/>
        </w:rPr>
        <w:t>II.非IGHV突變且曾接受至少1種包括alkylating agent與anti-CD20(如R-CVP、RCHOP、rituximab加</w:t>
      </w:r>
      <w:proofErr w:type="spellStart"/>
      <w:r w:rsidRPr="006A54F7">
        <w:rPr>
          <w:rFonts w:ascii="標楷體" w:eastAsia="標楷體" w:hAnsi="標楷體" w:hint="eastAsia"/>
        </w:rPr>
        <w:t>bendamustine</w:t>
      </w:r>
      <w:proofErr w:type="spellEnd"/>
      <w:r w:rsidRPr="006A54F7">
        <w:rPr>
          <w:rFonts w:ascii="標楷體" w:eastAsia="標楷體" w:hAnsi="標楷體" w:hint="eastAsia"/>
        </w:rPr>
        <w:t>等)的治療2個療程以上仍惡化或復發者。(114/10/1)</w:t>
      </w:r>
    </w:p>
    <w:p w14:paraId="01D7EEA5" w14:textId="77777777" w:rsidR="00AB09A6" w:rsidRPr="006A54F7" w:rsidRDefault="00AB09A6" w:rsidP="00AB09A6">
      <w:pPr>
        <w:spacing w:line="400" w:lineRule="exact"/>
        <w:ind w:leftChars="354" w:left="1220" w:hangingChars="154" w:hanging="370"/>
        <w:rPr>
          <w:rFonts w:ascii="標楷體" w:eastAsia="標楷體" w:hAnsi="標楷體"/>
        </w:rPr>
      </w:pPr>
      <w:r w:rsidRPr="006A54F7">
        <w:rPr>
          <w:rFonts w:ascii="標楷體" w:eastAsia="標楷體" w:hAnsi="標楷體" w:hint="eastAsia"/>
        </w:rPr>
        <w:t>III.CLL病人需先前曾接受至少2線治療(排除僅有口服藥物之療程)，治療中須包括alkylating agent與anti-CD20(如R-CVP、RCHOP、rituximab加</w:t>
      </w:r>
      <w:proofErr w:type="spellStart"/>
      <w:r w:rsidRPr="006A54F7">
        <w:rPr>
          <w:rFonts w:ascii="標楷體" w:eastAsia="標楷體" w:hAnsi="標楷體" w:hint="eastAsia"/>
        </w:rPr>
        <w:t>bendamustine</w:t>
      </w:r>
      <w:proofErr w:type="spellEnd"/>
      <w:r w:rsidRPr="006A54F7">
        <w:rPr>
          <w:rFonts w:ascii="標楷體" w:eastAsia="標楷體" w:hAnsi="標楷體" w:hint="eastAsia"/>
        </w:rPr>
        <w:t>等)的治療，每線治療至少2個療程以上後，仍惡化或復發者。(114/10/1)</w:t>
      </w:r>
    </w:p>
    <w:p w14:paraId="53EAD10F"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(3)開始使用前之疾病狀態需出現下列任一情形：</w:t>
      </w:r>
    </w:p>
    <w:p w14:paraId="7263113A" w14:textId="77777777" w:rsidR="00AB09A6" w:rsidRPr="006A54F7" w:rsidRDefault="00AB09A6" w:rsidP="00AB09A6">
      <w:pPr>
        <w:spacing w:line="400" w:lineRule="exact"/>
        <w:ind w:leftChars="377" w:left="1133" w:hangingChars="95" w:hanging="228"/>
        <w:rPr>
          <w:rFonts w:ascii="標楷體" w:eastAsia="標楷體" w:hAnsi="標楷體"/>
        </w:rPr>
      </w:pPr>
      <w:r w:rsidRPr="006A54F7">
        <w:rPr>
          <w:rFonts w:ascii="標楷體" w:eastAsia="標楷體" w:hAnsi="標楷體" w:hint="eastAsia"/>
        </w:rPr>
        <w:t>I.進行性的血液相惡化至Hb &lt; 10.0 gm/dL或PLT &lt; 100 K/</w:t>
      </w:r>
      <w:proofErr w:type="spellStart"/>
      <w:r w:rsidRPr="006A54F7">
        <w:rPr>
          <w:rFonts w:ascii="標楷體" w:eastAsia="標楷體" w:hAnsi="標楷體" w:hint="eastAsia"/>
        </w:rPr>
        <w:t>uL</w:t>
      </w:r>
      <w:proofErr w:type="spellEnd"/>
      <w:r w:rsidRPr="006A54F7">
        <w:rPr>
          <w:rFonts w:ascii="標楷體" w:eastAsia="標楷體" w:hAnsi="標楷體" w:hint="eastAsia"/>
        </w:rPr>
        <w:t>，且無其他原因可以解釋。</w:t>
      </w:r>
    </w:p>
    <w:p w14:paraId="5D98DAAD"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II.脾臟腫大超過左肋骨下緣6cm。</w:t>
      </w:r>
    </w:p>
    <w:p w14:paraId="4C09FB62"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lastRenderedPageBreak/>
        <w:t>III.淋巴結腫大，最長徑超過10cm。</w:t>
      </w:r>
    </w:p>
    <w:p w14:paraId="35FDC4F4" w14:textId="77777777" w:rsidR="00AB09A6" w:rsidRPr="006A54F7" w:rsidRDefault="00AB09A6" w:rsidP="00AB09A6">
      <w:pPr>
        <w:spacing w:line="400" w:lineRule="exact"/>
        <w:ind w:leftChars="377" w:left="1133" w:hangingChars="95" w:hanging="228"/>
        <w:rPr>
          <w:rFonts w:ascii="標楷體" w:eastAsia="標楷體" w:hAnsi="標楷體"/>
        </w:rPr>
      </w:pPr>
      <w:r w:rsidRPr="006A54F7">
        <w:rPr>
          <w:rFonts w:ascii="標楷體" w:eastAsia="標楷體" w:hAnsi="標楷體" w:hint="eastAsia"/>
        </w:rPr>
        <w:t>IV.周邊血液淋巴球在2個月內增加50%以上，或倍增時間(doubling time)小於6個月。</w:t>
      </w:r>
    </w:p>
    <w:p w14:paraId="6379A320"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V.出現自體免疫併發症，且經類固醇治療無效。</w:t>
      </w:r>
    </w:p>
    <w:p w14:paraId="4C73DE56"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VI.出現具症狀的淋巴結外病灶。</w:t>
      </w:r>
    </w:p>
    <w:p w14:paraId="14256FAC"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(4)需經事前審查核准後使用，每3個月需再次申請。再次申請時需檢附療效評估資料，若未達</w:t>
      </w:r>
      <w:proofErr w:type="spellStart"/>
      <w:r w:rsidRPr="006A54F7">
        <w:rPr>
          <w:rFonts w:ascii="標楷體" w:eastAsia="標楷體" w:hAnsi="標楷體" w:hint="eastAsia"/>
        </w:rPr>
        <w:t>iwCLL</w:t>
      </w:r>
      <w:proofErr w:type="spellEnd"/>
      <w:r w:rsidRPr="006A54F7">
        <w:rPr>
          <w:rFonts w:ascii="標楷體" w:eastAsia="標楷體" w:hAnsi="標楷體" w:hint="eastAsia"/>
        </w:rPr>
        <w:t xml:space="preserve"> (International Workshop on CLL)最新定義之partial remission或complete remission，則不予給付。</w:t>
      </w:r>
    </w:p>
    <w:p w14:paraId="7B39D892"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(5)在具有17缺失病人，acalabrutinib、ibrutinib、</w:t>
      </w:r>
      <w:proofErr w:type="spellStart"/>
      <w:r w:rsidRPr="006A54F7">
        <w:rPr>
          <w:rFonts w:ascii="標楷體" w:eastAsia="標楷體" w:hAnsi="標楷體" w:hint="eastAsia"/>
        </w:rPr>
        <w:t>venetoclax</w:t>
      </w:r>
      <w:proofErr w:type="spellEnd"/>
      <w:r w:rsidRPr="006A54F7">
        <w:rPr>
          <w:rFonts w:ascii="標楷體" w:eastAsia="標楷體" w:hAnsi="標楷體" w:hint="eastAsia"/>
        </w:rPr>
        <w:t>與</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 xml:space="preserve">四者僅能擇一使用，唯有在出現無法忍受其副作用時方可互換。四者使用總療程合併計算，以全部24個月為上限。(112/7/1、114/10/1) </w:t>
      </w:r>
    </w:p>
    <w:p w14:paraId="753656FE"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(6)在非IGHV突變二線以上病人及CLL三線以上病人，acalabrutinib、ibrutinib與</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三者僅能擇一使用，唯有在出現無法忍受其副作用時方可互換。三者使用總療程合併計算，以全部24個月為上限。(114/10/1、115/5/1)</w:t>
      </w:r>
    </w:p>
    <w:p w14:paraId="597AFEE5" w14:textId="5B5FC54E" w:rsidR="00B96EA0" w:rsidRPr="00AB09A6" w:rsidRDefault="00AB09A6" w:rsidP="00AB09A6">
      <w:pPr>
        <w:spacing w:line="400" w:lineRule="exact"/>
        <w:ind w:leftChars="218" w:left="849" w:hangingChars="136" w:hanging="326"/>
      </w:pPr>
      <w:r w:rsidRPr="006A54F7">
        <w:rPr>
          <w:rFonts w:ascii="標楷體" w:eastAsia="標楷體" w:hAnsi="標楷體" w:hint="eastAsia"/>
        </w:rPr>
        <w:t>(7)每日至多處方2粒。</w:t>
      </w:r>
    </w:p>
    <w:p w14:paraId="5E91869C" w14:textId="77777777"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w:t>
      </w:r>
      <w:proofErr w:type="spellStart"/>
      <w:r>
        <w:rPr>
          <w:rFonts w:ascii="標楷體" w:eastAsia="標楷體" w:hAnsi="標楷體"/>
          <w:color w:val="000000"/>
        </w:rPr>
        <w:t>Tepmetko</w:t>
      </w:r>
      <w:proofErr w:type="spellEnd"/>
      <w:r>
        <w:rPr>
          <w:rFonts w:ascii="標楷體" w:eastAsia="標楷體" w:hAnsi="標楷體"/>
          <w:color w:val="000000"/>
        </w:rPr>
        <w:t>):(112/7/1、113/6/1)</w:t>
      </w:r>
    </w:p>
    <w:p w14:paraId="0FE5EC56"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1.適用於治療轉移性非小細胞肺癌的成人病人，其腫瘤帶有導致間質上皮轉化因子外顯子14 跳讀式突變(MET exon 14 skipping mutation)。</w:t>
      </w:r>
    </w:p>
    <w:p w14:paraId="02A854AC"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14:paraId="0EC4EB28" w14:textId="77777777"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(1)初次申請時需檢具確實患有非小細胞肺癌之病理或細胞檢查報告,以及符合診斷之間質上皮轉化因子外顯子14跳讀式突變(MET exon 14 skipping mutation)檢測報告，且需符合全民健康保險藥品給付規定之通則十二。</w:t>
      </w:r>
    </w:p>
    <w:p w14:paraId="337E1881" w14:textId="77777777"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14:paraId="077ED579"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3.使用本品無效後則不再給付該適應症相關之免疫檢查點PD-1、PD-L1抑制劑。</w:t>
      </w:r>
    </w:p>
    <w:p w14:paraId="27D036CF"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14:paraId="79D37159" w14:textId="77777777"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w:t>
      </w:r>
      <w:proofErr w:type="spellStart"/>
      <w:r>
        <w:rPr>
          <w:rFonts w:ascii="標楷體" w:eastAsia="標楷體" w:hAnsi="標楷體"/>
          <w:color w:val="000000"/>
        </w:rPr>
        <w:t>Qarziba</w:t>
      </w:r>
      <w:proofErr w:type="spellEnd"/>
      <w:r>
        <w:rPr>
          <w:rFonts w:ascii="標楷體" w:eastAsia="標楷體" w:hAnsi="標楷體"/>
          <w:color w:val="000000"/>
        </w:rPr>
        <w:t>)：(112/8/1)</w:t>
      </w:r>
    </w:p>
    <w:p w14:paraId="3FB04E7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14:paraId="69BF94EE"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14:paraId="75C15CE7"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3.自初診斷至使用本品前，出現復發、新轉移或疾病惡化者，不得申請給付。</w:t>
      </w:r>
    </w:p>
    <w:p w14:paraId="16160015"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14:paraId="650DEA56" w14:textId="77777777" w:rsidR="006E56D0" w:rsidRPr="006E56D0" w:rsidRDefault="006E56D0" w:rsidP="006E56D0">
      <w:pPr>
        <w:spacing w:line="400" w:lineRule="exact"/>
        <w:ind w:left="992" w:hanging="706"/>
        <w:rPr>
          <w:rFonts w:ascii="標楷體" w:eastAsia="標楷體" w:hAnsi="標楷體"/>
          <w:color w:val="000000"/>
        </w:rPr>
      </w:pPr>
      <w:bookmarkStart w:id="44"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14:paraId="61E3D4BC"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1.治療患有難治型、移植後復發、第二次或二次以上復發之B細胞急性淋巴性白血病（ALL），且需符合以下條件:</w:t>
      </w:r>
    </w:p>
    <w:p w14:paraId="7C6514E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lastRenderedPageBreak/>
        <w:t>(1)年齡25歲以下。</w:t>
      </w:r>
    </w:p>
    <w:p w14:paraId="4CE09FC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難治型B細胞急性淋巴性白血病。(112/11/1、114/8/1)</w:t>
      </w:r>
    </w:p>
    <w:p w14:paraId="605DE9C2"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(3)若病人已接受過異體造血幹細胞移植後復發，則不論病人疾病狀態處於完全緩解、部分緩解或疾病惡化均可接受本藥品治療。(114/8/1)</w:t>
      </w:r>
    </w:p>
    <w:p w14:paraId="0DDDA33A"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14:paraId="0ACBA33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14:paraId="41404E57" w14:textId="77777777"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14:paraId="5B0A3AA4" w14:textId="77777777"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w:t>
      </w:r>
      <w:proofErr w:type="spellStart"/>
      <w:r w:rsidRPr="006E56D0">
        <w:rPr>
          <w:rFonts w:ascii="標楷體" w:eastAsia="標楷體" w:hAnsi="標楷體"/>
          <w:color w:val="000000"/>
        </w:rPr>
        <w:t>Meulengracht</w:t>
      </w:r>
      <w:proofErr w:type="spellEnd"/>
      <w:r w:rsidRPr="006E56D0">
        <w:rPr>
          <w:rFonts w:ascii="標楷體" w:eastAsia="標楷體" w:hAnsi="標楷體"/>
          <w:color w:val="000000"/>
        </w:rPr>
        <w:t xml:space="preserve">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14:paraId="32789A05" w14:textId="77777777"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50%，沒有心包膜積液，且過去一年無任何重大心臟疾病。</w:t>
      </w:r>
    </w:p>
    <w:p w14:paraId="57B96FA2" w14:textId="77777777"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肺功能:血氧 &gt; 92% on room air (需有兩次以上的醫療紀錄)。</w:t>
      </w:r>
    </w:p>
    <w:p w14:paraId="7FFC6E11"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治療經二線或二線以上全身治療後之復發性或難治性瀰漫性大B細胞淋巴瘤（DLBCL）的成人病人。且需符合以下條件:(112/11/1、114/8/1)</w:t>
      </w:r>
    </w:p>
    <w:p w14:paraId="121788AD"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w:t>
      </w:r>
      <w:r w:rsidRPr="006E56D0">
        <w:rPr>
          <w:rFonts w:ascii="標楷體" w:eastAsia="標楷體" w:hAnsi="標楷體" w:hint="eastAsia"/>
          <w:color w:val="000000"/>
        </w:rPr>
        <w:t>經自體造血幹細胞移植後疾病復發或惡化（不論其後續治療處於完全緩解、部分緩解或疾病惡化）。</w:t>
      </w:r>
    </w:p>
    <w:p w14:paraId="2BE30A20"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(2)或需經過具有骨髓移植訓練的骨髓移植專科醫師確認無法進行造血幹細胞移植者，無法進行造血幹細胞移植之定義，符合以下五個條件之一：(112/11/1、114/8/1)</w:t>
      </w:r>
    </w:p>
    <w:p w14:paraId="400826B8"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14:paraId="13C24A6C"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14:paraId="1FADC217"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14:paraId="67FBB050"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14:paraId="3DA7E399"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Ⅴ.經收集自體造血幹細胞2次後仍無法收集超過2*106 CD34+細胞/公斤。</w:t>
      </w:r>
    </w:p>
    <w:p w14:paraId="6CD34C0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14:paraId="0119AF60"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14:paraId="516993C5" w14:textId="77777777"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r>
      <w:proofErr w:type="spellStart"/>
      <w:r w:rsidRPr="006E56D0">
        <w:rPr>
          <w:rFonts w:ascii="標楷體" w:eastAsia="標楷體" w:hAnsi="標楷體"/>
          <w:color w:val="000000"/>
        </w:rPr>
        <w:t>Extranodal</w:t>
      </w:r>
      <w:proofErr w:type="spellEnd"/>
      <w:r w:rsidRPr="006E56D0">
        <w:rPr>
          <w:rFonts w:ascii="標楷體" w:eastAsia="標楷體" w:hAnsi="標楷體"/>
          <w:color w:val="000000"/>
        </w:rPr>
        <w:t xml:space="preserve">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14:paraId="5A56D89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14:paraId="50C0E17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w:t>
      </w:r>
      <w:proofErr w:type="spellStart"/>
      <w:r w:rsidRPr="006E56D0">
        <w:rPr>
          <w:rFonts w:ascii="標楷體" w:eastAsia="標楷體" w:hAnsi="標楷體"/>
          <w:color w:val="000000"/>
        </w:rPr>
        <w:t>Meulengracht</w:t>
      </w:r>
      <w:proofErr w:type="spellEnd"/>
      <w:r w:rsidRPr="006E56D0">
        <w:rPr>
          <w:rFonts w:ascii="標楷體" w:eastAsia="標楷體" w:hAnsi="標楷體"/>
          <w:color w:val="000000"/>
        </w:rPr>
        <w:t xml:space="preserve">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w:t>
      </w:r>
      <w:r w:rsidRPr="006E56D0">
        <w:rPr>
          <w:rFonts w:ascii="標楷體" w:eastAsia="標楷體" w:hAnsi="標楷體"/>
          <w:color w:val="000000"/>
        </w:rPr>
        <w:lastRenderedPageBreak/>
        <w:t xml:space="preserve">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14:paraId="12976C2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14:paraId="561DC62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14:paraId="4F487F4B"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ANC≧1000/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、ALC≧100/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、Hb≧8.0 g/dL; Plt≧50000/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w:t>
      </w:r>
    </w:p>
    <w:p w14:paraId="2B483D02"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14:paraId="0D594AA0"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無DLBCL之外的併發惡性腫瘤，但充分治療的基底細胞癌或鱗狀細胞癌不在此限（申請時需要充分的傷口癒合）；若為子宮頸或乳腺癌原位癌，在申請前至少 3 年經過治愈性治療且無復發證據；原發惡性腫瘤已完全切除且申請時須處於完全緩解5年以上。</w:t>
      </w:r>
    </w:p>
    <w:p w14:paraId="359087E2"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3.前述1、2項均須符合下列條件：</w:t>
      </w:r>
    </w:p>
    <w:p w14:paraId="04B9C5F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14:paraId="65EB640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(2)終身限給付1次療程，須於特殊專案審查通過後6個月內完成輸注。</w:t>
      </w:r>
    </w:p>
    <w:p w14:paraId="126A14BA"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14:paraId="0AA9DA6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感染(評估和輸注 CAR-T時需為viral load undetectable)。</w:t>
      </w:r>
    </w:p>
    <w:p w14:paraId="312D1336"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14:paraId="2946DE6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(6)病人不得有活躍的次發性中樞神經系統淋巴癌侵犯。</w:t>
      </w:r>
    </w:p>
    <w:p w14:paraId="1ECDE7F6"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(7)追蹤方式：依保險人公布要求之檢驗項目與頻率執行。</w:t>
      </w:r>
    </w:p>
    <w:p w14:paraId="5C488F19"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(8)應提供本藥品治療申請日2個月內腦部MRI報告，無法進行腦部MRI檢查者，應提供1個月內腦脊髓液檢查報告與CT檢查報告並需照會神經科醫師，證明無淋巴瘤中樞神經侵犯。(114/8/1)</w:t>
      </w:r>
    </w:p>
    <w:p w14:paraId="66A69DE7"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(9)併用藥品規範：不得併用化療藥(淋巴清除化療除外)、免疫抑制劑或標靶藥物。(112/11/1、114/8/1)</w:t>
      </w:r>
    </w:p>
    <w:p w14:paraId="21048F5F"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14:paraId="46FCEAE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14:paraId="6FCD87DF"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14:paraId="3AE266E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14:paraId="1A93881D"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14:paraId="28D9773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14:paraId="39C00334"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(2)每年平均須進行20例以上造血幹細胞移植，以過去3年平均為準，並每年進行確認。</w:t>
      </w:r>
    </w:p>
    <w:p w14:paraId="1647A388"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CAR-T多專科團隊，包含醫師、護理師、藥師、醫檢師、細胞蒐集專</w:t>
      </w:r>
      <w:r w:rsidRPr="006E56D0">
        <w:rPr>
          <w:rFonts w:ascii="標楷體" w:eastAsia="標楷體" w:hAnsi="標楷體"/>
          <w:color w:val="000000"/>
        </w:rPr>
        <w:lastRenderedPageBreak/>
        <w:t>門技術人員，經團隊討論後同意治療，並須於事前審查時，檢附會議紀錄。</w:t>
      </w:r>
    </w:p>
    <w:p w14:paraId="55595060"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CAR-T多專科團隊成員，包括醫師、護理師、藥師、醫檢師、細胞蒐集專門技術人員各至少一人，須每兩年接受至少6小時中華民國血液及骨髓移植學會或中華民國血液病學會舉辦之CAR-T教育訓練。(112/11/1、114/8/1)</w:t>
      </w:r>
    </w:p>
    <w:p w14:paraId="5E6D670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14:paraId="2615CCC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14:paraId="2D5D132F"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14:paraId="66B5AA58"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14:paraId="6254DB9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(1)CAR-T多科團隊會議紀錄。</w:t>
      </w:r>
    </w:p>
    <w:p w14:paraId="6C7A1A95"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14:paraId="235AAC55" w14:textId="77777777"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44"/>
    </w:p>
    <w:p w14:paraId="52A01DB5" w14:textId="77777777" w:rsidR="0007420E" w:rsidRPr="004C2E0C" w:rsidRDefault="0007420E" w:rsidP="0007420E">
      <w:pPr>
        <w:spacing w:line="400" w:lineRule="exact"/>
        <w:ind w:left="283" w:hangingChars="118" w:hanging="283"/>
        <w:rPr>
          <w:rFonts w:ascii="標楷體" w:eastAsia="標楷體" w:hAnsi="標楷體"/>
        </w:rPr>
      </w:pPr>
      <w:r w:rsidRPr="004C2E0C">
        <w:rPr>
          <w:rFonts w:ascii="標楷體" w:eastAsia="標楷體" w:hAnsi="標楷體" w:hint="eastAsia"/>
        </w:rPr>
        <w:t>9.104.Zanubrutinib(如</w:t>
      </w:r>
      <w:proofErr w:type="spellStart"/>
      <w:r w:rsidRPr="004C2E0C">
        <w:rPr>
          <w:rFonts w:ascii="標楷體" w:eastAsia="標楷體" w:hAnsi="標楷體" w:hint="eastAsia"/>
        </w:rPr>
        <w:t>Brukinsa</w:t>
      </w:r>
      <w:proofErr w:type="spellEnd"/>
      <w:r w:rsidRPr="004C2E0C">
        <w:rPr>
          <w:rFonts w:ascii="標楷體" w:eastAsia="標楷體" w:hAnsi="標楷體" w:hint="eastAsia"/>
        </w:rPr>
        <w:t>)：(112/12/1、114/8/1、114/10/1、115/5/1)</w:t>
      </w:r>
    </w:p>
    <w:p w14:paraId="63A093F9" w14:textId="77777777" w:rsidR="0007420E" w:rsidRPr="004C2E0C" w:rsidRDefault="0007420E" w:rsidP="0007420E">
      <w:pPr>
        <w:spacing w:line="400" w:lineRule="exact"/>
        <w:ind w:leftChars="118" w:left="566" w:hangingChars="118" w:hanging="283"/>
        <w:rPr>
          <w:rFonts w:ascii="標楷體" w:eastAsia="標楷體" w:hAnsi="標楷體"/>
        </w:rPr>
      </w:pPr>
      <w:r w:rsidRPr="004C2E0C">
        <w:rPr>
          <w:rFonts w:ascii="標楷體" w:eastAsia="標楷體" w:hAnsi="標楷體" w:hint="eastAsia"/>
        </w:rPr>
        <w:t>1.單獨使用於先前接受過至少一種化學或標靶治療方式無效或復發的被套細胞淋巴瘤成年病人。(112/12/1、114/8/1、114/10/1、115/5/1)</w:t>
      </w:r>
    </w:p>
    <w:p w14:paraId="2259B4E4"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(1)需經事前審查核准後使用(事審代碼：C83N2)。首次申請事前審查之療程以4個月為限，之後每3個月需再次申請，再次申請時應檢附前次治療結果評估資料，如影像學檢查報告。(114/8/1)</w:t>
      </w:r>
    </w:p>
    <w:p w14:paraId="667D44D9" w14:textId="77777777" w:rsidR="0007420E" w:rsidRPr="004C2E0C" w:rsidRDefault="0007420E" w:rsidP="0007420E">
      <w:pPr>
        <w:spacing w:line="400" w:lineRule="exact"/>
        <w:ind w:leftChars="218" w:left="523"/>
        <w:rPr>
          <w:rFonts w:ascii="標楷體" w:eastAsia="標楷體" w:hAnsi="標楷體"/>
        </w:rPr>
      </w:pPr>
      <w:r w:rsidRPr="004C2E0C">
        <w:rPr>
          <w:rFonts w:ascii="標楷體" w:eastAsia="標楷體" w:hAnsi="標楷體" w:hint="eastAsia"/>
        </w:rPr>
        <w:t>(2)若疾病進展，則必須停止使用。</w:t>
      </w:r>
    </w:p>
    <w:p w14:paraId="6EC7379C" w14:textId="77777777" w:rsidR="0007420E" w:rsidRPr="004C2E0C" w:rsidRDefault="0007420E" w:rsidP="0007420E">
      <w:pPr>
        <w:spacing w:line="400" w:lineRule="exact"/>
        <w:ind w:leftChars="218" w:left="523"/>
        <w:rPr>
          <w:rFonts w:ascii="標楷體" w:eastAsia="標楷體" w:hAnsi="標楷體"/>
        </w:rPr>
      </w:pPr>
      <w:r w:rsidRPr="004C2E0C">
        <w:rPr>
          <w:rFonts w:ascii="標楷體" w:eastAsia="標楷體" w:hAnsi="標楷體" w:hint="eastAsia"/>
        </w:rPr>
        <w:t>(3)每日至多處方4粒。</w:t>
      </w:r>
    </w:p>
    <w:p w14:paraId="6BAD4265"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(4)Zanubrutinib、ibrutinib及acalabrutinib僅能擇一使用，唯有在出現無法忍受其副作用時方可互換。與acalabrutinib互換時二者使用總療程合併計算，以全部20個月為上限。(112/12/1、114/10/1、115/5/1)</w:t>
      </w:r>
    </w:p>
    <w:p w14:paraId="70D91E17" w14:textId="77777777" w:rsidR="0007420E" w:rsidRPr="004C2E0C" w:rsidRDefault="0007420E" w:rsidP="0007420E">
      <w:pPr>
        <w:spacing w:line="400" w:lineRule="exact"/>
        <w:ind w:leftChars="118" w:left="566" w:hangingChars="118" w:hanging="283"/>
        <w:rPr>
          <w:rFonts w:ascii="標楷體" w:eastAsia="標楷體" w:hAnsi="標楷體"/>
        </w:rPr>
      </w:pPr>
      <w:r w:rsidRPr="004C2E0C">
        <w:rPr>
          <w:rFonts w:ascii="標楷體" w:eastAsia="標楷體" w:hAnsi="標楷體" w:hint="eastAsia"/>
        </w:rPr>
        <w:t>2.單獨使用於曾接受含一種單株抗體及一種靜脈注射之alkylating agent之chemoimmunotherapy至少4個療程以上後復發者的華氏巨球蛋白血症成年病人。(112/12/1、114/8/1)。</w:t>
      </w:r>
    </w:p>
    <w:p w14:paraId="54644CDE"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(1)病患須具下列至少3種條件：</w:t>
      </w:r>
    </w:p>
    <w:p w14:paraId="26E5CBDF"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I.年齡＞65歲。</w:t>
      </w:r>
    </w:p>
    <w:p w14:paraId="58CB0114"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II.血紅素計數≦11g/dL。</w:t>
      </w:r>
    </w:p>
    <w:p w14:paraId="7EF538A6"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III.血小板計數≦100×109/L。</w:t>
      </w:r>
    </w:p>
    <w:p w14:paraId="208B3716"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IV.β2-microglobulin&gt;3mg/L。</w:t>
      </w:r>
    </w:p>
    <w:p w14:paraId="17CD075C"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V.免疫球蛋白IgM&gt;7g/dL。</w:t>
      </w:r>
    </w:p>
    <w:p w14:paraId="2FA00906"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(2)需經事前審查核准後使用(事審代碼：C88N3)。首次申請事前審查之療程以4個月為限，之後每3個月需再次申請，再次申請時應檢附前次治療結果評估資料，如影像學檢查報告。(114/8/1)</w:t>
      </w:r>
    </w:p>
    <w:p w14:paraId="2986F24A"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(3)若疾病進展，則必須停止使用。</w:t>
      </w:r>
    </w:p>
    <w:p w14:paraId="3909C2D2"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lastRenderedPageBreak/>
        <w:t>(4)每位病人限給付20個月。</w:t>
      </w:r>
    </w:p>
    <w:p w14:paraId="4683C622"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(5)每日至多處方4粒。</w:t>
      </w:r>
    </w:p>
    <w:p w14:paraId="4854EA02" w14:textId="77777777" w:rsidR="0007420E" w:rsidRPr="004C2E0C" w:rsidRDefault="0007420E" w:rsidP="0007420E">
      <w:pPr>
        <w:spacing w:line="400" w:lineRule="exact"/>
        <w:ind w:leftChars="118" w:left="425" w:hangingChars="59" w:hanging="142"/>
        <w:rPr>
          <w:rFonts w:ascii="標楷體" w:eastAsia="標楷體" w:hAnsi="標楷體"/>
        </w:rPr>
      </w:pPr>
      <w:r w:rsidRPr="004C2E0C">
        <w:rPr>
          <w:rFonts w:ascii="標楷體" w:eastAsia="標楷體" w:hAnsi="標楷體" w:hint="eastAsia"/>
        </w:rPr>
        <w:t>3.與</w:t>
      </w:r>
      <w:proofErr w:type="spellStart"/>
      <w:r w:rsidRPr="004C2E0C">
        <w:rPr>
          <w:rFonts w:ascii="標楷體" w:eastAsia="標楷體" w:hAnsi="標楷體" w:hint="eastAsia"/>
        </w:rPr>
        <w:t>obinutuzumab</w:t>
      </w:r>
      <w:proofErr w:type="spellEnd"/>
      <w:r w:rsidRPr="004C2E0C">
        <w:rPr>
          <w:rFonts w:ascii="標楷體" w:eastAsia="標楷體" w:hAnsi="標楷體" w:hint="eastAsia"/>
        </w:rPr>
        <w:t>併用，治療先前曾接受至少兩線(每線至少4個療程)全身性治療無效或復發的濾泡性淋巴瘤成人病人。(114/8/1)</w:t>
      </w:r>
    </w:p>
    <w:p w14:paraId="7CA21887"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(1)需曾接受過至少一種anti-CD20 monoclonal antibody及一種靜脈注射型之alkylating agent治療。</w:t>
      </w:r>
    </w:p>
    <w:p w14:paraId="7193F005"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(2)需符合WHO 淋巴瘤分類為I、II或IIIa期的診斷。</w:t>
      </w:r>
    </w:p>
    <w:p w14:paraId="536BEF1E"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(3)開始使用前之疾病狀態需出現下列任一情形：</w:t>
      </w:r>
    </w:p>
    <w:p w14:paraId="6EC1431D"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I.有單一腫瘤直徑7公分以上者；</w:t>
      </w:r>
    </w:p>
    <w:p w14:paraId="07389AFC"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II.有三顆以上之腫瘤其直徑大於3公分以上者；</w:t>
      </w:r>
    </w:p>
    <w:p w14:paraId="219E7B4F"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III.脾臟腫大，其長度16公分以上者；</w:t>
      </w:r>
    </w:p>
    <w:p w14:paraId="57ED3D4B"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IV.對</w:t>
      </w:r>
      <w:proofErr w:type="spellStart"/>
      <w:r w:rsidRPr="004C2E0C">
        <w:rPr>
          <w:rFonts w:ascii="標楷體" w:eastAsia="標楷體" w:hAnsi="標楷體" w:hint="eastAsia"/>
        </w:rPr>
        <w:t>vitalorgans</w:t>
      </w:r>
      <w:proofErr w:type="spellEnd"/>
      <w:r w:rsidRPr="004C2E0C">
        <w:rPr>
          <w:rFonts w:ascii="標楷體" w:eastAsia="標楷體" w:hAnsi="標楷體" w:hint="eastAsia"/>
        </w:rPr>
        <w:t>造成擠壓者；</w:t>
      </w:r>
    </w:p>
    <w:p w14:paraId="43555DE8"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V.周邊血中出現淋巴球增生超過5000/ mm3者；</w:t>
      </w:r>
    </w:p>
    <w:p w14:paraId="3D006A31"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VI.出現任一系列血球低下者（platelet&lt;100,000/ mm3，或 Hb&lt;10gm/dL，或absolute neutrophil count&lt;1500/mm3)。</w:t>
      </w:r>
    </w:p>
    <w:p w14:paraId="53F6BCA1"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VII.B symptoms。</w:t>
      </w:r>
    </w:p>
    <w:p w14:paraId="3BAF5CBB" w14:textId="77777777" w:rsidR="0007420E" w:rsidRPr="004C2E0C" w:rsidRDefault="0007420E" w:rsidP="0007420E">
      <w:pPr>
        <w:spacing w:line="400" w:lineRule="exact"/>
        <w:ind w:leftChars="159" w:left="708" w:hangingChars="136" w:hanging="326"/>
        <w:rPr>
          <w:rFonts w:ascii="標楷體" w:eastAsia="標楷體" w:hAnsi="標楷體"/>
        </w:rPr>
      </w:pPr>
      <w:r w:rsidRPr="004C2E0C">
        <w:rPr>
          <w:rFonts w:ascii="標楷體" w:eastAsia="標楷體" w:hAnsi="標楷體" w:hint="eastAsia"/>
        </w:rPr>
        <w:t>(4)需經事前審查核准後使用(事審代碼：C82N3)，每3個月需再次申請，再次申請時需檢附療效評估資料，若未達partial remission或 complete remission，則不予給付。</w:t>
      </w:r>
    </w:p>
    <w:p w14:paraId="51854F85" w14:textId="77777777" w:rsidR="0007420E" w:rsidRPr="004C2E0C" w:rsidRDefault="0007420E" w:rsidP="0007420E">
      <w:pPr>
        <w:spacing w:line="400" w:lineRule="exact"/>
        <w:ind w:leftChars="159" w:left="382"/>
        <w:rPr>
          <w:rFonts w:ascii="標楷體" w:eastAsia="標楷體" w:hAnsi="標楷體"/>
        </w:rPr>
      </w:pPr>
      <w:r w:rsidRPr="004C2E0C">
        <w:rPr>
          <w:rFonts w:ascii="標楷體" w:eastAsia="標楷體" w:hAnsi="標楷體" w:hint="eastAsia"/>
        </w:rPr>
        <w:t>(5)總療程以全部24個月為上限。Zanubrutinib每日至多處方4粒。</w:t>
      </w:r>
    </w:p>
    <w:p w14:paraId="02487624" w14:textId="77777777" w:rsidR="0007420E" w:rsidRPr="004C2E0C" w:rsidRDefault="0007420E" w:rsidP="0007420E">
      <w:pPr>
        <w:spacing w:line="400" w:lineRule="exact"/>
        <w:ind w:leftChars="118" w:left="283"/>
        <w:rPr>
          <w:rFonts w:ascii="標楷體" w:eastAsia="標楷體" w:hAnsi="標楷體"/>
        </w:rPr>
      </w:pPr>
      <w:r w:rsidRPr="004C2E0C">
        <w:rPr>
          <w:rFonts w:ascii="標楷體" w:eastAsia="標楷體" w:hAnsi="標楷體" w:hint="eastAsia"/>
        </w:rPr>
        <w:t>4.單獨使用於慢性淋巴球性白血病(CLL)成人病人。(114/10/1、115/5/1)</w:t>
      </w:r>
    </w:p>
    <w:p w14:paraId="30E8E7DF" w14:textId="77777777" w:rsidR="0007420E" w:rsidRPr="004C2E0C" w:rsidRDefault="0007420E" w:rsidP="0007420E">
      <w:pPr>
        <w:spacing w:line="400" w:lineRule="exact"/>
        <w:ind w:leftChars="235" w:left="564" w:firstLine="1"/>
        <w:rPr>
          <w:rFonts w:ascii="標楷體" w:eastAsia="標楷體" w:hAnsi="標楷體"/>
        </w:rPr>
      </w:pPr>
      <w:r w:rsidRPr="004C2E0C">
        <w:rPr>
          <w:rFonts w:ascii="標楷體" w:eastAsia="標楷體" w:hAnsi="標楷體" w:hint="eastAsia"/>
        </w:rPr>
        <w:t>(1)ECOG 分數須≦2。</w:t>
      </w:r>
    </w:p>
    <w:p w14:paraId="7214109B" w14:textId="77777777" w:rsidR="0007420E" w:rsidRPr="004C2E0C" w:rsidRDefault="0007420E" w:rsidP="0007420E">
      <w:pPr>
        <w:spacing w:line="400" w:lineRule="exact"/>
        <w:ind w:leftChars="235" w:left="564" w:firstLine="1"/>
        <w:rPr>
          <w:rFonts w:ascii="標楷體" w:eastAsia="標楷體" w:hAnsi="標楷體"/>
        </w:rPr>
      </w:pPr>
      <w:r w:rsidRPr="004C2E0C">
        <w:rPr>
          <w:rFonts w:ascii="標楷體" w:eastAsia="標楷體" w:hAnsi="標楷體" w:hint="eastAsia"/>
        </w:rPr>
        <w:t>(2)需符合下列任一情況：</w:t>
      </w:r>
    </w:p>
    <w:p w14:paraId="06CDFCCE"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I.具有17p缺失。</w:t>
      </w:r>
    </w:p>
    <w:p w14:paraId="27680CEE"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II.非IGHV突變且曾接受至少1種包括alkylating agent與anti-CD20(如R-CVP、RCHOP、rituximab加</w:t>
      </w:r>
      <w:proofErr w:type="spellStart"/>
      <w:r w:rsidRPr="004C2E0C">
        <w:rPr>
          <w:rFonts w:ascii="標楷體" w:eastAsia="標楷體" w:hAnsi="標楷體" w:hint="eastAsia"/>
        </w:rPr>
        <w:t>bendamustine</w:t>
      </w:r>
      <w:proofErr w:type="spellEnd"/>
      <w:r w:rsidRPr="004C2E0C">
        <w:rPr>
          <w:rFonts w:ascii="標楷體" w:eastAsia="標楷體" w:hAnsi="標楷體" w:hint="eastAsia"/>
        </w:rPr>
        <w:t>等)的治療2個療程以上仍惡化或復發者。</w:t>
      </w:r>
    </w:p>
    <w:p w14:paraId="5DC4D2BD"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III.CLL病人需先前曾接受至少2線治療(排除僅有口服藥物之療程)，治療中須包括alkylating agent與anti-CD20(如R-CVP、RCHOP、rituximab加</w:t>
      </w:r>
      <w:proofErr w:type="spellStart"/>
      <w:r w:rsidRPr="004C2E0C">
        <w:rPr>
          <w:rFonts w:ascii="標楷體" w:eastAsia="標楷體" w:hAnsi="標楷體" w:hint="eastAsia"/>
        </w:rPr>
        <w:t>bendamustine</w:t>
      </w:r>
      <w:proofErr w:type="spellEnd"/>
      <w:r w:rsidRPr="004C2E0C">
        <w:rPr>
          <w:rFonts w:ascii="標楷體" w:eastAsia="標楷體" w:hAnsi="標楷體" w:hint="eastAsia"/>
        </w:rPr>
        <w:t>等)的治療，每線治療至少2個療程以上後，仍惡化或復發者。</w:t>
      </w:r>
    </w:p>
    <w:p w14:paraId="62D5730D" w14:textId="77777777" w:rsidR="0007420E" w:rsidRPr="004C2E0C" w:rsidRDefault="0007420E" w:rsidP="0007420E">
      <w:pPr>
        <w:spacing w:line="400" w:lineRule="exact"/>
        <w:ind w:leftChars="295" w:left="708"/>
        <w:rPr>
          <w:rFonts w:ascii="標楷體" w:eastAsia="標楷體" w:hAnsi="標楷體"/>
        </w:rPr>
      </w:pPr>
      <w:r w:rsidRPr="004C2E0C">
        <w:rPr>
          <w:rFonts w:ascii="標楷體" w:eastAsia="標楷體" w:hAnsi="標楷體" w:hint="eastAsia"/>
        </w:rPr>
        <w:t>(3)開始使用前之疾病狀態需出現下列任一情形：</w:t>
      </w:r>
    </w:p>
    <w:p w14:paraId="31ABA41F"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I.進行性的血液相惡化至Hb &lt; 10.0 gm/dL或PLT &lt; 100 K/</w:t>
      </w:r>
      <w:proofErr w:type="spellStart"/>
      <w:r w:rsidRPr="004C2E0C">
        <w:rPr>
          <w:rFonts w:ascii="標楷體" w:eastAsia="標楷體" w:hAnsi="標楷體" w:hint="eastAsia"/>
        </w:rPr>
        <w:t>uL</w:t>
      </w:r>
      <w:proofErr w:type="spellEnd"/>
      <w:r w:rsidRPr="004C2E0C">
        <w:rPr>
          <w:rFonts w:ascii="標楷體" w:eastAsia="標楷體" w:hAnsi="標楷體" w:hint="eastAsia"/>
        </w:rPr>
        <w:t>，且無其他原因可以解釋。</w:t>
      </w:r>
    </w:p>
    <w:p w14:paraId="20C41068"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II.脾臟腫大超過左肋骨下緣6cm。</w:t>
      </w:r>
    </w:p>
    <w:p w14:paraId="1CB622C6"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III.淋巴結腫大，最長徑超過10cm。</w:t>
      </w:r>
    </w:p>
    <w:p w14:paraId="1260DA3A"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IV.周邊血液淋巴球在2個月內增加50%以上，或倍增時間(doubling time)小於6個月。</w:t>
      </w:r>
    </w:p>
    <w:p w14:paraId="28A0A3CF"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lastRenderedPageBreak/>
        <w:t>V.出現自體免疫併發症，且經類固醇治療無效。</w:t>
      </w:r>
    </w:p>
    <w:p w14:paraId="35B913A4"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VI.出現具症狀的淋巴結外病灶。</w:t>
      </w:r>
    </w:p>
    <w:p w14:paraId="18335372"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(4)需經事前審查核准後使用(事審代碼：C91N1)，每3個月需再次申請。再次申請時需檢附療效評估資料，若未達</w:t>
      </w:r>
      <w:proofErr w:type="spellStart"/>
      <w:r w:rsidRPr="004C2E0C">
        <w:rPr>
          <w:rFonts w:ascii="標楷體" w:eastAsia="標楷體" w:hAnsi="標楷體" w:hint="eastAsia"/>
        </w:rPr>
        <w:t>iwCLL</w:t>
      </w:r>
      <w:proofErr w:type="spellEnd"/>
      <w:r w:rsidRPr="004C2E0C">
        <w:rPr>
          <w:rFonts w:ascii="標楷體" w:eastAsia="標楷體" w:hAnsi="標楷體" w:hint="eastAsia"/>
        </w:rPr>
        <w:t xml:space="preserve"> (International Workshop on CLL)最新定義之partial remission或complete remission，則不予給付。</w:t>
      </w:r>
    </w:p>
    <w:p w14:paraId="0415003A"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(5)在具有17缺失病人，acalabrutinib、ibrutinib、</w:t>
      </w:r>
      <w:proofErr w:type="spellStart"/>
      <w:r w:rsidRPr="004C2E0C">
        <w:rPr>
          <w:rFonts w:ascii="標楷體" w:eastAsia="標楷體" w:hAnsi="標楷體" w:hint="eastAsia"/>
        </w:rPr>
        <w:t>venetoclax</w:t>
      </w:r>
      <w:proofErr w:type="spellEnd"/>
      <w:r w:rsidRPr="004C2E0C">
        <w:rPr>
          <w:rFonts w:ascii="標楷體" w:eastAsia="標楷體" w:hAnsi="標楷體" w:hint="eastAsia"/>
        </w:rPr>
        <w:t>與</w:t>
      </w:r>
      <w:proofErr w:type="spellStart"/>
      <w:r w:rsidRPr="004C2E0C">
        <w:rPr>
          <w:rFonts w:ascii="標楷體" w:eastAsia="標楷體" w:hAnsi="標楷體" w:hint="eastAsia"/>
        </w:rPr>
        <w:t>zanubrutinib</w:t>
      </w:r>
      <w:proofErr w:type="spellEnd"/>
      <w:r w:rsidRPr="004C2E0C">
        <w:rPr>
          <w:rFonts w:ascii="標楷體" w:eastAsia="標楷體" w:hAnsi="標楷體" w:hint="eastAsia"/>
        </w:rPr>
        <w:t>四者僅能擇一使用，唯有在出現無法忍受其副作用時方可互換。四者使用總療程合併計算，以全部24個月為上限。</w:t>
      </w:r>
    </w:p>
    <w:p w14:paraId="34B6734F"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(6)在非IGHV突變二線以上病人及CLL三線以上病人，acalabrutinib、ibrutinib與</w:t>
      </w:r>
      <w:proofErr w:type="spellStart"/>
      <w:r w:rsidRPr="004C2E0C">
        <w:rPr>
          <w:rFonts w:ascii="標楷體" w:eastAsia="標楷體" w:hAnsi="標楷體" w:hint="eastAsia"/>
        </w:rPr>
        <w:t>zanubrutinib</w:t>
      </w:r>
      <w:proofErr w:type="spellEnd"/>
      <w:r w:rsidRPr="004C2E0C">
        <w:rPr>
          <w:rFonts w:ascii="標楷體" w:eastAsia="標楷體" w:hAnsi="標楷體" w:hint="eastAsia"/>
        </w:rPr>
        <w:t>三者僅能擇一使用，唯有在出現無法忍受其副作用時方可互換。三者使用總療程合併計算，以全部24個月為上限。(114/10/1、115/5/1)</w:t>
      </w:r>
    </w:p>
    <w:p w14:paraId="77915FAB" w14:textId="5672670E" w:rsidR="005363DB" w:rsidRPr="0074474A" w:rsidRDefault="0007420E" w:rsidP="0007420E">
      <w:pPr>
        <w:suppressAutoHyphens w:val="0"/>
        <w:autoSpaceDN/>
        <w:spacing w:line="400" w:lineRule="exact"/>
        <w:ind w:left="709"/>
        <w:textAlignment w:val="auto"/>
        <w:rPr>
          <w:rFonts w:ascii="標楷體" w:eastAsia="標楷體" w:hAnsi="標楷體" w:cs="BiauKai"/>
          <w:kern w:val="2"/>
          <w:szCs w:val="24"/>
        </w:rPr>
      </w:pPr>
      <w:r w:rsidRPr="004C2E0C">
        <w:rPr>
          <w:rFonts w:ascii="標楷體" w:eastAsia="標楷體" w:hAnsi="標楷體" w:hint="eastAsia"/>
        </w:rPr>
        <w:t>(7)每日至多處方4粒。</w:t>
      </w:r>
    </w:p>
    <w:p w14:paraId="1F1025B9" w14:textId="77777777" w:rsidR="00517C45" w:rsidRPr="00803B45" w:rsidRDefault="00517C45" w:rsidP="00517C45">
      <w:pPr>
        <w:spacing w:line="400" w:lineRule="exact"/>
        <w:ind w:left="142"/>
        <w:rPr>
          <w:rFonts w:ascii="標楷體" w:eastAsia="標楷體" w:hAnsi="標楷體"/>
          <w:szCs w:val="24"/>
        </w:rPr>
      </w:pPr>
      <w:bookmarkStart w:id="45" w:name="_Hlk204085052"/>
      <w:r w:rsidRPr="00803B45">
        <w:rPr>
          <w:rFonts w:ascii="標楷體" w:eastAsia="標楷體" w:hAnsi="標楷體"/>
          <w:szCs w:val="24"/>
        </w:rPr>
        <w:t xml:space="preserve">9.105.Polatuzumab </w:t>
      </w:r>
      <w:proofErr w:type="spellStart"/>
      <w:r w:rsidRPr="00803B45">
        <w:rPr>
          <w:rFonts w:ascii="標楷體" w:eastAsia="標楷體" w:hAnsi="標楷體"/>
          <w:szCs w:val="24"/>
        </w:rPr>
        <w:t>vedotin</w:t>
      </w:r>
      <w:proofErr w:type="spellEnd"/>
      <w:r w:rsidRPr="00803B45">
        <w:rPr>
          <w:rFonts w:ascii="標楷體" w:eastAsia="標楷體" w:hAnsi="標楷體"/>
          <w:szCs w:val="24"/>
        </w:rPr>
        <w:t xml:space="preserve"> (如</w:t>
      </w:r>
      <w:proofErr w:type="spellStart"/>
      <w:r w:rsidRPr="00803B45">
        <w:rPr>
          <w:rFonts w:ascii="標楷體" w:eastAsia="標楷體" w:hAnsi="標楷體"/>
          <w:szCs w:val="24"/>
        </w:rPr>
        <w:t>Polivy</w:t>
      </w:r>
      <w:proofErr w:type="spellEnd"/>
      <w:r w:rsidRPr="00803B45">
        <w:rPr>
          <w:rFonts w:ascii="標楷體" w:eastAsia="標楷體" w:hAnsi="標楷體"/>
          <w:szCs w:val="24"/>
        </w:rPr>
        <w:t>)：(113/2/1</w:t>
      </w:r>
      <w:r w:rsidRPr="00803B45">
        <w:rPr>
          <w:rFonts w:ascii="標楷體" w:eastAsia="標楷體" w:hAnsi="標楷體" w:hint="eastAsia"/>
        </w:rPr>
        <w:t>、114/8/1</w:t>
      </w:r>
      <w:r w:rsidRPr="00803B45">
        <w:rPr>
          <w:rFonts w:ascii="標楷體" w:eastAsia="標楷體" w:hAnsi="標楷體"/>
          <w:szCs w:val="24"/>
        </w:rPr>
        <w:t>)</w:t>
      </w:r>
    </w:p>
    <w:p w14:paraId="4983F4C3"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1.限與</w:t>
      </w:r>
      <w:proofErr w:type="spellStart"/>
      <w:r w:rsidRPr="00803B45">
        <w:rPr>
          <w:rFonts w:ascii="標楷體" w:eastAsia="標楷體" w:hAnsi="標楷體"/>
        </w:rPr>
        <w:t>bendamustine</w:t>
      </w:r>
      <w:proofErr w:type="spellEnd"/>
      <w:r w:rsidRPr="00803B45">
        <w:rPr>
          <w:rFonts w:ascii="標楷體" w:eastAsia="標楷體" w:hAnsi="標楷體"/>
        </w:rPr>
        <w:t>和rituximab併用，適用於第三線治療復發型（relapsed）或難治型（refractory）且未曾接受及不適合接受造血幹細胞移植的瀰漫性大型B細胞淋巴瘤（DLBCL）成年病人，並須完全符合下列條件：</w:t>
      </w:r>
    </w:p>
    <w:p w14:paraId="6651AC6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(1)ECOG分數≦2。</w:t>
      </w:r>
    </w:p>
    <w:p w14:paraId="6650349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(2)未曾接受幹細胞移植且需先經兩位曾接受血液及骨髓移植訓練並合格之醫師評估為不適合接受移植之病人並滿足下列條件之一：</w:t>
      </w:r>
    </w:p>
    <w:p w14:paraId="2DFEC679"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Ⅰ.年齡在65歲（含）以上，且使用過的第二線治療含鉑類藥物（cisplatin、oxaliplatin、carboplatin）後，以影像學檢查證實疾病惡化中。</w:t>
      </w:r>
    </w:p>
    <w:p w14:paraId="2210D139"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Ⅱ.年齡在65歲以下，符合HCT-CI≧3分，且使用過的第二線治療含鉑類藥物（cisplatin、oxaliplatin、carboplatin）後，以影像學檢查證實疾病惡化中。</w:t>
      </w:r>
    </w:p>
    <w:p w14:paraId="7A373332"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Ⅲ.使用過第二線治療含鉑類藥物（cisplatin、oxaliplatin、carboplatin）後，在收集造血幹細胞時，即使使用plerixafor後收集的CD34陽性原始細胞仍未達每公斤體重200萬顆細胞，且以影像學檢查證實疾病惡化中。</w:t>
      </w:r>
    </w:p>
    <w:p w14:paraId="32B40DE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14:paraId="40866A27"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救援治療需符合以下任一條件：(114/8/1)</w:t>
      </w:r>
    </w:p>
    <w:p w14:paraId="7FA33115"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14:paraId="329EE771"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14:paraId="1521BAC9"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14:paraId="4A07779A"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(1)每次申請事前審查以3個療程為限，再次申請必須提出客觀證據（如：影像學）證實無惡化，若病情惡化即不得再次申請。</w:t>
      </w:r>
    </w:p>
    <w:p w14:paraId="1B842CD5"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14:paraId="38B8B1B5"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lastRenderedPageBreak/>
        <w:t>3.</w:t>
      </w:r>
      <w:r w:rsidRPr="00803B45">
        <w:rPr>
          <w:rFonts w:ascii="標楷體" w:eastAsia="標楷體" w:hAnsi="標楷體" w:hint="eastAsia"/>
        </w:rPr>
        <w:t>病人接受本藥物治療後，不給付造血幹細胞移植。(113/2/1、114/8/1)</w:t>
      </w:r>
    </w:p>
    <w:p w14:paraId="20864DCA" w14:textId="77777777"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w:t>
      </w:r>
      <w:proofErr w:type="spellStart"/>
      <w:r w:rsidRPr="00803B45">
        <w:rPr>
          <w:rFonts w:ascii="標楷體" w:eastAsia="標楷體" w:hAnsi="標楷體" w:hint="eastAsia"/>
        </w:rPr>
        <w:t>glofitamab</w:t>
      </w:r>
      <w:proofErr w:type="spellEnd"/>
      <w:r w:rsidRPr="00803B45">
        <w:rPr>
          <w:rFonts w:ascii="標楷體" w:eastAsia="標楷體" w:hAnsi="標楷體" w:hint="eastAsia"/>
        </w:rPr>
        <w:t>及</w:t>
      </w:r>
      <w:proofErr w:type="spellStart"/>
      <w:r w:rsidRPr="00803B45">
        <w:rPr>
          <w:rFonts w:ascii="標楷體" w:eastAsia="標楷體" w:hAnsi="標楷體" w:hint="eastAsia"/>
        </w:rPr>
        <w:t>epcoritamab</w:t>
      </w:r>
      <w:proofErr w:type="spellEnd"/>
      <w:r w:rsidRPr="00803B45">
        <w:rPr>
          <w:rFonts w:ascii="標楷體" w:eastAsia="標楷體" w:hAnsi="標楷體" w:hint="eastAsia"/>
        </w:rPr>
        <w:t>僅得擇一給付，治療失敗後不得互換。(114/8/1)</w:t>
      </w:r>
      <w:bookmarkEnd w:id="45"/>
    </w:p>
    <w:p w14:paraId="5B62FA79" w14:textId="77777777"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 xml:space="preserve">9.106.Sacituzumab </w:t>
      </w:r>
      <w:proofErr w:type="spellStart"/>
      <w:r w:rsidRPr="00204759">
        <w:rPr>
          <w:rFonts w:ascii="標楷體" w:eastAsia="標楷體" w:hAnsi="標楷體"/>
          <w:color w:val="000000"/>
          <w:szCs w:val="24"/>
        </w:rPr>
        <w:t>govitecan</w:t>
      </w:r>
      <w:proofErr w:type="spellEnd"/>
      <w:r w:rsidRPr="00204759">
        <w:rPr>
          <w:rFonts w:ascii="標楷體" w:eastAsia="標楷體" w:hAnsi="標楷體"/>
          <w:color w:val="000000"/>
          <w:szCs w:val="24"/>
        </w:rPr>
        <w:t xml:space="preserve"> (如</w:t>
      </w:r>
      <w:proofErr w:type="spellStart"/>
      <w:r w:rsidRPr="00204759">
        <w:rPr>
          <w:rFonts w:ascii="標楷體" w:eastAsia="標楷體" w:hAnsi="標楷體"/>
          <w:color w:val="000000"/>
          <w:szCs w:val="24"/>
        </w:rPr>
        <w:t>Trodelvy</w:t>
      </w:r>
      <w:proofErr w:type="spellEnd"/>
      <w:r w:rsidRPr="00204759">
        <w:rPr>
          <w:rFonts w:ascii="標楷體" w:eastAsia="標楷體" w:hAnsi="標楷體"/>
          <w:color w:val="000000"/>
          <w:szCs w:val="24"/>
        </w:rPr>
        <w:t>）：(113/2/1、114/2/1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14:paraId="7F2FE7B8" w14:textId="77777777"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14:paraId="6BD97008" w14:textId="77777777"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14:paraId="0FABDC38"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r w:rsidRPr="00204759">
        <w:rPr>
          <w:rFonts w:ascii="標楷體" w:eastAsia="標楷體" w:hAnsi="標楷體" w:hint="eastAsia"/>
          <w:szCs w:val="24"/>
        </w:rPr>
        <w:t>≦</w:t>
      </w:r>
      <w:r w:rsidRPr="00204759">
        <w:rPr>
          <w:rFonts w:ascii="標楷體" w:eastAsia="標楷體" w:hAnsi="標楷體"/>
          <w:szCs w:val="24"/>
        </w:rPr>
        <w:t>1</w:t>
      </w:r>
      <w:r w:rsidRPr="00204759">
        <w:rPr>
          <w:rFonts w:ascii="標楷體" w:eastAsia="標楷體" w:hAnsi="標楷體" w:hint="eastAsia"/>
          <w:szCs w:val="24"/>
        </w:rPr>
        <w:t>）。</w:t>
      </w:r>
    </w:p>
    <w:p w14:paraId="4F2C06D1"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proofErr w:type="spellStart"/>
      <w:r w:rsidRPr="00204759">
        <w:rPr>
          <w:rFonts w:ascii="標楷體" w:eastAsia="標楷體" w:hAnsi="標楷體"/>
          <w:szCs w:val="24"/>
        </w:rPr>
        <w:t>taxane</w:t>
      </w:r>
      <w:proofErr w:type="spellEnd"/>
      <w:r w:rsidRPr="00204759">
        <w:rPr>
          <w:rFonts w:ascii="標楷體" w:eastAsia="標楷體" w:hAnsi="標楷體" w:hint="eastAsia"/>
          <w:szCs w:val="24"/>
        </w:rPr>
        <w:t>類藥物至少1個療程。</w:t>
      </w:r>
    </w:p>
    <w:p w14:paraId="670E5BC9"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 xml:space="preserve">Ⅲ.先前未接受過trastuzumab </w:t>
      </w:r>
      <w:proofErr w:type="spellStart"/>
      <w:r w:rsidRPr="00204759">
        <w:rPr>
          <w:rFonts w:ascii="標楷體" w:eastAsia="標楷體" w:hAnsi="標楷體" w:hint="eastAsia"/>
          <w:szCs w:val="24"/>
        </w:rPr>
        <w:t>deruxtecan</w:t>
      </w:r>
      <w:proofErr w:type="spellEnd"/>
      <w:r w:rsidRPr="00204759">
        <w:rPr>
          <w:rFonts w:ascii="標楷體" w:eastAsia="標楷體" w:hAnsi="標楷體" w:hint="eastAsia"/>
          <w:szCs w:val="24"/>
        </w:rPr>
        <w:t>治療。(114/2/1)</w:t>
      </w:r>
    </w:p>
    <w:p w14:paraId="2CE42262"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14:paraId="4707E6D0"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再次申請必須提出客觀證據（如：影像學）證實無惡化，才可繼續使用。</w:t>
      </w:r>
    </w:p>
    <w:p w14:paraId="152E91E8"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(4)</w:t>
      </w:r>
      <w:r w:rsidRPr="00204759">
        <w:rPr>
          <w:rFonts w:ascii="標楷體" w:eastAsia="標楷體" w:hAnsi="標楷體"/>
          <w:szCs w:val="24"/>
        </w:rPr>
        <w:t xml:space="preserve">Sacituzumab </w:t>
      </w:r>
      <w:proofErr w:type="spellStart"/>
      <w:r w:rsidRPr="00204759">
        <w:rPr>
          <w:rFonts w:ascii="標楷體" w:eastAsia="標楷體" w:hAnsi="標楷體"/>
          <w:szCs w:val="24"/>
        </w:rPr>
        <w:t>govitecan</w:t>
      </w:r>
      <w:proofErr w:type="spellEnd"/>
      <w:r w:rsidRPr="00204759">
        <w:rPr>
          <w:rFonts w:ascii="標楷體" w:eastAsia="標楷體" w:hAnsi="標楷體"/>
          <w:szCs w:val="24"/>
        </w:rPr>
        <w:t xml:space="preserve">和trastuzumab </w:t>
      </w:r>
      <w:proofErr w:type="spellStart"/>
      <w:r w:rsidRPr="00204759">
        <w:rPr>
          <w:rFonts w:ascii="標楷體" w:eastAsia="標楷體" w:hAnsi="標楷體"/>
          <w:szCs w:val="24"/>
        </w:rPr>
        <w:t>deruxtecan</w:t>
      </w:r>
      <w:proofErr w:type="spellEnd"/>
      <w:r w:rsidRPr="00204759">
        <w:rPr>
          <w:rFonts w:ascii="標楷體" w:eastAsia="標楷體" w:hAnsi="標楷體"/>
          <w:szCs w:val="24"/>
        </w:rPr>
        <w:t>僅能擇一給付，不得互換。(114/2/1)</w:t>
      </w:r>
      <w:r w:rsidRPr="00204759">
        <w:rPr>
          <w:rFonts w:ascii="標楷體" w:eastAsia="標楷體" w:hAnsi="標楷體" w:hint="eastAsia"/>
          <w:szCs w:val="24"/>
        </w:rPr>
        <w:t>。</w:t>
      </w:r>
    </w:p>
    <w:p w14:paraId="36A02AAD" w14:textId="77777777"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14:paraId="39920DEF"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14:paraId="332D508F" w14:textId="77777777"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14:paraId="6C784368" w14:textId="77777777"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抑制劑≦12個月，並有內臟轉移。</w:t>
      </w:r>
    </w:p>
    <w:p w14:paraId="5CBED53B" w14:textId="77777777"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至少兩線(每線至少兩個完整療程或於第二個療程中產生疾病惡化)的</w:t>
      </w:r>
      <w:r w:rsidRPr="00204759">
        <w:rPr>
          <w:rFonts w:ascii="標楷體" w:eastAsia="標楷體" w:hAnsi="標楷體"/>
          <w:szCs w:val="24"/>
        </w:rPr>
        <w:t>轉移性乳癌化</w:t>
      </w:r>
      <w:r w:rsidRPr="00204759">
        <w:rPr>
          <w:rFonts w:ascii="標楷體" w:eastAsia="標楷體" w:hAnsi="標楷體" w:hint="eastAsia"/>
          <w:szCs w:val="24"/>
        </w:rPr>
        <w:t>學治療。</w:t>
      </w:r>
    </w:p>
    <w:p w14:paraId="20071A5E"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14:paraId="4B8B4B22" w14:textId="77777777"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r w:rsidRPr="00204759">
        <w:rPr>
          <w:rFonts w:ascii="標楷體" w:eastAsia="標楷體" w:hAnsi="標楷體"/>
          <w:color w:val="000000"/>
          <w:szCs w:val="24"/>
        </w:rPr>
        <w:t>（如：影像學）證實無惡化，才可繼續使用。</w:t>
      </w:r>
    </w:p>
    <w:p w14:paraId="39CE4007" w14:textId="77777777"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w:t>
      </w:r>
      <w:proofErr w:type="spellStart"/>
      <w:r>
        <w:rPr>
          <w:rFonts w:ascii="標楷體" w:eastAsia="標楷體" w:hAnsi="標楷體"/>
          <w:color w:val="000000"/>
        </w:rPr>
        <w:t>Verzenio</w:t>
      </w:r>
      <w:proofErr w:type="spellEnd"/>
      <w:r>
        <w:rPr>
          <w:rFonts w:ascii="標楷體" w:eastAsia="標楷體" w:hAnsi="標楷體"/>
          <w:color w:val="000000"/>
        </w:rPr>
        <w:t>)：(113/3/1、113/6/1)</w:t>
      </w:r>
    </w:p>
    <w:p w14:paraId="387B1CDE"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併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14:paraId="660F3FB2" w14:textId="77777777" w:rsidR="00B96EA0" w:rsidRDefault="007D66B8" w:rsidP="005142EB">
      <w:pPr>
        <w:spacing w:line="400" w:lineRule="exact"/>
        <w:ind w:left="1332" w:hanging="566"/>
      </w:pPr>
      <w:r>
        <w:rPr>
          <w:rFonts w:ascii="標楷體" w:eastAsia="標楷體" w:hAnsi="標楷體"/>
          <w:color w:val="000000"/>
        </w:rPr>
        <w:t>(1)</w:t>
      </w:r>
      <w:proofErr w:type="spellStart"/>
      <w:r>
        <w:rPr>
          <w:rFonts w:ascii="標楷體" w:eastAsia="標楷體" w:hAnsi="標楷體"/>
          <w:color w:val="000000"/>
        </w:rPr>
        <w:t>pALN</w:t>
      </w:r>
      <w:proofErr w:type="spellEnd"/>
      <w:r>
        <w:rPr>
          <w:rFonts w:ascii="標楷體" w:eastAsia="標楷體" w:hAnsi="標楷體"/>
          <w:color w:val="000000"/>
        </w:rPr>
        <w:t xml:space="preserve"> (positive axillary lymph nodes，陽性腋下淋巴結) </w:t>
      </w:r>
      <w:r>
        <w:rPr>
          <w:rFonts w:eastAsia="標楷體"/>
          <w:color w:val="000000"/>
        </w:rPr>
        <w:t>≥</w:t>
      </w:r>
      <w:r>
        <w:rPr>
          <w:rFonts w:ascii="標楷體" w:eastAsia="標楷體" w:hAnsi="標楷體"/>
          <w:color w:val="000000"/>
        </w:rPr>
        <w:t>4。</w:t>
      </w:r>
    </w:p>
    <w:p w14:paraId="720B81B4" w14:textId="77777777" w:rsidR="00B96EA0" w:rsidRDefault="007D66B8" w:rsidP="005142EB">
      <w:pPr>
        <w:spacing w:line="400" w:lineRule="exact"/>
        <w:ind w:left="1332" w:hanging="566"/>
      </w:pPr>
      <w:r>
        <w:rPr>
          <w:rFonts w:ascii="標楷體" w:eastAsia="標楷體" w:hAnsi="標楷體"/>
          <w:color w:val="000000"/>
        </w:rPr>
        <w:t>(2)</w:t>
      </w:r>
      <w:proofErr w:type="spellStart"/>
      <w:r>
        <w:rPr>
          <w:rFonts w:ascii="標楷體" w:eastAsia="標楷體" w:hAnsi="標楷體"/>
          <w:color w:val="000000"/>
        </w:rPr>
        <w:t>pALN</w:t>
      </w:r>
      <w:proofErr w:type="spellEnd"/>
      <w:r>
        <w:rPr>
          <w:rFonts w:ascii="標楷體" w:eastAsia="標楷體" w:hAnsi="標楷體"/>
          <w:color w:val="000000"/>
        </w:rPr>
        <w:t xml:space="preserve"> (陽性腋下淋巴結)為1-3 且腫瘤大小</w:t>
      </w:r>
      <w:r>
        <w:rPr>
          <w:rFonts w:eastAsia="標楷體"/>
          <w:color w:val="000000"/>
        </w:rPr>
        <w:t>≥</w:t>
      </w:r>
      <w:r>
        <w:rPr>
          <w:rFonts w:ascii="標楷體" w:eastAsia="標楷體" w:hAnsi="標楷體"/>
          <w:color w:val="000000"/>
        </w:rPr>
        <w:t>5 cm。</w:t>
      </w:r>
    </w:p>
    <w:p w14:paraId="3E7BC1C3" w14:textId="77777777"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w:t>
      </w:r>
      <w:proofErr w:type="spellStart"/>
      <w:r>
        <w:rPr>
          <w:rFonts w:ascii="標楷體" w:eastAsia="標楷體" w:hAnsi="標楷體"/>
          <w:color w:val="000000"/>
        </w:rPr>
        <w:t>pALN</w:t>
      </w:r>
      <w:proofErr w:type="spellEnd"/>
      <w:r>
        <w:rPr>
          <w:rFonts w:ascii="標楷體" w:eastAsia="標楷體" w:hAnsi="標楷體"/>
          <w:color w:val="000000"/>
        </w:rPr>
        <w:t xml:space="preserve"> (陽性腋下淋巴結)為1-3 且腫瘤細胞分化第3級。</w:t>
      </w:r>
    </w:p>
    <w:p w14:paraId="2CC53AEB"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14:paraId="2572247C"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3.使用前，僅能接受最多12週的內分泌治療，且應於手術切除後16個月內接受本品治</w:t>
      </w:r>
      <w:r>
        <w:rPr>
          <w:rFonts w:ascii="標楷體" w:eastAsia="標楷體" w:hAnsi="標楷體"/>
          <w:color w:val="000000"/>
        </w:rPr>
        <w:lastRenderedPageBreak/>
        <w:t>療。</w:t>
      </w:r>
    </w:p>
    <w:p w14:paraId="26EE7E18"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4.須經事前審查核准後使用，每24週須再次申請並檢附療效評估資料，若疾病有惡化情形須停止使用。</w:t>
      </w:r>
    </w:p>
    <w:p w14:paraId="2668186A"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14:paraId="027D6F1B" w14:textId="77777777"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proofErr w:type="spellStart"/>
      <w:r w:rsidR="00941523" w:rsidRPr="00276A1A">
        <w:rPr>
          <w:rFonts w:ascii="標楷體" w:eastAsia="標楷體" w:hAnsi="標楷體"/>
          <w:szCs w:val="24"/>
        </w:rPr>
        <w:t>Isatuximab</w:t>
      </w:r>
      <w:proofErr w:type="spellEnd"/>
      <w:r w:rsidR="00941523" w:rsidRPr="00276A1A">
        <w:rPr>
          <w:rFonts w:ascii="標楷體" w:eastAsia="標楷體" w:hAnsi="標楷體"/>
          <w:szCs w:val="24"/>
        </w:rPr>
        <w:t>(如</w:t>
      </w:r>
      <w:bookmarkStart w:id="46" w:name="_Hlk173438635"/>
      <w:proofErr w:type="spellStart"/>
      <w:r w:rsidR="00941523" w:rsidRPr="00276A1A">
        <w:rPr>
          <w:rFonts w:ascii="標楷體" w:eastAsia="標楷體" w:hAnsi="標楷體"/>
          <w:szCs w:val="24"/>
        </w:rPr>
        <w:t>Sarclisa</w:t>
      </w:r>
      <w:bookmarkEnd w:id="46"/>
      <w:proofErr w:type="spellEnd"/>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14:paraId="211C150F" w14:textId="77777777"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14:paraId="4D60A768" w14:textId="77777777"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10033227" w14:textId="77777777"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(1)首次申請為10次輸注，且需同時符合下列Ⅰ.、Ⅱ.與Ⅲ.的條件：</w:t>
      </w:r>
    </w:p>
    <w:p w14:paraId="65A7AED3" w14:textId="77777777"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6CEAB861" w14:textId="77777777"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Ⅱ.具有下列任一疾病惡化的指標： 病患開始治療前須在連續2次評估中均符合同一指標 (但若為</w:t>
      </w:r>
      <w:proofErr w:type="spellStart"/>
      <w:r w:rsidRPr="00276A1A">
        <w:rPr>
          <w:rFonts w:ascii="標楷體" w:eastAsia="標楷體" w:hAnsi="標楷體"/>
          <w:szCs w:val="24"/>
        </w:rPr>
        <w:t>plamacytoma</w:t>
      </w:r>
      <w:proofErr w:type="spellEnd"/>
      <w:r w:rsidRPr="00276A1A">
        <w:rPr>
          <w:rFonts w:ascii="標楷體" w:eastAsia="標楷體" w:hAnsi="標楷體"/>
          <w:szCs w:val="24"/>
        </w:rPr>
        <w:t xml:space="preserve"> 體積增加，或是新產生的bone lesion(s)或新plasmacytoma，則僅需1次評估)： </w:t>
      </w:r>
    </w:p>
    <w:p w14:paraId="03B05861"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14:paraId="1F3B2D86"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3C4E2E91"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1E5D560E"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14:paraId="7DBB27B5"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proofErr w:type="spellStart"/>
      <w:r w:rsidRPr="00276A1A">
        <w:rPr>
          <w:rFonts w:ascii="標楷體" w:eastAsia="標楷體" w:hAnsi="標楷體"/>
          <w:szCs w:val="24"/>
        </w:rPr>
        <w:t>v.Plasmacytoma</w:t>
      </w:r>
      <w:proofErr w:type="spellEnd"/>
      <w:r w:rsidRPr="00276A1A">
        <w:rPr>
          <w:rFonts w:ascii="標楷體" w:eastAsia="標楷體" w:hAnsi="標楷體"/>
          <w:szCs w:val="24"/>
        </w:rPr>
        <w:t>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0FEF35AE"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w:t>
      </w:r>
      <w:proofErr w:type="spellStart"/>
      <w:r w:rsidRPr="00276A1A">
        <w:rPr>
          <w:rFonts w:ascii="標楷體" w:eastAsia="標楷體" w:hAnsi="標楷體"/>
          <w:szCs w:val="24"/>
        </w:rPr>
        <w:t>μL</w:t>
      </w:r>
      <w:proofErr w:type="spellEnd"/>
      <w:r w:rsidRPr="00276A1A">
        <w:rPr>
          <w:rFonts w:ascii="標楷體" w:eastAsia="標楷體" w:hAnsi="標楷體"/>
          <w:szCs w:val="24"/>
        </w:rPr>
        <w:t>。</w:t>
      </w:r>
    </w:p>
    <w:p w14:paraId="66EB0F7A" w14:textId="77777777"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 xml:space="preserve">Ⅲ.出現下列任一臨床症狀： </w:t>
      </w:r>
    </w:p>
    <w:p w14:paraId="62BDAF28"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14:paraId="21F58AB1"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63D67720"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14:paraId="35A4E3C3"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14:paraId="11C28137"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14:paraId="6DE3D87E"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14:paraId="58F55ED8" w14:textId="77777777"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w:t>
      </w:r>
    </w:p>
    <w:p w14:paraId="58447516" w14:textId="77777777"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3.每位病人終生限給付26次輸注。</w:t>
      </w:r>
    </w:p>
    <w:p w14:paraId="554CA70E" w14:textId="77777777"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14:paraId="78B1AAA9" w14:textId="77777777" w:rsidR="00B96EA0" w:rsidRDefault="00941523" w:rsidP="00941523">
      <w:pPr>
        <w:spacing w:line="400" w:lineRule="exact"/>
        <w:ind w:leftChars="119" w:left="567" w:hangingChars="117" w:hanging="281"/>
      </w:pPr>
      <w:r w:rsidRPr="00276A1A">
        <w:rPr>
          <w:rFonts w:ascii="標楷體" w:eastAsia="標楷體" w:hAnsi="標楷體"/>
          <w:szCs w:val="24"/>
        </w:rPr>
        <w:lastRenderedPageBreak/>
        <w:t>5.Isatuximab與daratumumab二者僅能擇一使用，除因藥物耐受不良以外，不可以其他原因申請互換使用。</w:t>
      </w:r>
    </w:p>
    <w:p w14:paraId="52ED08C9"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 xml:space="preserve">9.109.Enfortumab </w:t>
      </w:r>
      <w:proofErr w:type="spellStart"/>
      <w:r>
        <w:rPr>
          <w:rFonts w:ascii="標楷體" w:eastAsia="標楷體" w:hAnsi="標楷體"/>
          <w:color w:val="000000"/>
        </w:rPr>
        <w:t>vedotin</w:t>
      </w:r>
      <w:proofErr w:type="spellEnd"/>
      <w:r>
        <w:rPr>
          <w:rFonts w:ascii="標楷體" w:eastAsia="標楷體" w:hAnsi="標楷體"/>
          <w:color w:val="000000"/>
        </w:rPr>
        <w:t>(如</w:t>
      </w:r>
      <w:bookmarkStart w:id="47" w:name="_Hlk141697711"/>
      <w:proofErr w:type="spellStart"/>
      <w:r>
        <w:rPr>
          <w:rFonts w:ascii="標楷體" w:eastAsia="標楷體" w:hAnsi="標楷體"/>
          <w:color w:val="000000"/>
        </w:rPr>
        <w:t>Padcev</w:t>
      </w:r>
      <w:bookmarkEnd w:id="47"/>
      <w:proofErr w:type="spellEnd"/>
      <w:r>
        <w:rPr>
          <w:rFonts w:ascii="標楷體" w:eastAsia="標楷體" w:hAnsi="標楷體"/>
          <w:color w:val="000000"/>
        </w:rPr>
        <w:t>）：(113/5/1)</w:t>
      </w:r>
    </w:p>
    <w:p w14:paraId="6A76D65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過含鉑化學治療，後續接受免疫檢查點抑制劑(如atezolizumab；nivolumab；pembrolizumab；avelumab；ipilimumab製劑)治療失敗後疾病惡化的局部晚期或轉移性泌尿道上皮癌成人病人，須檢附接受過含鉑化學治療之病歷報告。</w:t>
      </w:r>
    </w:p>
    <w:p w14:paraId="6C0ABBB2"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14:paraId="72CF9CE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(1)病人身體狀況良好（ECOG≦2）且預期壽命至少3個月以上。</w:t>
      </w:r>
    </w:p>
    <w:p w14:paraId="21C3A396"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(2)病人之心肺與肝腎功能須符合下列所有條件：</w:t>
      </w:r>
    </w:p>
    <w:p w14:paraId="69677E97"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14:paraId="42706389"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14:paraId="6CA76232"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14:paraId="6C6F19C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14:paraId="7D3D3D82"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(4)需排除病情控制不佳的糖尿病患者（HbA1c≧8%）。</w:t>
      </w:r>
    </w:p>
    <w:p w14:paraId="316DB06B"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14:paraId="5815CD04"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(1)病人身體狀況良好(ECOG≦2)及心肺與肝腎功能之評估資料。</w:t>
      </w:r>
    </w:p>
    <w:p w14:paraId="5766EB9E"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(2)病人12週內之疾病影像檢查及報告(如胸部X光、電腦斷層或其他可作為評估的影像)，此影像證明以可測量(measurable)的病灶為優先，如沒有可以測量的病灶，則可評估(evaluable)的病灶亦可採用。</w:t>
      </w:r>
    </w:p>
    <w:p w14:paraId="2269EC16"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14:paraId="5492B9B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4.每次申請事前審查以3個療程為限，再次申請時需檢附療效評估資料，若病情惡化即不得再次申請，無效後或給付時程期滿後則不再給付該適應症相關之標靶藥物及免疫檢查點抑制劑。</w:t>
      </w:r>
    </w:p>
    <w:p w14:paraId="1BEC9F3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14:paraId="5FA5D29B"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w:t>
      </w:r>
      <w:proofErr w:type="spellStart"/>
      <w:r>
        <w:rPr>
          <w:rFonts w:ascii="標楷體" w:eastAsia="標楷體" w:hAnsi="標楷體"/>
          <w:color w:val="000000"/>
        </w:rPr>
        <w:t>Velexbru</w:t>
      </w:r>
      <w:proofErr w:type="spellEnd"/>
      <w:r>
        <w:rPr>
          <w:rFonts w:ascii="標楷體" w:eastAsia="標楷體" w:hAnsi="標楷體"/>
          <w:color w:val="000000"/>
        </w:rPr>
        <w:t>）：(113/6/1)</w:t>
      </w:r>
    </w:p>
    <w:p w14:paraId="778D7047"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1.適用於治療成人復發或難治型原發性中樞神經系統B細胞淋巴瘤，且符合下列各項條件：</w:t>
      </w:r>
    </w:p>
    <w:p w14:paraId="08194A2F"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14:paraId="4D3FA040"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14:paraId="1CF3936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14:paraId="476B0D05"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14:paraId="70DF458A"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14:paraId="407BBF56"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14:paraId="666817FD"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14:paraId="426D2545" w14:textId="77777777"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w:t>
      </w:r>
      <w:proofErr w:type="spellStart"/>
      <w:r>
        <w:rPr>
          <w:rFonts w:ascii="標楷體" w:eastAsia="標楷體" w:hAnsi="標楷體"/>
          <w:szCs w:val="24"/>
        </w:rPr>
        <w:t>Empliciti</w:t>
      </w:r>
      <w:proofErr w:type="spellEnd"/>
      <w:r>
        <w:rPr>
          <w:rFonts w:ascii="標楷體" w:eastAsia="標楷體" w:hAnsi="標楷體"/>
          <w:szCs w:val="24"/>
        </w:rPr>
        <w:t>)：(113/9/1)</w:t>
      </w:r>
    </w:p>
    <w:p w14:paraId="703B922B"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lastRenderedPageBreak/>
        <w:t>1.與pomalidomide及dexamethasone併用，治療之前曾接受過至少兩種療法（包括lenalidomide和蛋白酶體抑制劑）的多發性骨髓瘤成年病人，且完全符合下列條件：</w:t>
      </w:r>
    </w:p>
    <w:p w14:paraId="38636E1D"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14:paraId="598416FD"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14:paraId="3B72DA8D"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14:paraId="4037299E"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14:paraId="1F445670"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Ⅰ.具有下列任一疾病惡化的指標： 病人開始治療前須在連續2次評估中均符合同一指標 (但若為</w:t>
      </w:r>
      <w:proofErr w:type="spellStart"/>
      <w:r>
        <w:rPr>
          <w:rFonts w:ascii="標楷體" w:eastAsia="標楷體" w:hAnsi="標楷體"/>
          <w:szCs w:val="24"/>
        </w:rPr>
        <w:t>plamacytoma</w:t>
      </w:r>
      <w:proofErr w:type="spellEnd"/>
      <w:r>
        <w:rPr>
          <w:rFonts w:ascii="標楷體" w:eastAsia="標楷體" w:hAnsi="標楷體"/>
          <w:szCs w:val="24"/>
        </w:rPr>
        <w:t xml:space="preserve"> 體積增加，或是新產生的bone lesion(s)或新plasmacytoma，則僅需1次評估)： </w:t>
      </w:r>
    </w:p>
    <w:p w14:paraId="1BB4B778" w14:textId="77777777"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r>
        <w:rPr>
          <w:rFonts w:ascii="標楷體" w:eastAsia="標楷體" w:hAnsi="標楷體" w:cs="新細明體"/>
          <w:szCs w:val="24"/>
        </w:rPr>
        <w:t>≧</w:t>
      </w:r>
      <w:r>
        <w:rPr>
          <w:rFonts w:ascii="標楷體" w:eastAsia="標楷體" w:hAnsi="標楷體"/>
          <w:szCs w:val="24"/>
        </w:rPr>
        <w:t>5 g/dL，血清M蛋白需增加</w:t>
      </w:r>
      <w:r>
        <w:rPr>
          <w:rFonts w:ascii="標楷體" w:eastAsia="標楷體" w:hAnsi="標楷體" w:cs="新細明體"/>
          <w:szCs w:val="24"/>
        </w:rPr>
        <w:t>≧</w:t>
      </w:r>
      <w:r>
        <w:rPr>
          <w:rFonts w:ascii="標楷體" w:eastAsia="標楷體" w:hAnsi="標楷體"/>
          <w:szCs w:val="24"/>
        </w:rPr>
        <w:t>1 g/dL；若前一線治療中M component最低值＜5 g/dL，血清M蛋白需增加</w:t>
      </w:r>
      <w:r>
        <w:rPr>
          <w:rFonts w:ascii="標楷體" w:eastAsia="標楷體" w:hAnsi="標楷體" w:cs="新細明體"/>
          <w:szCs w:val="24"/>
        </w:rPr>
        <w:t>≧</w:t>
      </w:r>
      <w:r>
        <w:rPr>
          <w:rFonts w:ascii="標楷體" w:eastAsia="標楷體" w:hAnsi="標楷體"/>
          <w:szCs w:val="24"/>
        </w:rPr>
        <w:t>0.5g/dL。</w:t>
      </w:r>
    </w:p>
    <w:p w14:paraId="7EEF3395" w14:textId="77777777" w:rsidR="00B96EA0" w:rsidRDefault="007D66B8" w:rsidP="005142EB">
      <w:pPr>
        <w:spacing w:line="400" w:lineRule="exact"/>
        <w:ind w:left="1800" w:hanging="360"/>
      </w:pPr>
      <w:proofErr w:type="spellStart"/>
      <w:r>
        <w:rPr>
          <w:rFonts w:ascii="新細明體" w:hAnsi="新細明體" w:cs="新細明體"/>
          <w:szCs w:val="24"/>
        </w:rPr>
        <w:t>ⅱ</w:t>
      </w:r>
      <w:r>
        <w:rPr>
          <w:rFonts w:ascii="標楷體" w:eastAsia="標楷體" w:hAnsi="標楷體"/>
          <w:szCs w:val="24"/>
        </w:rPr>
        <w:t>.Urine</w:t>
      </w:r>
      <w:proofErr w:type="spellEnd"/>
      <w:r>
        <w:rPr>
          <w:rFonts w:ascii="標楷體" w:eastAsia="標楷體" w:hAnsi="標楷體"/>
          <w:szCs w:val="24"/>
        </w:rPr>
        <w:t xml:space="preserve"> M-protein需增加≧0.2 gm/24Hr，且需較前一線治療中的最低值增加≧25%。</w:t>
      </w:r>
    </w:p>
    <w:p w14:paraId="399AD5CA"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病人，骨髓漿細胞 (plasma cells)之比例絕對值增加≧10%，且需較前一線治療中的最低值增加≧25%。</w:t>
      </w:r>
    </w:p>
    <w:p w14:paraId="04086733"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iv.新產生的bone lesion(s)或plasmacytoma；且須經病理切片證實。</w:t>
      </w:r>
    </w:p>
    <w:p w14:paraId="516BC793" w14:textId="77777777" w:rsidR="00B96EA0" w:rsidRDefault="007D66B8" w:rsidP="005142EB">
      <w:pPr>
        <w:spacing w:line="400" w:lineRule="exact"/>
        <w:ind w:left="1800" w:hanging="360"/>
        <w:rPr>
          <w:rFonts w:ascii="標楷體" w:eastAsia="標楷體" w:hAnsi="標楷體"/>
          <w:szCs w:val="24"/>
        </w:rPr>
      </w:pPr>
      <w:proofErr w:type="spellStart"/>
      <w:r>
        <w:rPr>
          <w:rFonts w:ascii="標楷體" w:eastAsia="標楷體" w:hAnsi="標楷體"/>
          <w:szCs w:val="24"/>
        </w:rPr>
        <w:t>v.Plasmacytoma</w:t>
      </w:r>
      <w:proofErr w:type="spellEnd"/>
      <w:r>
        <w:rPr>
          <w:rFonts w:ascii="標楷體" w:eastAsia="標楷體" w:hAnsi="標楷體"/>
          <w:szCs w:val="24"/>
        </w:rPr>
        <w:t>體積增加≧50%。</w:t>
      </w:r>
    </w:p>
    <w:p w14:paraId="2ED42726" w14:textId="77777777" w:rsidR="00B96EA0" w:rsidRDefault="007D66B8" w:rsidP="005142EB">
      <w:pPr>
        <w:spacing w:line="400" w:lineRule="exact"/>
        <w:ind w:left="1800" w:hanging="360"/>
      </w:pPr>
      <w:r>
        <w:rPr>
          <w:rFonts w:ascii="標楷體" w:eastAsia="標楷體" w:hAnsi="標楷體"/>
          <w:szCs w:val="24"/>
        </w:rPr>
        <w:t>vi.周邊血液中漿細胞比例</w:t>
      </w:r>
      <w:r>
        <w:rPr>
          <w:rFonts w:ascii="標楷體" w:eastAsia="標楷體" w:hAnsi="標楷體" w:cs="新細明體"/>
          <w:szCs w:val="24"/>
        </w:rPr>
        <w:t>≧</w:t>
      </w:r>
      <w:r>
        <w:rPr>
          <w:rFonts w:ascii="標楷體" w:eastAsia="標楷體" w:hAnsi="標楷體"/>
          <w:szCs w:val="24"/>
        </w:rPr>
        <w:t>20%或漿細胞絕對值</w:t>
      </w:r>
      <w:r>
        <w:rPr>
          <w:rFonts w:ascii="標楷體" w:eastAsia="標楷體" w:hAnsi="標楷體" w:cs="新細明體"/>
          <w:szCs w:val="24"/>
        </w:rPr>
        <w:t>≧</w:t>
      </w:r>
      <w:r>
        <w:rPr>
          <w:rFonts w:ascii="標楷體" w:eastAsia="標楷體" w:hAnsi="標楷體"/>
          <w:szCs w:val="24"/>
        </w:rPr>
        <w:t>2000 cells/</w:t>
      </w:r>
      <w:proofErr w:type="spellStart"/>
      <w:r>
        <w:rPr>
          <w:rFonts w:ascii="標楷體" w:eastAsia="標楷體" w:hAnsi="標楷體"/>
          <w:szCs w:val="24"/>
        </w:rPr>
        <w:t>μL</w:t>
      </w:r>
      <w:proofErr w:type="spellEnd"/>
      <w:r>
        <w:rPr>
          <w:rFonts w:ascii="標楷體" w:eastAsia="標楷體" w:hAnsi="標楷體"/>
          <w:szCs w:val="24"/>
        </w:rPr>
        <w:t>。</w:t>
      </w:r>
    </w:p>
    <w:p w14:paraId="1BEEA0FE"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Ⅱ.出現下列任一臨床症狀： </w:t>
      </w:r>
    </w:p>
    <w:p w14:paraId="2CA2EEFD" w14:textId="77777777"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.新產生的bone lesion(s)或plasmacytoma；且須經病理切片證實。</w:t>
      </w:r>
    </w:p>
    <w:p w14:paraId="01B73B07" w14:textId="77777777" w:rsidR="00B96EA0" w:rsidRDefault="007D66B8" w:rsidP="005142EB">
      <w:pPr>
        <w:spacing w:line="400" w:lineRule="exact"/>
        <w:ind w:left="1800" w:hanging="360"/>
      </w:pPr>
      <w:proofErr w:type="spellStart"/>
      <w:r>
        <w:rPr>
          <w:rFonts w:ascii="新細明體" w:hAnsi="新細明體" w:cs="新細明體"/>
          <w:szCs w:val="24"/>
        </w:rPr>
        <w:t>ⅱ</w:t>
      </w:r>
      <w:r>
        <w:rPr>
          <w:rFonts w:ascii="標楷體" w:eastAsia="標楷體" w:hAnsi="標楷體"/>
          <w:szCs w:val="24"/>
        </w:rPr>
        <w:t>.Plasmacytoma</w:t>
      </w:r>
      <w:proofErr w:type="spellEnd"/>
      <w:r>
        <w:rPr>
          <w:rFonts w:ascii="標楷體" w:eastAsia="標楷體" w:hAnsi="標楷體"/>
          <w:szCs w:val="24"/>
        </w:rPr>
        <w:t xml:space="preserve"> 體積增加≧50%。</w:t>
      </w:r>
    </w:p>
    <w:p w14:paraId="6D602A39"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14:paraId="1D40ACC5"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 2gm/dL且無其他原因可以解釋)。</w:t>
      </w:r>
    </w:p>
    <w:p w14:paraId="5530C6E0"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v.腎功能惡化(eGFR需下降幅度≧25%)，且無其他原因可以解釋。</w:t>
      </w:r>
    </w:p>
    <w:p w14:paraId="4B4A59E3"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14:paraId="7E67437C"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14:paraId="5A94ED12"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14:paraId="1E57C3A7"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14:paraId="27F997AA" w14:textId="77777777"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w:t>
      </w:r>
      <w:proofErr w:type="spellStart"/>
      <w:r>
        <w:rPr>
          <w:rFonts w:ascii="標楷體" w:eastAsia="標楷體" w:hAnsi="標楷體"/>
          <w:szCs w:val="24"/>
        </w:rPr>
        <w:t>Phesgo</w:t>
      </w:r>
      <w:proofErr w:type="spellEnd"/>
      <w:r>
        <w:rPr>
          <w:rFonts w:ascii="標楷體" w:eastAsia="標楷體" w:hAnsi="標楷體"/>
          <w:szCs w:val="24"/>
        </w:rPr>
        <w:t>):(113/12/1、114/5/1)</w:t>
      </w:r>
    </w:p>
    <w:p w14:paraId="2D3C1EDD"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1.本藥品及化學療法併用於具HER2過度表現（IHC3+或FISH+），且具腋下淋巴結轉移但無遠處臟器轉移之早期乳癌病人（113/12/1、114/5/1）</w:t>
      </w:r>
    </w:p>
    <w:p w14:paraId="7678D069" w14:textId="77777777"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lastRenderedPageBreak/>
        <w:t xml:space="preserve">  (1)使用於術前輔助治療，經外科手術後達病理上完全緩解者（</w:t>
      </w:r>
      <w:proofErr w:type="spellStart"/>
      <w:r>
        <w:rPr>
          <w:rFonts w:ascii="標楷體" w:eastAsia="標楷體" w:hAnsi="標楷體"/>
          <w:szCs w:val="24"/>
        </w:rPr>
        <w:t>pCR</w:t>
      </w:r>
      <w:proofErr w:type="spellEnd"/>
      <w:r>
        <w:rPr>
          <w:rFonts w:ascii="標楷體" w:eastAsia="標楷體" w:hAnsi="標楷體"/>
          <w:szCs w:val="24"/>
        </w:rPr>
        <w:t>），得繼續使用至18個療程為上限。</w:t>
      </w:r>
    </w:p>
    <w:p w14:paraId="13E03AF7" w14:textId="77777777"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14:paraId="1C42E216" w14:textId="77777777"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下列Ｉ~Ⅲ使用於外科手術前後之總療程合併計算，依藥品仿單記載以18個療程為上限：</w:t>
      </w:r>
    </w:p>
    <w:p w14:paraId="4CE81CFD"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14:paraId="7FACFC2F"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14:paraId="2A5394F5"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w:t>
      </w:r>
      <w:proofErr w:type="spellStart"/>
      <w:r>
        <w:rPr>
          <w:rFonts w:ascii="標楷體" w:eastAsia="標楷體" w:hAnsi="標楷體"/>
          <w:szCs w:val="24"/>
        </w:rPr>
        <w:t>pertuzumab</w:t>
      </w:r>
      <w:proofErr w:type="spellEnd"/>
      <w:r>
        <w:rPr>
          <w:rFonts w:ascii="標楷體" w:eastAsia="標楷體" w:hAnsi="標楷體"/>
          <w:szCs w:val="24"/>
        </w:rPr>
        <w:t>與trastuzumab併用</w:t>
      </w:r>
    </w:p>
    <w:p w14:paraId="63863479" w14:textId="77777777"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須經事前審查核准後使用，核准後每24週須檢附療效評估資料再次申請，若疾病有惡化情形即不應再行申請。（113/12/1、114/5/1）</w:t>
      </w:r>
    </w:p>
    <w:p w14:paraId="2E97EC03"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14:paraId="1545F1B4" w14:textId="77777777"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(1)與docetaxel併用於治療轉移後未曾以抗HER2或化學療法治療之HER2過度表現(IHC3+或FISH+)轉移性乳癌病人。</w:t>
      </w:r>
    </w:p>
    <w:p w14:paraId="37564C3A" w14:textId="77777777"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(2)須經事前審查核准後使用，核准後每18週須檢附療效評估資料再次申請，若疾病有惡化情形即不應再行申請，每位病人至多給付18個月為限。</w:t>
      </w:r>
    </w:p>
    <w:p w14:paraId="04B70BA4" w14:textId="77777777"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(3)下列Ｉ~Ⅱ使用於轉移性乳癌總療程合併計算，以全部18個月為上限：</w:t>
      </w:r>
    </w:p>
    <w:p w14:paraId="7D463963"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14:paraId="0A148E9E"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w:t>
      </w:r>
      <w:proofErr w:type="spellStart"/>
      <w:r>
        <w:rPr>
          <w:rFonts w:ascii="標楷體" w:eastAsia="標楷體" w:hAnsi="標楷體"/>
          <w:szCs w:val="24"/>
        </w:rPr>
        <w:t>pertuzumab</w:t>
      </w:r>
      <w:proofErr w:type="spellEnd"/>
      <w:r>
        <w:rPr>
          <w:rFonts w:ascii="標楷體" w:eastAsia="標楷體" w:hAnsi="標楷體"/>
          <w:szCs w:val="24"/>
        </w:rPr>
        <w:t>與trastuzumab併用</w:t>
      </w:r>
    </w:p>
    <w:p w14:paraId="51AFFC6B" w14:textId="77777777"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w:t>
      </w:r>
      <w:proofErr w:type="spellStart"/>
      <w:r>
        <w:rPr>
          <w:rFonts w:ascii="標楷體" w:eastAsia="標楷體" w:hAnsi="標楷體"/>
          <w:szCs w:val="24"/>
        </w:rPr>
        <w:t>pertuzumab</w:t>
      </w:r>
      <w:proofErr w:type="spellEnd"/>
      <w:r>
        <w:rPr>
          <w:rFonts w:ascii="標楷體" w:eastAsia="標楷體" w:hAnsi="標楷體"/>
          <w:szCs w:val="24"/>
        </w:rPr>
        <w:t>與trastuzumab併用者，不得再次申請本藥品，惟於早期乳癌治療結束至首次疾病復發轉移時間超過12個月以上者得再次申請。(113/12/1)</w:t>
      </w:r>
    </w:p>
    <w:p w14:paraId="6773777A"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 xml:space="preserve">9.113.Gemtuzumab </w:t>
      </w:r>
      <w:proofErr w:type="spellStart"/>
      <w:r>
        <w:rPr>
          <w:rFonts w:ascii="標楷體" w:eastAsia="標楷體" w:hAnsi="標楷體"/>
          <w:color w:val="000000"/>
        </w:rPr>
        <w:t>ozogamicin</w:t>
      </w:r>
      <w:proofErr w:type="spellEnd"/>
      <w:r>
        <w:rPr>
          <w:rFonts w:ascii="標楷體" w:eastAsia="標楷體" w:hAnsi="標楷體"/>
          <w:color w:val="000000"/>
        </w:rPr>
        <w:t>(如</w:t>
      </w:r>
      <w:proofErr w:type="spellStart"/>
      <w:r>
        <w:rPr>
          <w:rFonts w:ascii="標楷體" w:eastAsia="標楷體" w:hAnsi="標楷體"/>
          <w:color w:val="000000"/>
        </w:rPr>
        <w:t>Mylotarg</w:t>
      </w:r>
      <w:proofErr w:type="spellEnd"/>
      <w:r>
        <w:rPr>
          <w:rFonts w:ascii="標楷體" w:eastAsia="標楷體" w:hAnsi="標楷體"/>
          <w:color w:val="000000"/>
        </w:rPr>
        <w:t>)：(114/1/1)</w:t>
      </w:r>
    </w:p>
    <w:p w14:paraId="53BB5EA8"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14:paraId="562B3CFB" w14:textId="77777777"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14:paraId="53CF3CE1" w14:textId="77777777"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 xml:space="preserve">除急性前骨髓性細胞白血病(acute promyelocytic </w:t>
      </w:r>
      <w:proofErr w:type="spellStart"/>
      <w:r>
        <w:rPr>
          <w:rFonts w:ascii="標楷體" w:eastAsia="標楷體" w:hAnsi="標楷體"/>
          <w:color w:val="000000"/>
        </w:rPr>
        <w:t>leukemia,APL</w:t>
      </w:r>
      <w:proofErr w:type="spellEnd"/>
      <w:r>
        <w:rPr>
          <w:rFonts w:ascii="標楷體" w:eastAsia="標楷體" w:hAnsi="標楷體"/>
          <w:color w:val="000000"/>
        </w:rPr>
        <w:t>)病人。</w:t>
      </w:r>
    </w:p>
    <w:p w14:paraId="505F5975"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2.需經事前審查核准後使用，用於誘導期時，以1個療程(3次輸注)為限，並需合併標準3+7緩解誘導化療使用。</w:t>
      </w:r>
    </w:p>
    <w:p w14:paraId="74F7AF8C"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 xml:space="preserve">3.若病患疾病達到完全緩解(即CR 或 </w:t>
      </w:r>
      <w:proofErr w:type="spellStart"/>
      <w:r>
        <w:rPr>
          <w:rFonts w:ascii="標楷體" w:eastAsia="標楷體" w:hAnsi="標楷體"/>
          <w:color w:val="000000"/>
        </w:rPr>
        <w:t>CRi</w:t>
      </w:r>
      <w:proofErr w:type="spellEnd"/>
      <w:r>
        <w:rPr>
          <w:rFonts w:ascii="標楷體" w:eastAsia="標楷體" w:hAnsi="標楷體"/>
          <w:color w:val="000000"/>
        </w:rPr>
        <w:t>)，可續申請使用於鞏固治療期，每次申請以1個療程為限(1次輸注)，並最多給付2個鞏固治療療程(即2次輸注)。申請時需檢附前次治療結果評估資料證實無疾病惡化。</w:t>
      </w:r>
    </w:p>
    <w:p w14:paraId="5D168A17"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4.每人以給付5次輸注為上限。</w:t>
      </w:r>
    </w:p>
    <w:p w14:paraId="44BC747D" w14:textId="77777777" w:rsidR="00557419" w:rsidRPr="00AA26C9" w:rsidRDefault="00557419" w:rsidP="00557419">
      <w:pPr>
        <w:spacing w:line="400" w:lineRule="exact"/>
        <w:ind w:left="677" w:hangingChars="282" w:hanging="677"/>
        <w:rPr>
          <w:rFonts w:ascii="標楷體" w:eastAsia="標楷體" w:hAnsi="標楷體"/>
          <w:szCs w:val="24"/>
        </w:rPr>
      </w:pPr>
      <w:bookmarkStart w:id="48" w:name="_Hlk196225396"/>
      <w:r w:rsidRPr="00AA26C9">
        <w:rPr>
          <w:rFonts w:ascii="標楷體" w:eastAsia="標楷體" w:hAnsi="標楷體"/>
          <w:szCs w:val="24"/>
        </w:rPr>
        <w:t>9.114.Fedratinib (</w:t>
      </w:r>
      <w:r w:rsidRPr="00AA26C9">
        <w:rPr>
          <w:rFonts w:ascii="標楷體" w:eastAsia="標楷體" w:hAnsi="標楷體" w:hint="eastAsia"/>
          <w:szCs w:val="24"/>
        </w:rPr>
        <w:t>如</w:t>
      </w:r>
      <w:proofErr w:type="spellStart"/>
      <w:r w:rsidRPr="00AA26C9">
        <w:rPr>
          <w:rFonts w:ascii="標楷體" w:eastAsia="標楷體" w:hAnsi="標楷體"/>
          <w:szCs w:val="24"/>
        </w:rPr>
        <w:t>Inrebic</w:t>
      </w:r>
      <w:proofErr w:type="spellEnd"/>
      <w:r w:rsidRPr="00AA26C9">
        <w:rPr>
          <w:rFonts w:ascii="標楷體" w:eastAsia="標楷體" w:hAnsi="標楷體"/>
          <w:szCs w:val="24"/>
        </w:rPr>
        <w:t>)</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8"/>
    <w:p w14:paraId="0CCDBAFA" w14:textId="77777777"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proofErr w:type="spellStart"/>
      <w:r w:rsidRPr="00AA26C9">
        <w:rPr>
          <w:rFonts w:ascii="標楷體" w:eastAsia="標楷體" w:hAnsi="標楷體"/>
          <w:szCs w:val="24"/>
        </w:rPr>
        <w:t>ruxolitinib</w:t>
      </w:r>
      <w:proofErr w:type="spellEnd"/>
      <w:r w:rsidRPr="00AA26C9">
        <w:rPr>
          <w:rFonts w:ascii="標楷體" w:eastAsia="標楷體" w:hAnsi="標楷體"/>
          <w:szCs w:val="24"/>
        </w:rPr>
        <w:t xml:space="preserve">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lastRenderedPageBreak/>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14:paraId="4B8ABAF2"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14:paraId="2432C39C"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 xml:space="preserve">AML </w:t>
      </w:r>
      <w:proofErr w:type="spellStart"/>
      <w:r w:rsidRPr="00AA26C9">
        <w:rPr>
          <w:rFonts w:ascii="標楷體" w:eastAsia="標楷體" w:hAnsi="標楷體"/>
          <w:szCs w:val="24"/>
        </w:rPr>
        <w:t>tranformation</w:t>
      </w:r>
      <w:proofErr w:type="spellEnd"/>
      <w:r w:rsidRPr="00AA26C9">
        <w:rPr>
          <w:rFonts w:ascii="標楷體" w:eastAsia="標楷體" w:hAnsi="標楷體" w:hint="eastAsia"/>
          <w:szCs w:val="24"/>
        </w:rPr>
        <w:t>，方得以繼續使用。分別定義如下：</w:t>
      </w:r>
    </w:p>
    <w:p w14:paraId="4A870E83"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14:paraId="3A44A56F"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14:paraId="768B781A"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14:paraId="5F8B630C"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14:paraId="0163A8E4"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未超過治療前的基準值。</w:t>
      </w:r>
    </w:p>
    <w:p w14:paraId="6752EB06"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14:paraId="730F27DC"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14:paraId="277910B2" w14:textId="77777777"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proofErr w:type="spellStart"/>
      <w:r w:rsidRPr="00AA26C9">
        <w:rPr>
          <w:rFonts w:ascii="標楷體" w:eastAsia="標楷體" w:hAnsi="標楷體"/>
          <w:szCs w:val="24"/>
        </w:rPr>
        <w:t>ruxolitinib</w:t>
      </w:r>
      <w:proofErr w:type="spellEnd"/>
      <w:r w:rsidRPr="00AA26C9">
        <w:rPr>
          <w:rFonts w:ascii="標楷體" w:eastAsia="標楷體" w:hAnsi="標楷體" w:hint="eastAsia"/>
          <w:szCs w:val="24"/>
          <w:u w:val="single"/>
        </w:rPr>
        <w:t>、</w:t>
      </w:r>
      <w:proofErr w:type="spellStart"/>
      <w:r w:rsidRPr="00AA26C9">
        <w:rPr>
          <w:rFonts w:ascii="標楷體" w:eastAsia="標楷體" w:hAnsi="標楷體"/>
          <w:szCs w:val="24"/>
          <w:u w:val="single"/>
        </w:rPr>
        <w:t>momelotinib</w:t>
      </w:r>
      <w:proofErr w:type="spellEnd"/>
      <w:r w:rsidRPr="00AA26C9">
        <w:rPr>
          <w:rFonts w:ascii="標楷體" w:eastAsia="標楷體" w:hAnsi="標楷體" w:hint="eastAsia"/>
          <w:szCs w:val="24"/>
        </w:rPr>
        <w:t>用於中度風險或高風險之骨髓纖維化治療時，僅得擇一給付。</w:t>
      </w:r>
      <w:proofErr w:type="spellStart"/>
      <w:r w:rsidRPr="00AA26C9">
        <w:rPr>
          <w:rFonts w:ascii="標楷體" w:eastAsia="標楷體" w:hAnsi="標楷體" w:hint="eastAsia"/>
          <w:szCs w:val="24"/>
        </w:rPr>
        <w:t>r</w:t>
      </w:r>
      <w:r w:rsidRPr="00AA26C9">
        <w:rPr>
          <w:rFonts w:ascii="標楷體" w:eastAsia="標楷體" w:hAnsi="標楷體"/>
          <w:szCs w:val="24"/>
        </w:rPr>
        <w:t>uxolitinib</w:t>
      </w:r>
      <w:proofErr w:type="spellEnd"/>
      <w:r w:rsidRPr="00AA26C9">
        <w:rPr>
          <w:rFonts w:ascii="標楷體" w:eastAsia="標楷體" w:hAnsi="標楷體" w:hint="eastAsia"/>
          <w:szCs w:val="24"/>
          <w:u w:val="single"/>
        </w:rPr>
        <w:t>、</w:t>
      </w:r>
      <w:proofErr w:type="spellStart"/>
      <w:r w:rsidRPr="00AA26C9">
        <w:rPr>
          <w:rFonts w:ascii="標楷體" w:eastAsia="標楷體" w:hAnsi="標楷體"/>
          <w:szCs w:val="24"/>
          <w:u w:val="single"/>
        </w:rPr>
        <w:t>momelotinib</w:t>
      </w:r>
      <w:proofErr w:type="spellEnd"/>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14:paraId="6A82342F" w14:textId="77777777" w:rsidR="00B96EA0" w:rsidRDefault="007D66B8" w:rsidP="005142EB">
      <w:pPr>
        <w:spacing w:line="400" w:lineRule="exact"/>
        <w:rPr>
          <w:rFonts w:ascii="標楷體" w:eastAsia="標楷體" w:hAnsi="標楷體"/>
          <w:szCs w:val="28"/>
        </w:rPr>
      </w:pPr>
      <w:r>
        <w:rPr>
          <w:rFonts w:ascii="標楷體" w:eastAsia="標楷體" w:hAnsi="標楷體"/>
          <w:szCs w:val="28"/>
        </w:rPr>
        <w:t xml:space="preserve">9.115.Trastuzumab </w:t>
      </w:r>
      <w:proofErr w:type="spellStart"/>
      <w:r>
        <w:rPr>
          <w:rFonts w:ascii="標楷體" w:eastAsia="標楷體" w:hAnsi="標楷體"/>
          <w:szCs w:val="28"/>
        </w:rPr>
        <w:t>deruxtecan</w:t>
      </w:r>
      <w:proofErr w:type="spellEnd"/>
      <w:r>
        <w:rPr>
          <w:rFonts w:ascii="標楷體" w:eastAsia="標楷體" w:hAnsi="標楷體"/>
          <w:szCs w:val="28"/>
        </w:rPr>
        <w:t xml:space="preserve"> (如</w:t>
      </w:r>
      <w:proofErr w:type="spellStart"/>
      <w:r>
        <w:rPr>
          <w:rFonts w:ascii="標楷體" w:eastAsia="標楷體" w:hAnsi="標楷體"/>
          <w:szCs w:val="28"/>
        </w:rPr>
        <w:t>Enhertu</w:t>
      </w:r>
      <w:proofErr w:type="spellEnd"/>
      <w:r>
        <w:rPr>
          <w:rFonts w:ascii="標楷體" w:eastAsia="標楷體" w:hAnsi="標楷體"/>
          <w:szCs w:val="28"/>
        </w:rPr>
        <w:t>)：(114/2/1)</w:t>
      </w:r>
    </w:p>
    <w:p w14:paraId="2018DFC5" w14:textId="77777777"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14:paraId="754D433B" w14:textId="77777777"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w:t>
      </w:r>
      <w:proofErr w:type="spellStart"/>
      <w:r>
        <w:rPr>
          <w:rFonts w:ascii="標楷體" w:eastAsia="標楷體" w:hAnsi="標楷體"/>
          <w:color w:val="000000"/>
        </w:rPr>
        <w:t>taxane</w:t>
      </w:r>
      <w:proofErr w:type="spellEnd"/>
      <w:r>
        <w:rPr>
          <w:rFonts w:ascii="標楷體" w:eastAsia="標楷體" w:hAnsi="標楷體"/>
          <w:color w:val="000000"/>
        </w:rPr>
        <w:t xml:space="preserve"> 藥物治療，或其合併療法，或</w:t>
      </w:r>
      <w:proofErr w:type="spellStart"/>
      <w:r>
        <w:rPr>
          <w:rFonts w:ascii="標楷體" w:eastAsia="標楷體" w:hAnsi="標楷體"/>
          <w:color w:val="000000"/>
        </w:rPr>
        <w:t>pertuzumab</w:t>
      </w:r>
      <w:proofErr w:type="spellEnd"/>
      <w:r>
        <w:rPr>
          <w:rFonts w:ascii="標楷體" w:eastAsia="標楷體" w:hAnsi="標楷體"/>
          <w:color w:val="000000"/>
        </w:rPr>
        <w:t xml:space="preserve"> 與trastuzumab 與一種</w:t>
      </w:r>
      <w:proofErr w:type="spellStart"/>
      <w:r>
        <w:rPr>
          <w:rFonts w:ascii="標楷體" w:eastAsia="標楷體" w:hAnsi="標楷體"/>
          <w:color w:val="000000"/>
        </w:rPr>
        <w:t>taxane</w:t>
      </w:r>
      <w:proofErr w:type="spellEnd"/>
      <w:r>
        <w:rPr>
          <w:rFonts w:ascii="標楷體" w:eastAsia="標楷體" w:hAnsi="標楷體"/>
          <w:color w:val="000000"/>
        </w:rPr>
        <w:t>藥物治療。</w:t>
      </w:r>
    </w:p>
    <w:p w14:paraId="30193741"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(2)之前已經接受過轉移性癌症治療，或在輔助療法治療期間或完成治療後6 個月內癌症復發。</w:t>
      </w:r>
    </w:p>
    <w:p w14:paraId="5269862A"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14:paraId="354CD306"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(4)須經事前審查核准後使用，核准後每12週須檢附療效評估資料再次申請，若疾病有惡化情形即不應再行申請，每位病人至多給付18個療程為上限。</w:t>
      </w:r>
    </w:p>
    <w:p w14:paraId="5F4857E2"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(5)Trastuzumab </w:t>
      </w:r>
      <w:proofErr w:type="spellStart"/>
      <w:r>
        <w:rPr>
          <w:rFonts w:ascii="標楷體" w:eastAsia="標楷體" w:hAnsi="標楷體"/>
          <w:color w:val="000000"/>
        </w:rPr>
        <w:t>deruxtecan</w:t>
      </w:r>
      <w:proofErr w:type="spellEnd"/>
      <w:r>
        <w:rPr>
          <w:rFonts w:ascii="標楷體" w:eastAsia="標楷體" w:hAnsi="標楷體"/>
          <w:color w:val="000000"/>
        </w:rPr>
        <w:t>、trastuzumab emtansine 和lapatinib 僅能擇一給付，</w:t>
      </w:r>
      <w:r>
        <w:rPr>
          <w:rFonts w:ascii="標楷體" w:eastAsia="標楷體" w:hAnsi="標楷體"/>
          <w:color w:val="000000"/>
        </w:rPr>
        <w:lastRenderedPageBreak/>
        <w:t>不得互換。</w:t>
      </w:r>
    </w:p>
    <w:p w14:paraId="7560569C"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14:paraId="0BE792E4"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(1)病人身體狀況良好（ECOG≦1）。</w:t>
      </w:r>
    </w:p>
    <w:p w14:paraId="4DFADDD0"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14:paraId="2C1C5C1D"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(3)須經事前審查核准後使用，每次申請之療程以12週為限，初次申請時需檢附ER、PR皆為陰性且HER2弱陽性(IHC1+或IHC2+/ISH-)之檢測報告。</w:t>
      </w:r>
    </w:p>
    <w:p w14:paraId="57069F6C"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(4)再次申請必須提出客觀證據（如：影像學）證實無惡化，才可繼續使用。</w:t>
      </w:r>
    </w:p>
    <w:p w14:paraId="341ED8BD"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 xml:space="preserve">(5)Trastuzumab </w:t>
      </w:r>
      <w:proofErr w:type="spellStart"/>
      <w:r>
        <w:rPr>
          <w:rFonts w:ascii="標楷體" w:eastAsia="標楷體" w:hAnsi="標楷體"/>
          <w:szCs w:val="28"/>
        </w:rPr>
        <w:t>deruxtecan</w:t>
      </w:r>
      <w:proofErr w:type="spellEnd"/>
      <w:r>
        <w:rPr>
          <w:rFonts w:ascii="標楷體" w:eastAsia="標楷體" w:hAnsi="標楷體"/>
          <w:szCs w:val="28"/>
        </w:rPr>
        <w:t>和</w:t>
      </w:r>
      <w:proofErr w:type="spellStart"/>
      <w:r>
        <w:rPr>
          <w:rFonts w:ascii="標楷體" w:eastAsia="標楷體" w:hAnsi="標楷體"/>
          <w:szCs w:val="28"/>
        </w:rPr>
        <w:t>sacituzumab</w:t>
      </w:r>
      <w:proofErr w:type="spellEnd"/>
      <w:r>
        <w:rPr>
          <w:rFonts w:ascii="標楷體" w:eastAsia="標楷體" w:hAnsi="標楷體"/>
          <w:szCs w:val="28"/>
        </w:rPr>
        <w:t xml:space="preserve"> </w:t>
      </w:r>
      <w:proofErr w:type="spellStart"/>
      <w:r>
        <w:rPr>
          <w:rFonts w:ascii="標楷體" w:eastAsia="標楷體" w:hAnsi="標楷體"/>
          <w:szCs w:val="28"/>
        </w:rPr>
        <w:t>govitecan</w:t>
      </w:r>
      <w:proofErr w:type="spellEnd"/>
      <w:r>
        <w:rPr>
          <w:rFonts w:ascii="標楷體" w:eastAsia="標楷體" w:hAnsi="標楷體"/>
          <w:szCs w:val="28"/>
        </w:rPr>
        <w:t>僅能擇一給付，不得互換。</w:t>
      </w:r>
    </w:p>
    <w:p w14:paraId="1E6D90B8"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14:paraId="6C55B650" w14:textId="77777777" w:rsidR="00B96EA0" w:rsidRDefault="007D66B8" w:rsidP="005142EB">
      <w:pPr>
        <w:spacing w:line="400" w:lineRule="exact"/>
      </w:pPr>
      <w:r>
        <w:rPr>
          <w:rFonts w:ascii="標楷體" w:eastAsia="標楷體" w:hAnsi="標楷體"/>
          <w:szCs w:val="28"/>
        </w:rPr>
        <w:t>9.116.Selumetinib (如</w:t>
      </w:r>
      <w:proofErr w:type="spellStart"/>
      <w:r>
        <w:rPr>
          <w:rFonts w:ascii="標楷體" w:eastAsia="標楷體" w:hAnsi="標楷體"/>
          <w:szCs w:val="28"/>
        </w:rPr>
        <w:t>Koselugo</w:t>
      </w:r>
      <w:proofErr w:type="spellEnd"/>
      <w:r>
        <w:rPr>
          <w:rFonts w:ascii="標楷體" w:eastAsia="標楷體" w:hAnsi="標楷體"/>
          <w:szCs w:val="28"/>
        </w:rPr>
        <w:t>)：(114/2/1)</w:t>
      </w:r>
    </w:p>
    <w:p w14:paraId="2F40023D" w14:textId="77777777"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合併有叢狀神經纖維瘤（plexiform neurofibroma，PN）之兒童病人，且同時符合下列情形：</w:t>
      </w:r>
    </w:p>
    <w:p w14:paraId="45A2BCA5" w14:textId="77777777"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14:paraId="0F2BE1A8" w14:textId="77777777" w:rsidR="00B96EA0" w:rsidRDefault="007D66B8" w:rsidP="005142EB">
      <w:pPr>
        <w:tabs>
          <w:tab w:val="left" w:pos="1185"/>
        </w:tabs>
        <w:spacing w:line="400" w:lineRule="exact"/>
        <w:ind w:left="1051" w:hanging="245"/>
        <w:jc w:val="both"/>
      </w:pPr>
      <w:r>
        <w:rPr>
          <w:rFonts w:ascii="標楷體" w:eastAsia="標楷體" w:hAnsi="標楷體"/>
          <w:szCs w:val="28"/>
        </w:rPr>
        <w:t>(2)具有症狀</w:t>
      </w:r>
      <w:r>
        <w:rPr>
          <w:rFonts w:ascii="標楷體" w:eastAsia="標楷體" w:hAnsi="標楷體"/>
          <w:szCs w:val="24"/>
        </w:rPr>
        <w:t>且嚴重的PN。</w:t>
      </w:r>
    </w:p>
    <w:p w14:paraId="217CAA19"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2.無法以手術切除的定義為：</w:t>
      </w:r>
    </w:p>
    <w:p w14:paraId="4696402C" w14:textId="77777777"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14:paraId="0D28AF94" w14:textId="77777777"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14:paraId="6CE48134"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侵襲性，或具高度血管分布，易導致術後大量出血、神經損傷或其他嚴重併發症者。</w:t>
      </w:r>
    </w:p>
    <w:p w14:paraId="153D89D3" w14:textId="77777777" w:rsidR="00B96EA0" w:rsidRDefault="007D66B8" w:rsidP="005142EB">
      <w:pPr>
        <w:tabs>
          <w:tab w:val="left" w:pos="1185"/>
        </w:tabs>
        <w:spacing w:line="400" w:lineRule="exact"/>
        <w:ind w:left="1051" w:hanging="245"/>
        <w:jc w:val="both"/>
      </w:pPr>
      <w:r>
        <w:rPr>
          <w:rFonts w:ascii="標楷體" w:eastAsia="標楷體" w:hAnsi="標楷體"/>
          <w:szCs w:val="24"/>
        </w:rPr>
        <w:t>(2)需</w:t>
      </w:r>
      <w:r>
        <w:rPr>
          <w:rFonts w:ascii="標楷體" w:eastAsia="標楷體" w:hAnsi="標楷體"/>
          <w:szCs w:val="28"/>
        </w:rPr>
        <w:t>檢附經專科醫師評估後具名之手術風險評估報告。</w:t>
      </w:r>
    </w:p>
    <w:p w14:paraId="74DD26B6" w14:textId="77777777"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14:paraId="632303C2"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3.具有症狀且嚴重的PN定義為因PN引起的嚴重症狀，且符合下列情況之一者：</w:t>
      </w:r>
    </w:p>
    <w:p w14:paraId="51541C31" w14:textId="77777777"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壓迫導致之中度至嚴重的疼痛，需檢附疼痛評估報告(pain scale score需</w:t>
      </w:r>
      <w:r>
        <w:rPr>
          <w:rFonts w:ascii="標楷體" w:eastAsia="標楷體" w:hAnsi="標楷體" w:cs="新細明體"/>
          <w:szCs w:val="24"/>
        </w:rPr>
        <w:t>≧</w:t>
      </w:r>
      <w:r>
        <w:rPr>
          <w:rFonts w:ascii="標楷體" w:eastAsia="標楷體" w:hAnsi="標楷體"/>
          <w:szCs w:val="24"/>
        </w:rPr>
        <w:t>7)。</w:t>
      </w:r>
    </w:p>
    <w:p w14:paraId="22CA612A" w14:textId="77777777"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臟器、呼吸道、大血管或顱、脊椎、臂叢、腰叢區域神經等部位，以致影響器官功能或功能受損（如視力受損、聽力受損、下半身偏癱、大小便失禁等）。需檢附相關功能受損之評估檢驗報告。</w:t>
      </w:r>
    </w:p>
    <w:p w14:paraId="48FE482C" w14:textId="77777777"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14:paraId="5E239780" w14:textId="77777777"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w:t>
      </w:r>
      <w:r>
        <w:rPr>
          <w:rFonts w:ascii="標楷體" w:eastAsia="標楷體" w:hAnsi="標楷體"/>
          <w:szCs w:val="28"/>
        </w:rPr>
        <w:lastRenderedPageBreak/>
        <w:t>增加</w:t>
      </w:r>
      <w:r>
        <w:rPr>
          <w:rFonts w:ascii="Times New Roman" w:eastAsia="標楷體" w:hAnsi="Times New Roman"/>
          <w:szCs w:val="28"/>
        </w:rPr>
        <w:t>≥</w:t>
      </w:r>
      <w:r>
        <w:rPr>
          <w:rFonts w:ascii="標楷體" w:eastAsia="標楷體" w:hAnsi="標楷體"/>
          <w:szCs w:val="28"/>
        </w:rPr>
        <w:t>20%，或有新PN出現)。</w:t>
      </w:r>
    </w:p>
    <w:p w14:paraId="1677E956"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14:paraId="113F47EF"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14:paraId="43B75E70" w14:textId="77777777"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14:paraId="6CAEB485"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14:paraId="05503740" w14:textId="77777777"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w:t>
      </w:r>
      <w:proofErr w:type="spellStart"/>
      <w:r>
        <w:rPr>
          <w:rFonts w:ascii="標楷體" w:eastAsia="標楷體" w:hAnsi="標楷體"/>
          <w:color w:val="000000"/>
        </w:rPr>
        <w:t>Xpovio</w:t>
      </w:r>
      <w:proofErr w:type="spellEnd"/>
      <w:r>
        <w:rPr>
          <w:rFonts w:ascii="標楷體" w:eastAsia="標楷體" w:hAnsi="標楷體"/>
          <w:color w:val="000000"/>
        </w:rPr>
        <w:t>)：(114/3/1)</w:t>
      </w:r>
    </w:p>
    <w:p w14:paraId="71643923" w14:textId="77777777"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14:paraId="2CF0D7F8" w14:textId="77777777"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14:paraId="2E9A206F" w14:textId="77777777"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申請以4個療程(每療程為5週)為限，且需同時符合下列Ⅰ.與Ⅱ.的條件：</w:t>
      </w:r>
    </w:p>
    <w:p w14:paraId="69DB05E8"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下列任一疾病惡化的指標：病患開始治療前須在連續2次評估中均符合同一指標(但若為</w:t>
      </w:r>
      <w:proofErr w:type="spellStart"/>
      <w:r>
        <w:rPr>
          <w:rFonts w:ascii="標楷體" w:eastAsia="標楷體" w:hAnsi="標楷體"/>
          <w:color w:val="000000"/>
        </w:rPr>
        <w:t>plamacytoma</w:t>
      </w:r>
      <w:proofErr w:type="spellEnd"/>
      <w:r>
        <w:rPr>
          <w:rFonts w:ascii="標楷體" w:eastAsia="標楷體" w:hAnsi="標楷體"/>
          <w:color w:val="000000"/>
        </w:rPr>
        <w:t>體積增加，或是新產生的bone lesion(s)或新plasmacytoma，則僅需1次評估)：</w:t>
      </w:r>
    </w:p>
    <w:p w14:paraId="127E8F58"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.若前一線治療中M component最低值≧5g/dL，血清M蛋白需增加≧1g/dL；若前一線治療中M component最低值＜5g/dL，血清M蛋白需增加≧0.5g/dL。</w:t>
      </w:r>
    </w:p>
    <w:p w14:paraId="1C4DD253"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ii.Urine</w:t>
      </w:r>
      <w:proofErr w:type="spellEnd"/>
      <w:r>
        <w:rPr>
          <w:rFonts w:ascii="標楷體" w:eastAsia="標楷體" w:hAnsi="標楷體"/>
          <w:color w:val="000000"/>
        </w:rPr>
        <w:t xml:space="preserve"> M-protein需增加≧0.2gm/24Hr，且需較前一線治療中的最低值增加≧25%。</w:t>
      </w:r>
    </w:p>
    <w:p w14:paraId="708A8C32"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myeloma病患，骨髓漿細胞(</w:t>
      </w:r>
      <w:proofErr w:type="spellStart"/>
      <w:r>
        <w:rPr>
          <w:rFonts w:ascii="標楷體" w:eastAsia="標楷體" w:hAnsi="標楷體"/>
          <w:color w:val="000000"/>
        </w:rPr>
        <w:t>plasmacells</w:t>
      </w:r>
      <w:proofErr w:type="spellEnd"/>
      <w:r>
        <w:rPr>
          <w:rFonts w:ascii="標楷體" w:eastAsia="標楷體" w:hAnsi="標楷體"/>
          <w:color w:val="000000"/>
        </w:rPr>
        <w:t>)之比例絕對值增加≧10%，且需較前一線治療中的最低值增加≧25%。</w:t>
      </w:r>
    </w:p>
    <w:p w14:paraId="0E315666"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14:paraId="15CC40D4"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v.Plasmacytoma</w:t>
      </w:r>
      <w:proofErr w:type="spellEnd"/>
      <w:r>
        <w:rPr>
          <w:rFonts w:ascii="標楷體" w:eastAsia="標楷體" w:hAnsi="標楷體"/>
          <w:color w:val="000000"/>
        </w:rPr>
        <w:t>體積增加≧50%。</w:t>
      </w:r>
    </w:p>
    <w:p w14:paraId="57DFBA37"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3CF7A879"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II.出現下列任一臨床症狀：</w:t>
      </w:r>
    </w:p>
    <w:p w14:paraId="0406F14B"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.新產生的bone lesion(s)或plasmacytoma；且須經病理切片證實。</w:t>
      </w:r>
    </w:p>
    <w:p w14:paraId="19637ABA"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ii.Plasmacytoma</w:t>
      </w:r>
      <w:proofErr w:type="spellEnd"/>
      <w:r>
        <w:rPr>
          <w:rFonts w:ascii="標楷體" w:eastAsia="標楷體" w:hAnsi="標楷體"/>
          <w:color w:val="000000"/>
        </w:rPr>
        <w:t>體積增加≧50%。</w:t>
      </w:r>
    </w:p>
    <w:p w14:paraId="1867F90E"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 xml:space="preserve">iii.高血鈣(corrected </w:t>
      </w:r>
      <w:proofErr w:type="spellStart"/>
      <w:r>
        <w:rPr>
          <w:rFonts w:ascii="標楷體" w:eastAsia="標楷體" w:hAnsi="標楷體"/>
          <w:color w:val="000000"/>
        </w:rPr>
        <w:t>serumcalcium</w:t>
      </w:r>
      <w:proofErr w:type="spellEnd"/>
      <w:r>
        <w:rPr>
          <w:rFonts w:ascii="標楷體" w:eastAsia="標楷體" w:hAnsi="標楷體"/>
          <w:color w:val="000000"/>
        </w:rPr>
        <w:t>＞11.0mg/dL或2.75mmol/L)。</w:t>
      </w:r>
    </w:p>
    <w:p w14:paraId="67CA4C80"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iv.貧血(Hemoglobin下降幅度≧2gm/dL且無其他原因可以解釋)。</w:t>
      </w:r>
    </w:p>
    <w:p w14:paraId="56E5B01A"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v.腎功能惡化(eGFR需下降幅度≧25%)，且無其他原因可以解釋。</w:t>
      </w:r>
    </w:p>
    <w:p w14:paraId="44A1BAF9"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14:paraId="0B8EC105" w14:textId="77777777"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14:paraId="7E8F9921" w14:textId="77777777"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14:paraId="65F28FA8" w14:textId="77777777" w:rsidR="000C7C60" w:rsidRDefault="000C7C60" w:rsidP="000C7C60">
      <w:pPr>
        <w:spacing w:line="400" w:lineRule="exact"/>
        <w:ind w:left="280" w:hanging="280"/>
        <w:rPr>
          <w:rFonts w:ascii="標楷體" w:eastAsia="標楷體" w:hAnsi="標楷體"/>
          <w:szCs w:val="24"/>
        </w:rPr>
      </w:pPr>
      <w:bookmarkStart w:id="49"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w:t>
      </w:r>
      <w:proofErr w:type="spellStart"/>
      <w:r w:rsidRPr="000C7C60">
        <w:rPr>
          <w:rFonts w:ascii="標楷體" w:eastAsia="標楷體" w:hAnsi="標楷體"/>
          <w:szCs w:val="24"/>
        </w:rPr>
        <w:t>Elrexfio</w:t>
      </w:r>
      <w:proofErr w:type="spellEnd"/>
      <w:r w:rsidRPr="000C7C60">
        <w:rPr>
          <w:rFonts w:ascii="標楷體" w:eastAsia="標楷體" w:hAnsi="標楷體"/>
          <w:szCs w:val="24"/>
        </w:rPr>
        <w:t>)：(114/5/1</w:t>
      </w:r>
      <w:r w:rsidRPr="000C7C60">
        <w:rPr>
          <w:rFonts w:ascii="標楷體" w:eastAsia="標楷體" w:hAnsi="標楷體" w:hint="eastAsia"/>
          <w:szCs w:val="24"/>
        </w:rPr>
        <w:t>、114/8/1</w:t>
      </w:r>
      <w:r w:rsidRPr="000C7C60">
        <w:rPr>
          <w:rFonts w:ascii="標楷體" w:eastAsia="標楷體" w:hAnsi="標楷體"/>
          <w:szCs w:val="24"/>
        </w:rPr>
        <w:t>)</w:t>
      </w:r>
    </w:p>
    <w:p w14:paraId="257E05DC" w14:textId="77777777"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lastRenderedPageBreak/>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14:paraId="6EB39CFD"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14:paraId="7B9A8E77" w14:textId="77777777"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(1)首次申請為13次輸注，且需同時符合下列Ⅰ.與Ⅱ.的條件：</w:t>
      </w:r>
    </w:p>
    <w:p w14:paraId="73587578" w14:textId="77777777"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I.具有下列任一疾病惡化的指標：病人開始治療前須在連續2次評估中均符合同一指標 (但若為</w:t>
      </w:r>
      <w:proofErr w:type="spellStart"/>
      <w:r w:rsidRPr="000C7C60">
        <w:rPr>
          <w:rFonts w:ascii="標楷體" w:eastAsia="標楷體" w:hAnsi="標楷體"/>
          <w:szCs w:val="24"/>
        </w:rPr>
        <w:t>plamacytoma</w:t>
      </w:r>
      <w:proofErr w:type="spellEnd"/>
      <w:r w:rsidRPr="000C7C60">
        <w:rPr>
          <w:rFonts w:ascii="標楷體" w:eastAsia="標楷體" w:hAnsi="標楷體"/>
          <w:szCs w:val="24"/>
        </w:rPr>
        <w:t xml:space="preserve"> 體積增加，或是新產生的bone lesion(s)或新plasmacytoma，則僅需1次評估)：</w:t>
      </w:r>
    </w:p>
    <w:p w14:paraId="239F81BE"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w:t>
      </w:r>
      <w:proofErr w:type="spellEnd"/>
      <w:r w:rsidRPr="000C7C60">
        <w:rPr>
          <w:rFonts w:ascii="標楷體" w:eastAsia="標楷體" w:hAnsi="標楷體"/>
          <w:szCs w:val="24"/>
        </w:rPr>
        <w:t>.若前一線治療中M component 最低值≧5 g/dL，血清M蛋白需增加≧1 g/dL；若前一線治療中M component 最低值＜5 g/dL，血清M蛋白需增加≧0.5g/dL。</w:t>
      </w:r>
    </w:p>
    <w:p w14:paraId="39412752"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ii.Urine</w:t>
      </w:r>
      <w:proofErr w:type="spellEnd"/>
      <w:r w:rsidRPr="000C7C60">
        <w:rPr>
          <w:rFonts w:ascii="標楷體" w:eastAsia="標楷體" w:hAnsi="標楷體"/>
          <w:szCs w:val="24"/>
        </w:rPr>
        <w:t xml:space="preserve"> M-protein需增加≧0.2 gm/24Hr，且需較前一線治療中的最低值增加≧25%。</w:t>
      </w:r>
    </w:p>
    <w:p w14:paraId="138E51B4"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iii.在non-secretary myeloma病人，骨髓漿細胞 (plasma cells)之比例絕對值增加≧10%，且需較前一線治療中的最低值增加≧25%。</w:t>
      </w:r>
    </w:p>
    <w:p w14:paraId="55E122DB"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14:paraId="39031BCD"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v.Plasmacytoma</w:t>
      </w:r>
      <w:proofErr w:type="spellEnd"/>
      <w:r w:rsidRPr="000C7C60">
        <w:rPr>
          <w:rFonts w:ascii="標楷體" w:eastAsia="標楷體" w:hAnsi="標楷體"/>
          <w:szCs w:val="24"/>
        </w:rPr>
        <w:t>體積增加≧50%。</w:t>
      </w:r>
    </w:p>
    <w:p w14:paraId="474E650F"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vi.周邊血液中漿細胞比例≧20%或漿細胞絕對值≧2000 cells/</w:t>
      </w:r>
      <w:proofErr w:type="spellStart"/>
      <w:r w:rsidRPr="000C7C60">
        <w:rPr>
          <w:rFonts w:ascii="標楷體" w:eastAsia="標楷體" w:hAnsi="標楷體"/>
          <w:szCs w:val="24"/>
        </w:rPr>
        <w:t>μL</w:t>
      </w:r>
      <w:proofErr w:type="spellEnd"/>
      <w:r w:rsidRPr="000C7C60">
        <w:rPr>
          <w:rFonts w:ascii="標楷體" w:eastAsia="標楷體" w:hAnsi="標楷體"/>
          <w:szCs w:val="24"/>
        </w:rPr>
        <w:t>。</w:t>
      </w:r>
    </w:p>
    <w:p w14:paraId="2587C545" w14:textId="77777777"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II.出現下列任一臨床症狀：</w:t>
      </w:r>
    </w:p>
    <w:p w14:paraId="64A7B338"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w:t>
      </w:r>
      <w:proofErr w:type="spellEnd"/>
      <w:r w:rsidRPr="000C7C60">
        <w:rPr>
          <w:rFonts w:ascii="標楷體" w:eastAsia="標楷體" w:hAnsi="標楷體"/>
          <w:szCs w:val="24"/>
        </w:rPr>
        <w:t>.新產生的bone lesion(s)或plasmacytoma，且須經病理切片證實。</w:t>
      </w:r>
    </w:p>
    <w:p w14:paraId="10934C4E"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ii.Plasmacytoma</w:t>
      </w:r>
      <w:proofErr w:type="spellEnd"/>
      <w:r w:rsidRPr="000C7C60">
        <w:rPr>
          <w:rFonts w:ascii="標楷體" w:eastAsia="標楷體" w:hAnsi="標楷體"/>
          <w:szCs w:val="24"/>
        </w:rPr>
        <w:t xml:space="preserve"> 體積增加≧50%。</w:t>
      </w:r>
    </w:p>
    <w:p w14:paraId="7DE30175"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iii.高血鈣(corrected serum calcium＞11.0 mg/dL或2.75 mmol/L)。</w:t>
      </w:r>
    </w:p>
    <w:p w14:paraId="08BBDD65"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 2gm/dL 且無其他原因可以解釋)。</w:t>
      </w:r>
    </w:p>
    <w:p w14:paraId="2A2910C8"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v.腎功能惡化(eGFR下降幅度≧25%)，且無其他原因可以解釋。</w:t>
      </w:r>
    </w:p>
    <w:p w14:paraId="04759F21"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14:paraId="2F6659A1"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為療效依據，方可繼續使用。續用申請每次以13次輸注為限。</w:t>
      </w:r>
    </w:p>
    <w:p w14:paraId="04894883"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3.每位病人終生限給付39次輸注。</w:t>
      </w:r>
    </w:p>
    <w:p w14:paraId="21AF86F5"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14:paraId="65D935C6"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醫師必須為血液病或造血幹細胞移植專科醫師且須完成血液病和造血幹細胞移植的相關照護訓練。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14:paraId="58F0E5CA"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14:paraId="2CAC4FB3" w14:textId="77777777" w:rsidR="00B96EA0" w:rsidRDefault="000C7C60" w:rsidP="00617D60">
      <w:pPr>
        <w:spacing w:line="400" w:lineRule="exact"/>
        <w:ind w:left="567" w:hanging="283"/>
      </w:pPr>
      <w:r w:rsidRPr="000C7C60">
        <w:rPr>
          <w:rFonts w:ascii="標楷體" w:eastAsia="標楷體" w:hAnsi="標楷體"/>
          <w:szCs w:val="24"/>
        </w:rPr>
        <w:t>5.Elranatamab與</w:t>
      </w:r>
      <w:proofErr w:type="spellStart"/>
      <w:r w:rsidRPr="000C7C60">
        <w:rPr>
          <w:rFonts w:ascii="標楷體" w:eastAsia="標楷體" w:hAnsi="標楷體"/>
          <w:szCs w:val="24"/>
        </w:rPr>
        <w:t>teclistamab</w:t>
      </w:r>
      <w:proofErr w:type="spellEnd"/>
      <w:r w:rsidRPr="000C7C60">
        <w:rPr>
          <w:rFonts w:ascii="標楷體" w:eastAsia="標楷體" w:hAnsi="標楷體"/>
          <w:szCs w:val="24"/>
        </w:rPr>
        <w:t>僅能擇一給付，除因耐受性不良，不得互換。二者使用總療程合併計算，以全部39次輸注為上限。</w:t>
      </w:r>
    </w:p>
    <w:bookmarkEnd w:id="49"/>
    <w:p w14:paraId="697A4D48" w14:textId="77777777"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lastRenderedPageBreak/>
        <w:t xml:space="preserve">9.119. </w:t>
      </w:r>
      <w:proofErr w:type="spellStart"/>
      <w:r w:rsidRPr="00EA4516">
        <w:rPr>
          <w:rFonts w:ascii="標楷體" w:eastAsia="標楷體" w:hAnsi="標楷體"/>
          <w:szCs w:val="24"/>
        </w:rPr>
        <w:t>Teclistamab</w:t>
      </w:r>
      <w:proofErr w:type="spellEnd"/>
      <w:r w:rsidRPr="00EA4516">
        <w:rPr>
          <w:rFonts w:ascii="標楷體" w:eastAsia="標楷體" w:hAnsi="標楷體"/>
          <w:szCs w:val="24"/>
        </w:rPr>
        <w:t xml:space="preserve"> (如</w:t>
      </w:r>
      <w:proofErr w:type="spellStart"/>
      <w:r w:rsidRPr="00EA4516">
        <w:rPr>
          <w:rFonts w:ascii="標楷體" w:eastAsia="標楷體" w:hAnsi="標楷體"/>
          <w:szCs w:val="24"/>
        </w:rPr>
        <w:t>Tecvayli</w:t>
      </w:r>
      <w:proofErr w:type="spellEnd"/>
      <w:r w:rsidRPr="00EA4516">
        <w:rPr>
          <w:rFonts w:ascii="標楷體" w:eastAsia="標楷體" w:hAnsi="標楷體"/>
          <w:szCs w:val="24"/>
        </w:rPr>
        <w:t>) ：(114/5/1</w:t>
      </w:r>
      <w:r w:rsidRPr="00EA4516">
        <w:rPr>
          <w:rFonts w:ascii="標楷體" w:eastAsia="標楷體" w:hAnsi="標楷體" w:hint="eastAsia"/>
          <w:szCs w:val="24"/>
        </w:rPr>
        <w:t>、114/8/1</w:t>
      </w:r>
      <w:r w:rsidRPr="00EA4516">
        <w:rPr>
          <w:rFonts w:ascii="標楷體" w:eastAsia="標楷體" w:hAnsi="標楷體"/>
          <w:szCs w:val="24"/>
        </w:rPr>
        <w:t>)</w:t>
      </w:r>
    </w:p>
    <w:p w14:paraId="13F3B965" w14:textId="77777777"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14:paraId="081C234C" w14:textId="77777777"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14:paraId="3A82D8A7" w14:textId="77777777" w:rsidR="00EA4516" w:rsidRPr="00EA4516" w:rsidRDefault="00EA4516" w:rsidP="00167FEB">
      <w:pPr>
        <w:numPr>
          <w:ilvl w:val="1"/>
          <w:numId w:val="17"/>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首次申請為30mg/3ml規格2次輸注與153mg/1.7ml規格11次輸注，且需同時符合下列Ⅰ.與Ⅱ.的條件：</w:t>
      </w:r>
    </w:p>
    <w:p w14:paraId="48BE416E" w14:textId="77777777"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具有下列任一疾病惡化的指標：病人開始治療前須在連續2次評估中均符合同一指標 (但若為</w:t>
      </w:r>
      <w:proofErr w:type="spellStart"/>
      <w:r w:rsidRPr="00EA4516">
        <w:rPr>
          <w:rFonts w:ascii="標楷體" w:eastAsia="標楷體" w:hAnsi="標楷體"/>
          <w:szCs w:val="24"/>
        </w:rPr>
        <w:t>plamacytoma</w:t>
      </w:r>
      <w:proofErr w:type="spellEnd"/>
      <w:r w:rsidRPr="00EA4516">
        <w:rPr>
          <w:rFonts w:ascii="標楷體" w:eastAsia="標楷體" w:hAnsi="標楷體"/>
          <w:szCs w:val="24"/>
        </w:rPr>
        <w:t xml:space="preserve"> 體積增加，或是新產生的bone lesion(s)或新plasmacytoma，則僅需1次評估)：</w:t>
      </w:r>
    </w:p>
    <w:p w14:paraId="45E0ECBB" w14:textId="77777777" w:rsidR="00EA4516" w:rsidRPr="00EA4516" w:rsidRDefault="00EA4516" w:rsidP="00167FEB">
      <w:pPr>
        <w:numPr>
          <w:ilvl w:val="3"/>
          <w:numId w:val="17"/>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r w:rsidRPr="00EA4516">
        <w:rPr>
          <w:rFonts w:ascii="標楷體" w:eastAsia="標楷體" w:hAnsi="標楷體" w:cs="新細明體"/>
        </w:rPr>
        <w:t>≧</w:t>
      </w:r>
      <w:r w:rsidRPr="00EA4516">
        <w:rPr>
          <w:rFonts w:ascii="標楷體" w:eastAsia="標楷體" w:hAnsi="標楷體"/>
        </w:rPr>
        <w:t>5 g/dL，血清M蛋白需增加</w:t>
      </w:r>
      <w:r w:rsidRPr="00EA4516">
        <w:rPr>
          <w:rFonts w:ascii="標楷體" w:eastAsia="標楷體" w:hAnsi="標楷體" w:cs="新細明體"/>
        </w:rPr>
        <w:t>≧</w:t>
      </w:r>
      <w:r w:rsidRPr="00EA4516">
        <w:rPr>
          <w:rFonts w:ascii="標楷體" w:eastAsia="標楷體" w:hAnsi="標楷體"/>
        </w:rPr>
        <w:t>1 g/dL；若前一線治療中M component 最低值＜5 g/dL，血清M蛋白需增加</w:t>
      </w:r>
      <w:r w:rsidRPr="00EA4516">
        <w:rPr>
          <w:rFonts w:ascii="標楷體" w:eastAsia="標楷體" w:hAnsi="標楷體" w:cs="新細明體"/>
        </w:rPr>
        <w:t>≧</w:t>
      </w:r>
      <w:r w:rsidRPr="00EA4516">
        <w:rPr>
          <w:rFonts w:ascii="標楷體" w:eastAsia="標楷體" w:hAnsi="標楷體"/>
        </w:rPr>
        <w:t>0.5g/dL。</w:t>
      </w:r>
    </w:p>
    <w:p w14:paraId="60E69E9E" w14:textId="77777777" w:rsidR="00EA4516" w:rsidRPr="00EA4516" w:rsidRDefault="00EA4516" w:rsidP="00167FEB">
      <w:pPr>
        <w:numPr>
          <w:ilvl w:val="3"/>
          <w:numId w:val="17"/>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t>Urine M-protein需增加</w:t>
      </w:r>
      <w:r w:rsidRPr="00EA4516">
        <w:rPr>
          <w:rFonts w:ascii="標楷體" w:eastAsia="標楷體" w:hAnsi="標楷體" w:cs="新細明體"/>
        </w:rPr>
        <w:t>≧</w:t>
      </w:r>
      <w:r w:rsidRPr="00EA4516">
        <w:rPr>
          <w:rFonts w:ascii="標楷體" w:eastAsia="標楷體" w:hAnsi="標楷體"/>
        </w:rPr>
        <w:t>0.2 gm/24Hr，且需較前一線治療中的最低值增加</w:t>
      </w:r>
      <w:r w:rsidRPr="00EA4516">
        <w:rPr>
          <w:rFonts w:ascii="標楷體" w:eastAsia="標楷體" w:hAnsi="標楷體" w:cs="新細明體"/>
        </w:rPr>
        <w:t>≧</w:t>
      </w:r>
      <w:r w:rsidRPr="00EA4516">
        <w:rPr>
          <w:rFonts w:ascii="標楷體" w:eastAsia="標楷體" w:hAnsi="標楷體"/>
        </w:rPr>
        <w:t>25%。</w:t>
      </w:r>
    </w:p>
    <w:p w14:paraId="0A6007B1" w14:textId="77777777" w:rsidR="00EA4516" w:rsidRPr="00EA4516" w:rsidRDefault="00EA4516" w:rsidP="00167FEB">
      <w:pPr>
        <w:numPr>
          <w:ilvl w:val="3"/>
          <w:numId w:val="17"/>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myeloma病人，骨髓漿細胞 (plasma cells)之比例絕對值增加≧10%，且需較前一線治療中的最低值增加≧25%。</w:t>
      </w:r>
    </w:p>
    <w:p w14:paraId="2113C12F" w14:textId="77777777" w:rsidR="00EA4516" w:rsidRPr="00EA4516" w:rsidRDefault="00EA4516" w:rsidP="00167FEB">
      <w:pPr>
        <w:numPr>
          <w:ilvl w:val="3"/>
          <w:numId w:val="17"/>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t>新產生的bone lesion(s)或plasmacytoma，且須經病理切片證實。</w:t>
      </w:r>
    </w:p>
    <w:p w14:paraId="0DE6DE2D" w14:textId="77777777" w:rsidR="00EA4516" w:rsidRPr="00EA4516" w:rsidRDefault="00EA4516" w:rsidP="00167FEB">
      <w:pPr>
        <w:numPr>
          <w:ilvl w:val="3"/>
          <w:numId w:val="17"/>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Plasmacytoma體積增加≧50%。</w:t>
      </w:r>
    </w:p>
    <w:p w14:paraId="6CE61D5E" w14:textId="77777777" w:rsidR="00EA4516" w:rsidRDefault="00EA4516" w:rsidP="00167FEB">
      <w:pPr>
        <w:numPr>
          <w:ilvl w:val="3"/>
          <w:numId w:val="17"/>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周邊血液中漿細胞比例</w:t>
      </w:r>
      <w:r w:rsidRPr="00EA4516">
        <w:rPr>
          <w:rFonts w:ascii="標楷體" w:eastAsia="標楷體" w:hAnsi="標楷體" w:cs="新細明體"/>
        </w:rPr>
        <w:t>≧</w:t>
      </w:r>
      <w:r w:rsidRPr="00EA4516">
        <w:rPr>
          <w:rFonts w:ascii="標楷體" w:eastAsia="標楷體" w:hAnsi="標楷體"/>
        </w:rPr>
        <w:t>20%或漿細胞絕對值</w:t>
      </w:r>
      <w:r w:rsidRPr="00EA4516">
        <w:rPr>
          <w:rFonts w:ascii="標楷體" w:eastAsia="標楷體" w:hAnsi="標楷體" w:cs="新細明體"/>
        </w:rPr>
        <w:t>≧</w:t>
      </w:r>
      <w:r w:rsidRPr="00EA4516">
        <w:rPr>
          <w:rFonts w:ascii="標楷體" w:eastAsia="標楷體" w:hAnsi="標楷體"/>
        </w:rPr>
        <w:t>2000 cells/</w:t>
      </w:r>
      <w:proofErr w:type="spellStart"/>
      <w:r w:rsidRPr="00EA4516">
        <w:rPr>
          <w:rFonts w:ascii="標楷體" w:eastAsia="標楷體" w:hAnsi="標楷體"/>
        </w:rPr>
        <w:t>μL</w:t>
      </w:r>
      <w:proofErr w:type="spellEnd"/>
      <w:r w:rsidRPr="00EA4516">
        <w:rPr>
          <w:rFonts w:ascii="標楷體" w:eastAsia="標楷體" w:hAnsi="標楷體"/>
        </w:rPr>
        <w:t>。</w:t>
      </w:r>
    </w:p>
    <w:p w14:paraId="530181C1" w14:textId="77777777"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出現下列任一臨床症狀：</w:t>
      </w:r>
    </w:p>
    <w:p w14:paraId="7BDBA473"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新產生的bone lesion(s)或plasmacytoma，且須經病理切片證實。</w:t>
      </w:r>
    </w:p>
    <w:p w14:paraId="3440B9BA"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體積增加≧50%。</w:t>
      </w:r>
    </w:p>
    <w:p w14:paraId="3221E86B"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14:paraId="59DE0E29" w14:textId="77777777" w:rsidR="00EA4516" w:rsidRDefault="00EA4516" w:rsidP="00167FEB">
      <w:pPr>
        <w:numPr>
          <w:ilvl w:val="3"/>
          <w:numId w:val="21"/>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 2gm/dL 且無其他原因可以解釋)。</w:t>
      </w:r>
    </w:p>
    <w:p w14:paraId="36D22B10" w14:textId="77777777" w:rsidR="00EA4516" w:rsidRPr="00EA4516" w:rsidRDefault="00EA4516" w:rsidP="00167FEB">
      <w:pPr>
        <w:numPr>
          <w:ilvl w:val="3"/>
          <w:numId w:val="21"/>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腎功能惡化(eGFR下降幅度≧25%)，且無其他原因可以解釋。</w:t>
      </w:r>
    </w:p>
    <w:p w14:paraId="37CADB6E"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14:paraId="7C50E3E6" w14:textId="77777777" w:rsidR="00EA4516" w:rsidRPr="00EA4516" w:rsidRDefault="00EA4516" w:rsidP="00167FEB">
      <w:pPr>
        <w:numPr>
          <w:ilvl w:val="1"/>
          <w:numId w:val="21"/>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為療效依據，方可繼續使用。續用時的申請每次以153mg/1.7ml規格13次輸注為限。</w:t>
      </w:r>
    </w:p>
    <w:p w14:paraId="4643DFB2"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病人終生限給付39次輸注(含30mg/3ml規格共2次輸注、153mg/1.7ml規格共37次輸注)。</w:t>
      </w:r>
    </w:p>
    <w:p w14:paraId="34E9944B"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14:paraId="7FEAD8E9"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醫師必須為血液病或造血幹細胞移植專科醫師且須完成血液病和造血幹細胞移植的相關照護訓練。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14:paraId="6F905069" w14:textId="77777777" w:rsidR="00EA4516" w:rsidRPr="00EA4516"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lastRenderedPageBreak/>
        <w:t>每兩年接受至少6小時中華民國血液及骨髓移植學會或中華民國血液病學會舉辦之雙特異性</w:t>
      </w:r>
      <w:r w:rsidRPr="00EA4516">
        <w:rPr>
          <w:rFonts w:ascii="標楷體" w:eastAsia="標楷體" w:hAnsi="標楷體"/>
          <w:szCs w:val="24"/>
        </w:rPr>
        <w:t>抗體相關治療教育訓練。</w:t>
      </w:r>
    </w:p>
    <w:p w14:paraId="0E69D065" w14:textId="77777777" w:rsidR="00B96EA0" w:rsidRPr="00EA4516" w:rsidRDefault="00EA4516" w:rsidP="00EA4516">
      <w:pPr>
        <w:tabs>
          <w:tab w:val="left" w:pos="1418"/>
        </w:tabs>
        <w:spacing w:line="400" w:lineRule="exact"/>
        <w:ind w:left="1274" w:firstLine="2"/>
        <w:jc w:val="both"/>
        <w:rPr>
          <w:rFonts w:ascii="標楷體" w:eastAsia="標楷體" w:hAnsi="標楷體"/>
          <w:color w:val="000000"/>
        </w:rPr>
      </w:pPr>
      <w:proofErr w:type="spellStart"/>
      <w:r w:rsidRPr="00EA4516">
        <w:rPr>
          <w:rFonts w:ascii="標楷體" w:eastAsia="標楷體" w:hAnsi="標楷體"/>
          <w:szCs w:val="24"/>
        </w:rPr>
        <w:t>Teclistamab</w:t>
      </w:r>
      <w:proofErr w:type="spellEnd"/>
      <w:r w:rsidRPr="00EA4516">
        <w:rPr>
          <w:rFonts w:ascii="標楷體" w:eastAsia="標楷體" w:hAnsi="標楷體"/>
          <w:szCs w:val="24"/>
        </w:rPr>
        <w:t>與</w:t>
      </w:r>
      <w:proofErr w:type="spellStart"/>
      <w:r w:rsidRPr="00EA4516">
        <w:rPr>
          <w:rFonts w:ascii="標楷體" w:eastAsia="標楷體" w:hAnsi="標楷體"/>
          <w:szCs w:val="24"/>
        </w:rPr>
        <w:t>elranatamab</w:t>
      </w:r>
      <w:proofErr w:type="spellEnd"/>
      <w:r w:rsidRPr="00EA4516">
        <w:rPr>
          <w:rFonts w:ascii="標楷體" w:eastAsia="標楷體" w:hAnsi="標楷體"/>
          <w:szCs w:val="24"/>
        </w:rPr>
        <w:t>僅能擇一給付，除因耐受性不良，不得互換。二者使用總療程合併計算，以全部39次輸注為上限。</w:t>
      </w:r>
    </w:p>
    <w:p w14:paraId="0C6C7D19" w14:textId="77777777"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w:t>
      </w:r>
      <w:proofErr w:type="spellStart"/>
      <w:r w:rsidRPr="00DA176D">
        <w:rPr>
          <w:rFonts w:ascii="標楷體" w:eastAsia="標楷體" w:hAnsi="標楷體" w:hint="eastAsia"/>
          <w:color w:val="000000"/>
        </w:rPr>
        <w:t>Columvi</w:t>
      </w:r>
      <w:proofErr w:type="spellEnd"/>
      <w:r w:rsidRPr="00DA176D">
        <w:rPr>
          <w:rFonts w:ascii="標楷體" w:eastAsia="標楷體" w:hAnsi="標楷體" w:hint="eastAsia"/>
          <w:color w:val="000000"/>
        </w:rPr>
        <w:t>）：（114/8/1)</w:t>
      </w:r>
    </w:p>
    <w:p w14:paraId="3907E9B8"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1.用於治療先前曾接受至少兩線全身治療之復發性或難治性瀰漫性大B細胞淋巴瘤 (DLBCL) 的成人病人，且須完全符合以下條件：</w:t>
      </w:r>
    </w:p>
    <w:p w14:paraId="7F9E162D"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14:paraId="6EC5B07C"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14:paraId="311073DE"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救援治療需符合以下任一條件：</w:t>
      </w:r>
    </w:p>
    <w:p w14:paraId="5F39D800" w14:textId="77777777"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14:paraId="4920555C"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.經造血幹細胞移植治療失敗者。</w:t>
      </w:r>
    </w:p>
    <w:p w14:paraId="787790B2"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(4)</w:t>
      </w:r>
      <w:r w:rsidRPr="00DA176D">
        <w:rPr>
          <w:rFonts w:ascii="標楷體" w:eastAsia="標楷體" w:hAnsi="標楷體" w:hint="eastAsia"/>
          <w:color w:val="000000"/>
        </w:rPr>
        <w:tab/>
        <w:t>ECOG為0或1。</w:t>
      </w:r>
    </w:p>
    <w:p w14:paraId="1DF6FA8C"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病人不得有以下任一疾病:</w:t>
      </w:r>
    </w:p>
    <w:p w14:paraId="26F68655"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14:paraId="5A8C2A91"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嚴重的心血管疾病，如NYHA (New York Heart Association) Class Ⅲ或Ⅳ。</w:t>
      </w:r>
    </w:p>
    <w:p w14:paraId="4E49E5A6"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Ⅲ.</w:t>
      </w:r>
      <w:r w:rsidRPr="00DA176D">
        <w:rPr>
          <w:rFonts w:ascii="標楷體" w:eastAsia="標楷體" w:hAnsi="標楷體" w:hint="eastAsia"/>
          <w:szCs w:val="24"/>
        </w:rPr>
        <w:t>自體免疫疾病正積極治療者。</w:t>
      </w:r>
    </w:p>
    <w:p w14:paraId="03FBFD81"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14:paraId="7538FC6D"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3.</w:t>
      </w:r>
      <w:r w:rsidRPr="00DA176D">
        <w:rPr>
          <w:rFonts w:ascii="標楷體" w:eastAsia="標楷體" w:hAnsi="標楷體" w:hint="eastAsia"/>
          <w:szCs w:val="24"/>
        </w:rPr>
        <w:tab/>
        <w:t>總療程以12個療程為上限；每位病人一生限用一次連續療程(12個療程)，不得重複申請。</w:t>
      </w:r>
    </w:p>
    <w:p w14:paraId="2638D524"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w:t>
      </w:r>
      <w:proofErr w:type="spellStart"/>
      <w:r w:rsidRPr="00DA176D">
        <w:rPr>
          <w:rFonts w:ascii="標楷體" w:eastAsia="標楷體" w:hAnsi="標楷體" w:hint="eastAsia"/>
          <w:szCs w:val="24"/>
        </w:rPr>
        <w:t>obinutuzumab</w:t>
      </w:r>
      <w:proofErr w:type="spellEnd"/>
      <w:r w:rsidRPr="00DA176D">
        <w:rPr>
          <w:rFonts w:ascii="標楷體" w:eastAsia="標楷體" w:hAnsi="標楷體" w:hint="eastAsia"/>
          <w:szCs w:val="24"/>
        </w:rPr>
        <w:t xml:space="preserve"> 1,000mg作為療程之前置治療，僅用以降低療程中誘導細胞激素釋放症候群(CRS)的風險。</w:t>
      </w:r>
    </w:p>
    <w:p w14:paraId="6D557D26"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14:paraId="03AF080E"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醫師必須為血液病或造血幹細胞移植專科醫師且須完成血液病或造血幹細胞移植的相關照護訓練。</w:t>
      </w:r>
    </w:p>
    <w:p w14:paraId="6CD4AE44"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14:paraId="362E54D9"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w:t>
      </w:r>
      <w:proofErr w:type="spellStart"/>
      <w:r w:rsidRPr="00DA176D">
        <w:rPr>
          <w:rFonts w:ascii="標楷體" w:eastAsia="標楷體" w:hAnsi="標楷體" w:hint="eastAsia"/>
          <w:szCs w:val="24"/>
        </w:rPr>
        <w:t>polatuzumab</w:t>
      </w:r>
      <w:proofErr w:type="spellEnd"/>
      <w:r w:rsidRPr="00DA176D">
        <w:rPr>
          <w:rFonts w:ascii="標楷體" w:eastAsia="標楷體" w:hAnsi="標楷體" w:hint="eastAsia"/>
          <w:szCs w:val="24"/>
        </w:rPr>
        <w:t xml:space="preserve"> </w:t>
      </w:r>
      <w:proofErr w:type="spellStart"/>
      <w:r w:rsidRPr="00DA176D">
        <w:rPr>
          <w:rFonts w:ascii="標楷體" w:eastAsia="標楷體" w:hAnsi="標楷體" w:hint="eastAsia"/>
          <w:szCs w:val="24"/>
        </w:rPr>
        <w:t>vedotin</w:t>
      </w:r>
      <w:proofErr w:type="spellEnd"/>
      <w:r w:rsidRPr="00DA176D">
        <w:rPr>
          <w:rFonts w:ascii="標楷體" w:eastAsia="標楷體" w:hAnsi="標楷體" w:hint="eastAsia"/>
          <w:szCs w:val="24"/>
        </w:rPr>
        <w:t xml:space="preserve">及 </w:t>
      </w:r>
      <w:proofErr w:type="spellStart"/>
      <w:r w:rsidRPr="00DA176D">
        <w:rPr>
          <w:rFonts w:ascii="標楷體" w:eastAsia="標楷體" w:hAnsi="標楷體" w:hint="eastAsia"/>
          <w:szCs w:val="24"/>
        </w:rPr>
        <w:t>epcoritamab</w:t>
      </w:r>
      <w:proofErr w:type="spellEnd"/>
      <w:r w:rsidRPr="00DA176D">
        <w:rPr>
          <w:rFonts w:ascii="標楷體" w:eastAsia="標楷體" w:hAnsi="標楷體" w:hint="eastAsia"/>
          <w:szCs w:val="24"/>
        </w:rPr>
        <w:t>僅得擇一給付，治療失敗後不得互換。</w:t>
      </w:r>
    </w:p>
    <w:p w14:paraId="2A79E346" w14:textId="77777777"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proofErr w:type="spellStart"/>
      <w:r w:rsidRPr="004C2511">
        <w:rPr>
          <w:rFonts w:ascii="標楷體" w:eastAsia="標楷體" w:hAnsi="標楷體"/>
          <w:kern w:val="0"/>
          <w:szCs w:val="24"/>
        </w:rPr>
        <w:t>Epkinly</w:t>
      </w:r>
      <w:proofErr w:type="spellEnd"/>
      <w:r w:rsidRPr="004C2511">
        <w:rPr>
          <w:rFonts w:ascii="標楷體" w:eastAsia="標楷體" w:hAnsi="標楷體"/>
          <w:kern w:val="0"/>
          <w:szCs w:val="24"/>
        </w:rPr>
        <w:t>)</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14:paraId="2110B120"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適用於治療先前曾接受至少兩線全身治療之復發性或難治性瀰漫性大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14:paraId="1867D10C" w14:textId="77777777"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14:paraId="61CB8A94" w14:textId="77777777"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lastRenderedPageBreak/>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14:paraId="58904C12"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符合以下任一條件：</w:t>
      </w:r>
    </w:p>
    <w:p w14:paraId="32C3357E"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14:paraId="05E7EC48"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經造血幹細胞移植治療失敗者。</w:t>
      </w:r>
    </w:p>
    <w:p w14:paraId="2D6040E7" w14:textId="77777777"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14:paraId="60A6A0FA"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得有以下任一疾病</w:t>
      </w:r>
      <w:r w:rsidRPr="004C2511">
        <w:rPr>
          <w:rFonts w:ascii="標楷體" w:eastAsia="標楷體" w:hAnsi="標楷體"/>
          <w:kern w:val="2"/>
          <w:szCs w:val="24"/>
        </w:rPr>
        <w:t>:</w:t>
      </w:r>
    </w:p>
    <w:p w14:paraId="737A8676"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14:paraId="3E854F6F"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14:paraId="1B4524D3"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14:paraId="46A281C7"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14:paraId="635981F0" w14:textId="77777777"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14:paraId="7BDABB6F"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14:paraId="11559D12" w14:textId="77777777"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血液病或造血幹細胞移植專科醫師且須完成血液病或造血幹細胞移植的相關照護訓練。</w:t>
      </w:r>
    </w:p>
    <w:p w14:paraId="1C7765E0"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14:paraId="2B8C0DE7"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w:t>
      </w:r>
      <w:proofErr w:type="spellStart"/>
      <w:r w:rsidRPr="004C2511">
        <w:rPr>
          <w:rFonts w:ascii="標楷體" w:eastAsia="標楷體" w:hAnsi="標楷體" w:hint="eastAsia"/>
          <w:kern w:val="2"/>
          <w:szCs w:val="24"/>
        </w:rPr>
        <w:t>glofitamab</w:t>
      </w:r>
      <w:proofErr w:type="spellEnd"/>
      <w:r w:rsidRPr="004C2511">
        <w:rPr>
          <w:rFonts w:ascii="標楷體" w:eastAsia="標楷體" w:hAnsi="標楷體" w:hint="eastAsia"/>
          <w:kern w:val="2"/>
          <w:szCs w:val="24"/>
        </w:rPr>
        <w:t>、</w:t>
      </w:r>
      <w:proofErr w:type="spellStart"/>
      <w:r w:rsidRPr="004C2511">
        <w:rPr>
          <w:rFonts w:ascii="標楷體" w:eastAsia="標楷體" w:hAnsi="標楷體" w:hint="eastAsia"/>
          <w:kern w:val="2"/>
          <w:szCs w:val="24"/>
        </w:rPr>
        <w:t>polatuzumab</w:t>
      </w:r>
      <w:proofErr w:type="spellEnd"/>
      <w:r w:rsidRPr="004C2511">
        <w:rPr>
          <w:rFonts w:ascii="標楷體" w:eastAsia="標楷體" w:hAnsi="標楷體" w:hint="eastAsia"/>
          <w:kern w:val="2"/>
          <w:szCs w:val="24"/>
        </w:rPr>
        <w:t xml:space="preserve"> </w:t>
      </w:r>
      <w:proofErr w:type="spellStart"/>
      <w:r w:rsidRPr="004C2511">
        <w:rPr>
          <w:rFonts w:ascii="標楷體" w:eastAsia="標楷體" w:hAnsi="標楷體" w:hint="eastAsia"/>
          <w:kern w:val="2"/>
          <w:szCs w:val="24"/>
        </w:rPr>
        <w:t>vedotin</w:t>
      </w:r>
      <w:proofErr w:type="spellEnd"/>
      <w:r w:rsidRPr="004C2511">
        <w:rPr>
          <w:rFonts w:ascii="標楷體" w:eastAsia="標楷體" w:hAnsi="標楷體" w:hint="eastAsia"/>
          <w:kern w:val="2"/>
          <w:szCs w:val="24"/>
        </w:rPr>
        <w:t>，三者僅得擇一給付，治療失敗後不得互換。</w:t>
      </w:r>
    </w:p>
    <w:p w14:paraId="36FE345B" w14:textId="77777777"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w:t>
      </w:r>
      <w:proofErr w:type="spellStart"/>
      <w:r w:rsidRPr="00897BF1">
        <w:rPr>
          <w:rFonts w:ascii="標楷體" w:eastAsia="標楷體" w:hAnsi="標楷體"/>
          <w:szCs w:val="24"/>
        </w:rPr>
        <w:t>Scemblix</w:t>
      </w:r>
      <w:proofErr w:type="spellEnd"/>
      <w:r w:rsidRPr="00897BF1">
        <w:rPr>
          <w:rFonts w:ascii="標楷體" w:eastAsia="標楷體" w:hAnsi="標楷體"/>
          <w:szCs w:val="24"/>
        </w:rPr>
        <w:t>)：(</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14:paraId="512B4DF1"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限用於治療先前曾接受2種以上的酪胺酸激酶抑制劑治療，且發生耐受性不良或治療無效的慢性期費城染色體陽性之慢性骨髓性白血病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14:paraId="0559E9F3"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14:paraId="6570C91F"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14:paraId="32E08CCB" w14:textId="77777777"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14:paraId="6B861C1D" w14:textId="77777777"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w:t>
      </w:r>
      <w:proofErr w:type="spellStart"/>
      <w:r w:rsidRPr="00EE1F60">
        <w:rPr>
          <w:rFonts w:ascii="標楷體" w:eastAsia="標楷體" w:hAnsi="標楷體"/>
          <w:color w:val="000000"/>
          <w:szCs w:val="24"/>
        </w:rPr>
        <w:t>Qinlock</w:t>
      </w:r>
      <w:proofErr w:type="spellEnd"/>
      <w:r w:rsidRPr="00EE1F60">
        <w:rPr>
          <w:rFonts w:ascii="標楷體" w:eastAsia="標楷體" w:hAnsi="標楷體"/>
          <w:color w:val="000000"/>
          <w:szCs w:val="24"/>
        </w:rPr>
        <w:t>）：(114/9/1)</w:t>
      </w:r>
    </w:p>
    <w:p w14:paraId="12F1729C" w14:textId="77777777"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1.適用於治療已接受3種或以上激酶抑制劑(包括imatinib)治療的晚期胃腸道基質瘤(GIST)成人病人。</w:t>
      </w:r>
    </w:p>
    <w:p w14:paraId="53C677B4" w14:textId="77777777"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14:paraId="7FEB1498" w14:textId="77777777"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14:paraId="7882141C" w14:textId="77777777" w:rsidR="006B1FAB" w:rsidRDefault="006B1FAB" w:rsidP="006B1FAB">
      <w:pPr>
        <w:spacing w:line="400" w:lineRule="exact"/>
        <w:ind w:left="386" w:hanging="386"/>
        <w:rPr>
          <w:rFonts w:ascii="標楷體" w:eastAsia="標楷體" w:hAnsi="標楷體"/>
          <w:szCs w:val="24"/>
        </w:rPr>
      </w:pPr>
      <w:bookmarkStart w:id="50" w:name="_Hlk209193042"/>
      <w:r>
        <w:rPr>
          <w:rFonts w:ascii="標楷體" w:eastAsia="標楷體" w:hAnsi="標楷體"/>
          <w:szCs w:val="24"/>
        </w:rPr>
        <w:t>9.124.Tafasitamab（如</w:t>
      </w:r>
      <w:proofErr w:type="spellStart"/>
      <w:r>
        <w:rPr>
          <w:rFonts w:ascii="標楷體" w:eastAsia="標楷體" w:hAnsi="標楷體"/>
          <w:szCs w:val="24"/>
        </w:rPr>
        <w:t>Minjuvi</w:t>
      </w:r>
      <w:proofErr w:type="spellEnd"/>
      <w:r>
        <w:rPr>
          <w:rFonts w:ascii="標楷體" w:eastAsia="標楷體" w:hAnsi="標楷體"/>
          <w:szCs w:val="24"/>
        </w:rPr>
        <w:t>）：（114/10/1、115/3/1</w:t>
      </w:r>
      <w:r w:rsidRPr="00690AD9">
        <w:rPr>
          <w:rFonts w:ascii="標楷體" w:eastAsia="標楷體" w:hAnsi="標楷體"/>
          <w:szCs w:val="24"/>
        </w:rPr>
        <w:t>、115/4/1</w:t>
      </w:r>
      <w:r>
        <w:rPr>
          <w:rFonts w:ascii="標楷體" w:eastAsia="標楷體" w:hAnsi="標楷體"/>
          <w:szCs w:val="24"/>
        </w:rPr>
        <w:t>）</w:t>
      </w:r>
    </w:p>
    <w:p w14:paraId="314A70FB"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lastRenderedPageBreak/>
        <w:t>1.</w:t>
      </w:r>
      <w:r w:rsidRPr="00690AD9">
        <w:rPr>
          <w:rFonts w:ascii="標楷體" w:eastAsia="標楷體" w:hAnsi="標楷體"/>
          <w:szCs w:val="24"/>
        </w:rPr>
        <w:t>限與lenalidomide(限使用</w:t>
      </w:r>
      <w:proofErr w:type="spellStart"/>
      <w:r w:rsidRPr="00690AD9">
        <w:rPr>
          <w:rFonts w:ascii="標楷體" w:eastAsia="標楷體" w:hAnsi="標楷體"/>
          <w:szCs w:val="24"/>
        </w:rPr>
        <w:t>Leavdo</w:t>
      </w:r>
      <w:proofErr w:type="spellEnd"/>
      <w:r w:rsidRPr="00690AD9">
        <w:rPr>
          <w:rFonts w:ascii="標楷體" w:eastAsia="標楷體" w:hAnsi="標楷體"/>
          <w:szCs w:val="24"/>
        </w:rPr>
        <w:t>、</w:t>
      </w:r>
      <w:proofErr w:type="spellStart"/>
      <w:r w:rsidRPr="00690AD9">
        <w:rPr>
          <w:rFonts w:ascii="標楷體" w:eastAsia="標楷體" w:hAnsi="標楷體"/>
          <w:szCs w:val="24"/>
        </w:rPr>
        <w:t>Lelimide</w:t>
      </w:r>
      <w:proofErr w:type="spellEnd"/>
      <w:r w:rsidRPr="00690AD9">
        <w:rPr>
          <w:rFonts w:ascii="標楷體" w:eastAsia="標楷體" w:hAnsi="標楷體"/>
          <w:szCs w:val="24"/>
        </w:rPr>
        <w:t>及Revlimid)</w:t>
      </w:r>
      <w:r>
        <w:rPr>
          <w:rFonts w:ascii="標楷體" w:eastAsia="標楷體" w:hAnsi="標楷體"/>
          <w:szCs w:val="24"/>
        </w:rPr>
        <w:t>併用，適用於經一線全身治療含rituximab治療復發型，不適合接受造血幹細胞移植瀰漫性大型B細胞淋巴瘤(DLBCL)成人病人，且須完全符合以下條件（114/10/1、115/3/1</w:t>
      </w:r>
      <w:r w:rsidRPr="00690AD9">
        <w:rPr>
          <w:rFonts w:ascii="標楷體" w:eastAsia="標楷體" w:hAnsi="標楷體"/>
          <w:szCs w:val="24"/>
        </w:rPr>
        <w:t>、115/4/1</w:t>
      </w:r>
      <w:r>
        <w:rPr>
          <w:rFonts w:ascii="標楷體" w:eastAsia="標楷體" w:hAnsi="標楷體"/>
          <w:szCs w:val="24"/>
        </w:rPr>
        <w:t>）：</w:t>
      </w:r>
    </w:p>
    <w:p w14:paraId="0FDD1BF0"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(1)具CD19抗原陽性。</w:t>
      </w:r>
    </w:p>
    <w:p w14:paraId="308575FE"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(2)一線曾接受rituximab合併化學治療(包含CD20)，及含有anthracycline類藥物的治療，治療四個療程以上並於12個月內復發者。</w:t>
      </w:r>
    </w:p>
    <w:p w14:paraId="0B0C66C5"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(3)ECOG為0或1。</w:t>
      </w:r>
    </w:p>
    <w:p w14:paraId="75CF50B4"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(4)病人不得有以下任一疾病:</w:t>
      </w:r>
    </w:p>
    <w:p w14:paraId="2D5811FD"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Ⅰ.中樞神經系統淋巴瘤或中樞神經疾病。</w:t>
      </w:r>
    </w:p>
    <w:p w14:paraId="26B6CF7C"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Ⅱ.嚴重的心血管疾病，如NYHA (New York Heart Association) Class Ⅲ或Ⅳ。</w:t>
      </w:r>
    </w:p>
    <w:p w14:paraId="4E4280D8"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Ⅲ.自體免疫疾病正積極治療者。</w:t>
      </w:r>
    </w:p>
    <w:p w14:paraId="6855AC2B"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2.須經事前審查核准以使用，每次申請事前審查以3個療程為限，首次再申請須檢附達到CR或PR的證明方可續用；其後續申請須證明疾病無惡化方可續用。若病情惡化即須停用。</w:t>
      </w:r>
    </w:p>
    <w:p w14:paraId="39BAD553"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3.總療程以12個療程為上限；每位病人一生限用一次 (12個療程)，不得重複申請。</w:t>
      </w:r>
    </w:p>
    <w:p w14:paraId="4F96939D"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4.執行醫師須為血液病或造血幹細胞移植專科醫師且須完成血液病或造血幹細胞移植的相關照護訓練。</w:t>
      </w:r>
    </w:p>
    <w:p w14:paraId="5EA9CC4B" w14:textId="77777777" w:rsidR="00D4365C" w:rsidRPr="006B1FAB" w:rsidRDefault="006B1FAB" w:rsidP="006B1FAB">
      <w:pPr>
        <w:spacing w:line="400" w:lineRule="exact"/>
        <w:ind w:left="283"/>
        <w:jc w:val="both"/>
        <w:rPr>
          <w:rFonts w:ascii="標楷體" w:eastAsia="標楷體" w:hAnsi="標楷體"/>
          <w:szCs w:val="24"/>
        </w:rPr>
      </w:pPr>
      <w:r>
        <w:rPr>
          <w:rFonts w:ascii="標楷體" w:eastAsia="標楷體" w:hAnsi="標楷體"/>
          <w:szCs w:val="24"/>
        </w:rPr>
        <w:t>5.病人接受本藥物治療後，不給付造血幹細胞移植。</w:t>
      </w:r>
    </w:p>
    <w:p w14:paraId="330F466B" w14:textId="77777777"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w:t>
      </w:r>
      <w:proofErr w:type="spellStart"/>
      <w:r w:rsidRPr="006A2FC8">
        <w:rPr>
          <w:rFonts w:ascii="標楷體" w:eastAsia="標楷體" w:hAnsi="標楷體" w:hint="eastAsia"/>
          <w:color w:val="000000"/>
        </w:rPr>
        <w:t>Vanflyta</w:t>
      </w:r>
      <w:proofErr w:type="spellEnd"/>
      <w:r w:rsidRPr="006A2FC8">
        <w:rPr>
          <w:rFonts w:ascii="標楷體" w:eastAsia="標楷體" w:hAnsi="標楷體" w:hint="eastAsia"/>
          <w:color w:val="000000"/>
        </w:rPr>
        <w:t>）：（114/10/1)</w:t>
      </w:r>
    </w:p>
    <w:p w14:paraId="6C0D434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限用於新確診為FLT3-ITD 突變陽性的急性骨髓性白血病(AML)成人病人，於標準前導(cytarabine 和anthracycline)與鞏固性化療(cytarabine)時合併使用，及於維持治療時單獨使用。</w:t>
      </w:r>
    </w:p>
    <w:p w14:paraId="53DB9EF0"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14:paraId="2B6D3F6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首次用於標準前導期，可免事前審查，且以2個療程為限。若在2個療程後仍未達完全緩解，則不得再使用。</w:t>
      </w:r>
    </w:p>
    <w:p w14:paraId="1926CAB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14:paraId="003C4021"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14:paraId="2274DD73"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w:t>
      </w:r>
      <w:proofErr w:type="spellStart"/>
      <w:r w:rsidRPr="006A2FC8">
        <w:rPr>
          <w:rFonts w:ascii="標楷體" w:eastAsia="標楷體" w:hAnsi="標楷體" w:hint="eastAsia"/>
          <w:color w:val="000000"/>
        </w:rPr>
        <w:t>midostaurin</w:t>
      </w:r>
      <w:proofErr w:type="spellEnd"/>
      <w:r w:rsidRPr="006A2FC8">
        <w:rPr>
          <w:rFonts w:ascii="標楷體" w:eastAsia="標楷體" w:hAnsi="標楷體" w:hint="eastAsia"/>
          <w:color w:val="000000"/>
        </w:rPr>
        <w:t>僅得擇一使用，除因耐受性不良，不得互換。</w:t>
      </w:r>
    </w:p>
    <w:p w14:paraId="786045BD" w14:textId="77777777"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維持治療限與azacitidine擇一使用，除因耐受性不良，不得互換。</w:t>
      </w:r>
    </w:p>
    <w:p w14:paraId="20605E65" w14:textId="77777777"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w:t>
      </w:r>
      <w:proofErr w:type="spellStart"/>
      <w:r w:rsidRPr="00367DBE">
        <w:rPr>
          <w:rFonts w:ascii="標楷體" w:eastAsia="標楷體" w:hAnsi="標楷體"/>
          <w:szCs w:val="24"/>
        </w:rPr>
        <w:t>Rybrevant</w:t>
      </w:r>
      <w:proofErr w:type="spellEnd"/>
      <w:r w:rsidRPr="00367DBE">
        <w:rPr>
          <w:rFonts w:ascii="標楷體" w:eastAsia="標楷體" w:hAnsi="標楷體"/>
          <w:szCs w:val="24"/>
        </w:rPr>
        <w: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14:paraId="2C12108D" w14:textId="77777777"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lastRenderedPageBreak/>
        <w:t>1</w:t>
      </w:r>
      <w:r w:rsidRPr="00367DBE">
        <w:rPr>
          <w:rFonts w:ascii="標楷體" w:eastAsia="標楷體" w:hAnsi="標楷體"/>
        </w:rPr>
        <w:t>.與carboplatin 及pemetrexed 併用，適用於罹患帶有表皮生長因子受體(EGFR) exon 20 插入突變之局部晚期或轉移性非小細胞肺癌(NSCLC)的成人病人，作為第一線治療。</w:t>
      </w:r>
    </w:p>
    <w:p w14:paraId="4C11AC1E" w14:textId="77777777"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14:paraId="5D04CBE5" w14:textId="77777777"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14:paraId="1C0EF798" w14:textId="77777777"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14:paraId="053D4F2D" w14:textId="77777777" w:rsidR="00D250AB" w:rsidRPr="00AB5B6D" w:rsidRDefault="00D250AB" w:rsidP="00D250AB">
      <w:pPr>
        <w:snapToGrid w:val="0"/>
        <w:spacing w:line="400" w:lineRule="exact"/>
        <w:ind w:left="567" w:hanging="283"/>
        <w:jc w:val="both"/>
        <w:rPr>
          <w:rFonts w:ascii="標楷體" w:eastAsia="標楷體" w:hAnsi="標楷體"/>
          <w:szCs w:val="24"/>
        </w:rPr>
      </w:pPr>
      <w:r w:rsidRPr="00AB5B6D">
        <w:rPr>
          <w:rFonts w:ascii="標楷體" w:eastAsia="標楷體" w:hAnsi="標楷體" w:hint="eastAsia"/>
          <w:szCs w:val="24"/>
        </w:rPr>
        <w:t>9.127.Momelotinib (如</w:t>
      </w:r>
      <w:proofErr w:type="spellStart"/>
      <w:r w:rsidRPr="00AB5B6D">
        <w:rPr>
          <w:rFonts w:ascii="標楷體" w:eastAsia="標楷體" w:hAnsi="標楷體" w:hint="eastAsia"/>
          <w:szCs w:val="24"/>
        </w:rPr>
        <w:t>Omjjara</w:t>
      </w:r>
      <w:proofErr w:type="spellEnd"/>
      <w:r w:rsidRPr="00AB5B6D">
        <w:rPr>
          <w:rFonts w:ascii="標楷體" w:eastAsia="標楷體" w:hAnsi="標楷體" w:hint="eastAsia"/>
          <w:szCs w:val="24"/>
        </w:rPr>
        <w:t>)：(114/10/1)</w:t>
      </w:r>
    </w:p>
    <w:p w14:paraId="1C13135E" w14:textId="77777777"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proofErr w:type="spellStart"/>
      <w:r w:rsidRPr="00AB5B6D">
        <w:rPr>
          <w:rFonts w:ascii="標楷體" w:eastAsia="標楷體" w:hAnsi="標楷體"/>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szCs w:val="24"/>
        </w:rPr>
        <w:t>fedratinib</w:t>
      </w:r>
      <w:proofErr w:type="spellEnd"/>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14:paraId="22DAC276"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(1)需經事前審查核准後使用，每次申請之療程以6個月為限，送審時需檢送影像資料及症狀改善之病歷紀錄，每6個月評估一次。</w:t>
      </w:r>
    </w:p>
    <w:p w14:paraId="3D62DD05"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 xml:space="preserve">(2)用藥後第一次評估時，需達到症狀反應(symptom response)或脾臟體積無惡化兩者之一，且同時無AML </w:t>
      </w:r>
      <w:proofErr w:type="spellStart"/>
      <w:r w:rsidRPr="00AB5B6D">
        <w:rPr>
          <w:rFonts w:ascii="標楷體" w:eastAsia="標楷體" w:hAnsi="標楷體" w:hint="eastAsia"/>
          <w:szCs w:val="24"/>
        </w:rPr>
        <w:t>tranformation</w:t>
      </w:r>
      <w:proofErr w:type="spellEnd"/>
      <w:r w:rsidRPr="00AB5B6D">
        <w:rPr>
          <w:rFonts w:ascii="標楷體" w:eastAsia="標楷體" w:hAnsi="標楷體" w:hint="eastAsia"/>
          <w:szCs w:val="24"/>
        </w:rPr>
        <w:t>，方得以繼續使用。分別定義如下：</w:t>
      </w:r>
    </w:p>
    <w:p w14:paraId="14C5CC7B"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14:paraId="03423EFD"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Ⅱ.脾臟體積無惡化：使用電腦斷層評估，脾臟長度未增加超過治療前基準值之40%以上(或體積增加未達25%以上)。</w:t>
      </w:r>
    </w:p>
    <w:p w14:paraId="1F771B25"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14:paraId="37592CDE"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14:paraId="731B03A2"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14:paraId="6E674686"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14:paraId="0B097972"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14:paraId="0584BA26"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14:paraId="4FE5EBF7" w14:textId="77777777"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w:t>
      </w:r>
      <w:proofErr w:type="spellStart"/>
      <w:r w:rsidRPr="00AB5B6D">
        <w:rPr>
          <w:rFonts w:ascii="標楷體" w:eastAsia="標楷體" w:hAnsi="標楷體" w:hint="eastAsia"/>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hint="eastAsia"/>
          <w:szCs w:val="24"/>
        </w:rPr>
        <w:t>fedratinib</w:t>
      </w:r>
      <w:proofErr w:type="spellEnd"/>
      <w:r w:rsidRPr="00AB5B6D">
        <w:rPr>
          <w:rFonts w:ascii="標楷體" w:eastAsia="標楷體" w:hAnsi="標楷體" w:hint="eastAsia"/>
          <w:szCs w:val="24"/>
        </w:rPr>
        <w:t>用於中度風險或高風險之骨髓纖維化治療時，僅得擇一給付。</w:t>
      </w:r>
      <w:proofErr w:type="spellStart"/>
      <w:r w:rsidRPr="00AB5B6D">
        <w:rPr>
          <w:rFonts w:ascii="標楷體" w:eastAsia="標楷體" w:hAnsi="標楷體" w:hint="eastAsia"/>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hint="eastAsia"/>
          <w:szCs w:val="24"/>
        </w:rPr>
        <w:t>fedratinib</w:t>
      </w:r>
      <w:proofErr w:type="spellEnd"/>
      <w:r w:rsidRPr="00AB5B6D">
        <w:rPr>
          <w:rFonts w:ascii="標楷體" w:eastAsia="標楷體" w:hAnsi="標楷體" w:hint="eastAsia"/>
          <w:szCs w:val="24"/>
        </w:rPr>
        <w:t>治療後如疾病惡化不得換用本藥品。</w:t>
      </w:r>
      <w:bookmarkEnd w:id="50"/>
    </w:p>
    <w:p w14:paraId="429A4A5B" w14:textId="77777777"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lastRenderedPageBreak/>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w:t>
      </w:r>
      <w:proofErr w:type="spellStart"/>
      <w:r w:rsidRPr="00D32053">
        <w:rPr>
          <w:rFonts w:ascii="標楷體" w:eastAsia="標楷體" w:hAnsi="標楷體" w:hint="eastAsia"/>
        </w:rPr>
        <w:t>K</w:t>
      </w:r>
      <w:r w:rsidRPr="00D32053">
        <w:rPr>
          <w:rFonts w:ascii="標楷體" w:eastAsia="標楷體" w:hAnsi="標楷體"/>
        </w:rPr>
        <w:t>epida</w:t>
      </w:r>
      <w:proofErr w:type="spellEnd"/>
      <w:r w:rsidRPr="00D32053">
        <w:rPr>
          <w:rFonts w:ascii="標楷體" w:eastAsia="標楷體" w:hAnsi="標楷體" w:hint="eastAsia"/>
        </w:rPr>
        <w:t>)：(114/12/1)</w:t>
      </w:r>
    </w:p>
    <w:p w14:paraId="342366EA" w14:textId="77777777"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r w:rsidRPr="00D32053">
        <w:rPr>
          <w:rFonts w:ascii="標楷體" w:eastAsia="標楷體" w:hAnsi="標楷體"/>
        </w:rPr>
        <w:t>併用，</w:t>
      </w:r>
      <w:r w:rsidRPr="00D32053">
        <w:rPr>
          <w:rFonts w:ascii="標楷體" w:eastAsia="標楷體" w:hAnsi="標楷體" w:hint="eastAsia"/>
        </w:rPr>
        <w:t>適用於曾接受過至少一種治療轉移性的內分泌併用CDK4/6抑制劑治療後復發或惡化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14:paraId="4D300163" w14:textId="77777777"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14:paraId="45B21FC3" w14:textId="77777777"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proofErr w:type="spellStart"/>
      <w:r w:rsidRPr="00D32053">
        <w:rPr>
          <w:rFonts w:ascii="標楷體" w:eastAsia="標楷體" w:hAnsi="標楷體"/>
        </w:rPr>
        <w:t>everolimus</w:t>
      </w:r>
      <w:proofErr w:type="spellEnd"/>
      <w:r w:rsidRPr="00D32053">
        <w:rPr>
          <w:rFonts w:ascii="標楷體" w:eastAsia="標楷體" w:hAnsi="標楷體" w:hint="eastAsia"/>
        </w:rPr>
        <w:t>僅得擇一使用，除因耐受性不良，不得互換。</w:t>
      </w:r>
    </w:p>
    <w:p w14:paraId="24F68E7A" w14:textId="77777777" w:rsidR="00A05EF4" w:rsidRDefault="00A05EF4" w:rsidP="00A05EF4">
      <w:pPr>
        <w:spacing w:line="400" w:lineRule="exact"/>
        <w:ind w:left="709" w:hanging="451"/>
      </w:pPr>
      <w:bookmarkStart w:id="51" w:name="_Hlk230360050"/>
      <w:r>
        <w:rPr>
          <w:rFonts w:ascii="標楷體" w:eastAsia="標楷體" w:hAnsi="標楷體" w:cs="標楷體"/>
          <w:color w:val="000000"/>
          <w:kern w:val="0"/>
          <w:szCs w:val="24"/>
        </w:rPr>
        <w:t>9.</w:t>
      </w:r>
      <w:r>
        <w:rPr>
          <w:rFonts w:ascii="標楷體" w:eastAsia="標楷體" w:hAnsi="標楷體"/>
        </w:rPr>
        <w:t>129</w:t>
      </w:r>
      <w:r>
        <w:rPr>
          <w:rFonts w:ascii="標楷體" w:eastAsia="標楷體" w:hAnsi="標楷體" w:cs="標楷體"/>
          <w:color w:val="000000"/>
          <w:kern w:val="0"/>
          <w:szCs w:val="24"/>
        </w:rPr>
        <w:t>.Alpelisib (如</w:t>
      </w:r>
      <w:proofErr w:type="spellStart"/>
      <w:r>
        <w:rPr>
          <w:rFonts w:ascii="標楷體" w:eastAsia="標楷體" w:hAnsi="標楷體" w:cs="標楷體"/>
          <w:color w:val="000000"/>
          <w:kern w:val="0"/>
          <w:szCs w:val="24"/>
        </w:rPr>
        <w:t>Piqray</w:t>
      </w:r>
      <w:proofErr w:type="spellEnd"/>
      <w:r>
        <w:rPr>
          <w:rFonts w:ascii="標楷體" w:eastAsia="標楷體" w:hAnsi="標楷體" w:cs="標楷體"/>
          <w:color w:val="000000"/>
          <w:kern w:val="0"/>
          <w:szCs w:val="24"/>
        </w:rPr>
        <w:t>）：(115/1/1</w:t>
      </w:r>
      <w:r>
        <w:rPr>
          <w:rFonts w:ascii="標楷體" w:eastAsia="標楷體" w:hAnsi="標楷體" w:cs="標楷體" w:hint="eastAsia"/>
          <w:color w:val="000000"/>
          <w:kern w:val="0"/>
          <w:szCs w:val="24"/>
        </w:rPr>
        <w:t>、115/6/1</w:t>
      </w:r>
      <w:r>
        <w:rPr>
          <w:rFonts w:ascii="標楷體" w:eastAsia="標楷體" w:hAnsi="標楷體" w:cs="標楷體"/>
          <w:color w:val="000000"/>
          <w:kern w:val="0"/>
          <w:szCs w:val="24"/>
        </w:rPr>
        <w:t>)</w:t>
      </w:r>
    </w:p>
    <w:p w14:paraId="21C4A0EF" w14:textId="77777777" w:rsidR="00A05EF4" w:rsidRDefault="00A05EF4" w:rsidP="00A05EF4">
      <w:pPr>
        <w:spacing w:line="400" w:lineRule="exact"/>
        <w:ind w:left="849" w:hanging="283"/>
      </w:pPr>
      <w:r>
        <w:rPr>
          <w:rFonts w:ascii="標楷體" w:eastAsia="標楷體" w:hAnsi="標楷體" w:cs="標楷體"/>
          <w:color w:val="000000"/>
          <w:kern w:val="0"/>
          <w:szCs w:val="24"/>
        </w:rPr>
        <w:t>1.與</w:t>
      </w:r>
      <w:proofErr w:type="spellStart"/>
      <w:r>
        <w:rPr>
          <w:rFonts w:ascii="標楷體" w:eastAsia="標楷體" w:hAnsi="標楷體"/>
        </w:rPr>
        <w:t>fulvestrant</w:t>
      </w:r>
      <w:proofErr w:type="spellEnd"/>
      <w:r>
        <w:rPr>
          <w:rFonts w:ascii="標楷體" w:eastAsia="標楷體" w:hAnsi="標楷體" w:cs="標楷體"/>
          <w:color w:val="000000"/>
          <w:kern w:val="0"/>
          <w:szCs w:val="24"/>
        </w:rPr>
        <w:t>併用於曾接受CDK4/6抑制劑治療但疾病惡化的停經後轉移性乳癌病人，且須完全符合下列條件：</w:t>
      </w:r>
    </w:p>
    <w:p w14:paraId="0F5EB6A9" w14:textId="77777777" w:rsidR="00A05EF4" w:rsidRDefault="00A05EF4" w:rsidP="00A05EF4">
      <w:pPr>
        <w:snapToGrid w:val="0"/>
        <w:spacing w:line="400" w:lineRule="exact"/>
        <w:ind w:left="1133" w:hanging="365"/>
        <w:jc w:val="both"/>
      </w:pPr>
      <w:r>
        <w:rPr>
          <w:rFonts w:ascii="標楷體" w:eastAsia="標楷體" w:hAnsi="標楷體" w:cs="標楷體"/>
          <w:color w:val="000000"/>
          <w:kern w:val="0"/>
          <w:szCs w:val="24"/>
        </w:rPr>
        <w:t>(1)荷爾</w:t>
      </w:r>
      <w:r>
        <w:rPr>
          <w:rFonts w:ascii="標楷體" w:eastAsia="標楷體" w:hAnsi="標楷體"/>
          <w:szCs w:val="24"/>
        </w:rPr>
        <w:t>蒙受體為：ER或PR＞30%。</w:t>
      </w:r>
    </w:p>
    <w:p w14:paraId="3F922FF6" w14:textId="77777777" w:rsidR="00A05EF4" w:rsidRDefault="00A05EF4" w:rsidP="00A05EF4">
      <w:pPr>
        <w:snapToGrid w:val="0"/>
        <w:spacing w:line="400" w:lineRule="exact"/>
        <w:ind w:left="1133" w:hanging="365"/>
        <w:jc w:val="both"/>
        <w:rPr>
          <w:rFonts w:ascii="標楷體" w:eastAsia="標楷體" w:hAnsi="標楷體"/>
          <w:szCs w:val="24"/>
        </w:rPr>
      </w:pPr>
      <w:r>
        <w:rPr>
          <w:rFonts w:ascii="標楷體" w:eastAsia="標楷體" w:hAnsi="標楷體"/>
          <w:szCs w:val="24"/>
        </w:rPr>
        <w:t>(2)HER-2 檢測為陰性。</w:t>
      </w:r>
    </w:p>
    <w:p w14:paraId="6646BD8B" w14:textId="77777777" w:rsidR="00A05EF4" w:rsidRDefault="00A05EF4" w:rsidP="00A05EF4">
      <w:pPr>
        <w:snapToGrid w:val="0"/>
        <w:spacing w:line="400" w:lineRule="exact"/>
        <w:ind w:left="1133" w:hanging="365"/>
        <w:jc w:val="both"/>
      </w:pPr>
      <w:r>
        <w:rPr>
          <w:rFonts w:ascii="標楷體" w:eastAsia="標楷體" w:hAnsi="標楷體"/>
          <w:szCs w:val="24"/>
        </w:rPr>
        <w:t>(3)具有</w:t>
      </w:r>
      <w:r>
        <w:rPr>
          <w:rFonts w:ascii="標楷體" w:eastAsia="標楷體" w:hAnsi="標楷體" w:cs="標楷體"/>
          <w:color w:val="000000"/>
          <w:kern w:val="0"/>
          <w:szCs w:val="24"/>
        </w:rPr>
        <w:t>PIK3CA基因突變。</w:t>
      </w:r>
    </w:p>
    <w:p w14:paraId="42E25AC8" w14:textId="77777777" w:rsidR="00A05EF4" w:rsidRDefault="00A05EF4" w:rsidP="00A05EF4">
      <w:pPr>
        <w:spacing w:line="400" w:lineRule="exact"/>
        <w:ind w:left="849" w:hanging="283"/>
        <w:rPr>
          <w:rFonts w:ascii="標楷體" w:eastAsia="標楷體" w:hAnsi="標楷體"/>
          <w:szCs w:val="24"/>
        </w:rPr>
      </w:pPr>
      <w:r>
        <w:rPr>
          <w:rFonts w:ascii="標楷體" w:eastAsia="標楷體" w:hAnsi="標楷體"/>
          <w:szCs w:val="24"/>
        </w:rPr>
        <w:t>2.需經事前審查核准後使用：</w:t>
      </w:r>
    </w:p>
    <w:p w14:paraId="00C189F8" w14:textId="77777777" w:rsidR="00A05EF4" w:rsidRDefault="00A05EF4" w:rsidP="00A05EF4">
      <w:pPr>
        <w:snapToGrid w:val="0"/>
        <w:spacing w:line="400" w:lineRule="exact"/>
        <w:ind w:left="1133" w:hanging="365"/>
        <w:jc w:val="both"/>
      </w:pPr>
      <w:r>
        <w:rPr>
          <w:rFonts w:ascii="標楷體" w:eastAsia="標楷體" w:hAnsi="標楷體"/>
          <w:szCs w:val="24"/>
        </w:rPr>
        <w:t>(1)初次申請需檢附</w:t>
      </w:r>
      <w:r>
        <w:rPr>
          <w:rFonts w:ascii="標楷體" w:eastAsia="標楷體" w:hAnsi="標楷體" w:cs="標楷體"/>
          <w:color w:val="000000"/>
          <w:kern w:val="0"/>
          <w:szCs w:val="24"/>
        </w:rPr>
        <w:t>PIK3CA基因突變檢測報告，且需符合全民健康保險藥品給付規定之通則十二。</w:t>
      </w:r>
    </w:p>
    <w:p w14:paraId="1BD6A45F" w14:textId="77777777" w:rsidR="00A05EF4" w:rsidRDefault="00A05EF4" w:rsidP="00A05EF4">
      <w:pPr>
        <w:snapToGrid w:val="0"/>
        <w:spacing w:line="400" w:lineRule="exact"/>
        <w:ind w:left="1133" w:hanging="365"/>
        <w:jc w:val="both"/>
      </w:pPr>
      <w:r>
        <w:rPr>
          <w:rFonts w:ascii="標楷體" w:eastAsia="標楷體" w:hAnsi="標楷體"/>
          <w:szCs w:val="24"/>
        </w:rPr>
        <w:t>(2)</w:t>
      </w:r>
      <w:r>
        <w:rPr>
          <w:rFonts w:ascii="標楷體" w:eastAsia="標楷體" w:hAnsi="標楷體" w:cs="標楷體"/>
          <w:color w:val="000000"/>
          <w:kern w:val="0"/>
          <w:szCs w:val="24"/>
        </w:rPr>
        <w:t>核准後每12週需檢附療效</w:t>
      </w:r>
      <w:r>
        <w:rPr>
          <w:rFonts w:ascii="標楷體" w:eastAsia="標楷體" w:hAnsi="標楷體"/>
          <w:szCs w:val="24"/>
        </w:rPr>
        <w:t>評估</w:t>
      </w:r>
      <w:r>
        <w:rPr>
          <w:rFonts w:ascii="標楷體" w:eastAsia="標楷體" w:hAnsi="標楷體" w:cs="標楷體"/>
          <w:color w:val="000000"/>
          <w:kern w:val="0"/>
          <w:szCs w:val="24"/>
        </w:rPr>
        <w:t>資料再次申請，若疾病惡化及必須停止使用。</w:t>
      </w:r>
    </w:p>
    <w:p w14:paraId="146C899C" w14:textId="77777777" w:rsidR="00A05EF4" w:rsidRDefault="00A05EF4" w:rsidP="00A05EF4">
      <w:pPr>
        <w:spacing w:line="400" w:lineRule="exact"/>
        <w:ind w:left="849" w:hanging="283"/>
        <w:rPr>
          <w:rFonts w:ascii="標楷體" w:eastAsia="標楷體" w:hAnsi="標楷體"/>
          <w:szCs w:val="24"/>
        </w:rPr>
      </w:pPr>
      <w:r>
        <w:rPr>
          <w:rFonts w:ascii="標楷體" w:eastAsia="標楷體" w:hAnsi="標楷體"/>
          <w:szCs w:val="24"/>
        </w:rPr>
        <w:t>3.每日最多處方2粒。</w:t>
      </w:r>
    </w:p>
    <w:p w14:paraId="633BF98A" w14:textId="655DABF9" w:rsidR="00EC69A8" w:rsidRPr="00A05EF4" w:rsidRDefault="00A05EF4" w:rsidP="00A05EF4">
      <w:pPr>
        <w:spacing w:line="400" w:lineRule="exact"/>
        <w:ind w:left="849" w:hanging="283"/>
        <w:rPr>
          <w:rFonts w:ascii="標楷體" w:eastAsia="標楷體" w:hAnsi="標楷體"/>
          <w:szCs w:val="24"/>
        </w:rPr>
      </w:pPr>
      <w:r w:rsidRPr="00CF53C1">
        <w:rPr>
          <w:rFonts w:ascii="標楷體" w:eastAsia="標楷體" w:hAnsi="標楷體" w:hint="eastAsia"/>
          <w:szCs w:val="24"/>
        </w:rPr>
        <w:t>4.本藥品併用</w:t>
      </w:r>
      <w:proofErr w:type="spellStart"/>
      <w:r w:rsidRPr="00CF53C1">
        <w:rPr>
          <w:rFonts w:ascii="標楷體" w:eastAsia="標楷體" w:hAnsi="標楷體" w:hint="eastAsia"/>
          <w:szCs w:val="24"/>
        </w:rPr>
        <w:t>fulvestrant</w:t>
      </w:r>
      <w:proofErr w:type="spellEnd"/>
      <w:r w:rsidRPr="00CF53C1">
        <w:rPr>
          <w:rFonts w:ascii="標楷體" w:eastAsia="標楷體" w:hAnsi="標楷體" w:hint="eastAsia"/>
          <w:szCs w:val="24"/>
        </w:rPr>
        <w:t>與</w:t>
      </w:r>
      <w:proofErr w:type="spellStart"/>
      <w:r w:rsidRPr="00CF53C1">
        <w:rPr>
          <w:rFonts w:ascii="標楷體" w:eastAsia="標楷體" w:hAnsi="標楷體" w:hint="eastAsia"/>
          <w:szCs w:val="24"/>
        </w:rPr>
        <w:t>capivasertib</w:t>
      </w:r>
      <w:proofErr w:type="spellEnd"/>
      <w:r w:rsidRPr="00CF53C1">
        <w:rPr>
          <w:rFonts w:ascii="標楷體" w:eastAsia="標楷體" w:hAnsi="標楷體" w:hint="eastAsia"/>
          <w:szCs w:val="24"/>
        </w:rPr>
        <w:t>併用</w:t>
      </w:r>
      <w:proofErr w:type="spellStart"/>
      <w:r w:rsidRPr="00CF53C1">
        <w:rPr>
          <w:rFonts w:ascii="標楷體" w:eastAsia="標楷體" w:hAnsi="標楷體" w:hint="eastAsia"/>
          <w:szCs w:val="24"/>
        </w:rPr>
        <w:t>fulvestrant</w:t>
      </w:r>
      <w:proofErr w:type="spellEnd"/>
      <w:r w:rsidRPr="00CF53C1">
        <w:rPr>
          <w:rFonts w:ascii="標楷體" w:eastAsia="標楷體" w:hAnsi="標楷體" w:hint="eastAsia"/>
          <w:szCs w:val="24"/>
        </w:rPr>
        <w:t>用於PIK3CA基因突變病人時，僅得擇一給付。(115/6/1)</w:t>
      </w:r>
      <w:bookmarkEnd w:id="51"/>
    </w:p>
    <w:p w14:paraId="13C4AA7F" w14:textId="77777777" w:rsidR="00B62F9F" w:rsidRDefault="00B62F9F" w:rsidP="00B62F9F">
      <w:pPr>
        <w:spacing w:line="400" w:lineRule="exact"/>
        <w:ind w:left="709" w:hanging="451"/>
      </w:pPr>
      <w:bookmarkStart w:id="52" w:name="_Hlk230360025"/>
      <w:r>
        <w:rPr>
          <w:rFonts w:ascii="標楷體" w:eastAsia="標楷體" w:hAnsi="標楷體"/>
          <w:color w:val="000000"/>
        </w:rPr>
        <w:t>9.130.</w:t>
      </w:r>
      <w:r>
        <w:rPr>
          <w:rFonts w:ascii="標楷體" w:eastAsia="標楷體" w:hAnsi="標楷體"/>
        </w:rPr>
        <w:t>Fulvestrant</w:t>
      </w:r>
      <w:r>
        <w:rPr>
          <w:rFonts w:ascii="標楷體" w:eastAsia="標楷體" w:hAnsi="標楷體"/>
          <w:color w:val="000000"/>
        </w:rPr>
        <w:t xml:space="preserve">(如 </w:t>
      </w:r>
      <w:proofErr w:type="spellStart"/>
      <w:r>
        <w:rPr>
          <w:rFonts w:ascii="標楷體" w:eastAsia="標楷體" w:hAnsi="標楷體"/>
          <w:color w:val="000000"/>
        </w:rPr>
        <w:t>Fustron</w:t>
      </w:r>
      <w:proofErr w:type="spellEnd"/>
      <w:r>
        <w:rPr>
          <w:rFonts w:ascii="標楷體" w:eastAsia="標楷體" w:hAnsi="標楷體"/>
          <w:color w:val="000000"/>
        </w:rPr>
        <w:t>)：(115/1/1</w:t>
      </w:r>
      <w:r>
        <w:rPr>
          <w:rFonts w:ascii="標楷體" w:eastAsia="標楷體" w:hAnsi="標楷體" w:hint="eastAsia"/>
          <w:color w:val="000000"/>
        </w:rPr>
        <w:t>、115/6/1</w:t>
      </w:r>
      <w:r>
        <w:rPr>
          <w:rFonts w:ascii="標楷體" w:eastAsia="標楷體" w:hAnsi="標楷體"/>
          <w:color w:val="000000"/>
        </w:rPr>
        <w:t>)</w:t>
      </w:r>
    </w:p>
    <w:p w14:paraId="7ACD96C9" w14:textId="77777777" w:rsidR="00B62F9F" w:rsidRDefault="00B62F9F" w:rsidP="00B62F9F">
      <w:pPr>
        <w:spacing w:line="400" w:lineRule="exact"/>
        <w:ind w:left="849" w:hanging="283"/>
      </w:pPr>
      <w:r>
        <w:rPr>
          <w:rFonts w:ascii="標楷體" w:eastAsia="標楷體" w:hAnsi="標楷體"/>
          <w:color w:val="000000"/>
        </w:rPr>
        <w:t>1.單獨使用</w:t>
      </w:r>
      <w:r>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14:paraId="3C1E9641" w14:textId="77777777" w:rsidR="00B62F9F" w:rsidRDefault="00B62F9F" w:rsidP="00B62F9F">
      <w:pPr>
        <w:spacing w:line="400" w:lineRule="exact"/>
        <w:ind w:left="849" w:hanging="283"/>
        <w:rPr>
          <w:rFonts w:ascii="標楷體" w:eastAsia="標楷體" w:hAnsi="標楷體" w:cs="標楷體"/>
          <w:color w:val="000000"/>
          <w:kern w:val="0"/>
          <w:szCs w:val="24"/>
        </w:rPr>
      </w:pPr>
      <w:r>
        <w:rPr>
          <w:rFonts w:ascii="標楷體" w:eastAsia="標楷體" w:hAnsi="標楷體" w:cs="標楷體"/>
          <w:color w:val="000000"/>
          <w:kern w:val="0"/>
          <w:szCs w:val="24"/>
        </w:rPr>
        <w:t>2.與</w:t>
      </w:r>
      <w:proofErr w:type="spellStart"/>
      <w:r>
        <w:rPr>
          <w:rFonts w:ascii="標楷體" w:eastAsia="標楷體" w:hAnsi="標楷體" w:cs="標楷體"/>
          <w:color w:val="000000"/>
          <w:kern w:val="0"/>
          <w:szCs w:val="24"/>
        </w:rPr>
        <w:t>alpelisib</w:t>
      </w:r>
      <w:proofErr w:type="spellEnd"/>
      <w:r>
        <w:rPr>
          <w:rFonts w:ascii="標楷體" w:eastAsia="標楷體" w:hAnsi="標楷體" w:cs="標楷體" w:hint="eastAsia"/>
          <w:color w:val="000000"/>
          <w:kern w:val="0"/>
          <w:szCs w:val="24"/>
        </w:rPr>
        <w:t>或</w:t>
      </w:r>
      <w:proofErr w:type="spellStart"/>
      <w:r>
        <w:rPr>
          <w:rFonts w:ascii="標楷體" w:eastAsia="標楷體" w:hAnsi="標楷體" w:cs="標楷體" w:hint="eastAsia"/>
          <w:color w:val="000000"/>
          <w:kern w:val="0"/>
          <w:szCs w:val="24"/>
        </w:rPr>
        <w:t>c</w:t>
      </w:r>
      <w:r>
        <w:rPr>
          <w:rFonts w:ascii="標楷體" w:eastAsia="標楷體" w:hAnsi="標楷體" w:cs="標楷體"/>
          <w:color w:val="000000"/>
          <w:kern w:val="0"/>
          <w:szCs w:val="24"/>
        </w:rPr>
        <w:t>apivasertib</w:t>
      </w:r>
      <w:proofErr w:type="spellEnd"/>
      <w:r>
        <w:rPr>
          <w:rFonts w:ascii="標楷體" w:eastAsia="標楷體" w:hAnsi="標楷體" w:cs="標楷體"/>
          <w:color w:val="000000"/>
          <w:kern w:val="0"/>
          <w:szCs w:val="24"/>
        </w:rPr>
        <w:t>併用於曾接受CDK4/6抑制劑治療但疾病惡化的停經後轉移性乳癌病人，且須符合</w:t>
      </w:r>
      <w:proofErr w:type="spellStart"/>
      <w:r>
        <w:rPr>
          <w:rFonts w:ascii="標楷體" w:eastAsia="標楷體" w:hAnsi="標楷體" w:cs="標楷體"/>
          <w:color w:val="000000"/>
          <w:kern w:val="0"/>
          <w:szCs w:val="24"/>
        </w:rPr>
        <w:t>alpelisib</w:t>
      </w:r>
      <w:proofErr w:type="spellEnd"/>
      <w:r w:rsidRPr="00CD4672">
        <w:rPr>
          <w:rFonts w:ascii="標楷體" w:eastAsia="標楷體" w:hAnsi="標楷體" w:cs="標楷體" w:hint="eastAsia"/>
          <w:color w:val="000000"/>
          <w:kern w:val="0"/>
          <w:szCs w:val="24"/>
        </w:rPr>
        <w:t>或</w:t>
      </w:r>
      <w:proofErr w:type="spellStart"/>
      <w:r w:rsidRPr="00CD4672">
        <w:rPr>
          <w:rFonts w:ascii="標楷體" w:eastAsia="標楷體" w:hAnsi="標楷體" w:cs="標楷體" w:hint="eastAsia"/>
          <w:color w:val="000000"/>
          <w:kern w:val="0"/>
          <w:szCs w:val="24"/>
        </w:rPr>
        <w:t>capivasertib</w:t>
      </w:r>
      <w:proofErr w:type="spellEnd"/>
      <w:r>
        <w:rPr>
          <w:rFonts w:ascii="標楷體" w:eastAsia="標楷體" w:hAnsi="標楷體" w:cs="標楷體"/>
          <w:color w:val="000000"/>
          <w:kern w:val="0"/>
          <w:szCs w:val="24"/>
        </w:rPr>
        <w:t>之藥品給付規定。</w:t>
      </w:r>
      <w:r>
        <w:rPr>
          <w:rFonts w:ascii="標楷體" w:eastAsia="標楷體" w:hAnsi="標楷體" w:cs="標楷體" w:hint="eastAsia"/>
          <w:color w:val="000000"/>
          <w:kern w:val="0"/>
          <w:szCs w:val="24"/>
        </w:rPr>
        <w:t>(</w:t>
      </w:r>
      <w:r>
        <w:rPr>
          <w:rFonts w:ascii="標楷體" w:eastAsia="標楷體" w:hAnsi="標楷體" w:cs="標楷體"/>
          <w:color w:val="000000"/>
          <w:kern w:val="0"/>
          <w:szCs w:val="24"/>
        </w:rPr>
        <w:t>115/1/1</w:t>
      </w:r>
      <w:r>
        <w:rPr>
          <w:rFonts w:ascii="標楷體" w:eastAsia="標楷體" w:hAnsi="標楷體" w:cs="標楷體" w:hint="eastAsia"/>
          <w:color w:val="000000"/>
          <w:kern w:val="0"/>
          <w:szCs w:val="24"/>
        </w:rPr>
        <w:t>、1</w:t>
      </w:r>
      <w:r>
        <w:rPr>
          <w:rFonts w:ascii="標楷體" w:eastAsia="標楷體" w:hAnsi="標楷體" w:cs="標楷體"/>
          <w:color w:val="000000"/>
          <w:kern w:val="0"/>
          <w:szCs w:val="24"/>
        </w:rPr>
        <w:t>15/6/1)</w:t>
      </w:r>
    </w:p>
    <w:p w14:paraId="270E5D05" w14:textId="11B0713B" w:rsidR="003B14A6" w:rsidRPr="00B62F9F" w:rsidRDefault="00B62F9F" w:rsidP="00B62F9F">
      <w:pPr>
        <w:spacing w:line="400" w:lineRule="exact"/>
        <w:ind w:left="849" w:hanging="283"/>
      </w:pPr>
      <w:r>
        <w:rPr>
          <w:rFonts w:ascii="標楷體" w:eastAsia="標楷體" w:hAnsi="標楷體" w:cs="標楷體"/>
          <w:color w:val="000000"/>
          <w:kern w:val="0"/>
          <w:szCs w:val="24"/>
        </w:rPr>
        <w:t>3.與CDK4/6抑制劑(限使用palbociclib)併用於曾接受過內分泌療法之局部晚期或轉移性乳癌病人</w:t>
      </w:r>
      <w:r>
        <w:rPr>
          <w:rFonts w:ascii="標楷體" w:eastAsia="標楷體" w:hAnsi="標楷體"/>
          <w:color w:val="000000"/>
        </w:rPr>
        <w:t>，且須符合CDK4/6抑制劑之藥品給付規定。</w:t>
      </w:r>
      <w:bookmarkEnd w:id="52"/>
    </w:p>
    <w:p w14:paraId="6D1346C8" w14:textId="77777777" w:rsidR="006E2BB4" w:rsidRPr="006E2BB4" w:rsidRDefault="006E2BB4" w:rsidP="006E2BB4">
      <w:pPr>
        <w:snapToGrid w:val="0"/>
        <w:spacing w:line="400" w:lineRule="exact"/>
        <w:ind w:left="851" w:hanging="567"/>
        <w:jc w:val="both"/>
        <w:rPr>
          <w:rFonts w:ascii="標楷體" w:eastAsia="標楷體" w:hAnsi="標楷體"/>
        </w:rPr>
      </w:pPr>
      <w:r w:rsidRPr="006E2BB4">
        <w:rPr>
          <w:rFonts w:ascii="標楷體" w:eastAsia="標楷體" w:hAnsi="標楷體"/>
        </w:rPr>
        <w:t>9.131.Repotrectinib(如</w:t>
      </w:r>
      <w:proofErr w:type="spellStart"/>
      <w:r w:rsidRPr="006E2BB4">
        <w:rPr>
          <w:rFonts w:ascii="標楷體" w:eastAsia="標楷體" w:hAnsi="標楷體"/>
        </w:rPr>
        <w:t>Augtyro</w:t>
      </w:r>
      <w:proofErr w:type="spellEnd"/>
      <w:r w:rsidRPr="006E2BB4">
        <w:rPr>
          <w:rFonts w:ascii="標楷體" w:eastAsia="標楷體" w:hAnsi="標楷體"/>
        </w:rPr>
        <w:t>)：(115/2/1)</w:t>
      </w:r>
    </w:p>
    <w:p w14:paraId="178F48D1" w14:textId="77777777"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1.單獨給付於在</w:t>
      </w:r>
      <w:proofErr w:type="spellStart"/>
      <w:r w:rsidRPr="006E2BB4">
        <w:rPr>
          <w:rFonts w:ascii="標楷體" w:eastAsia="標楷體" w:hAnsi="標楷體"/>
        </w:rPr>
        <w:t>crizotinib</w:t>
      </w:r>
      <w:proofErr w:type="spellEnd"/>
      <w:r w:rsidRPr="006E2BB4">
        <w:rPr>
          <w:rFonts w:ascii="標楷體" w:eastAsia="標楷體" w:hAnsi="標楷體"/>
        </w:rPr>
        <w:t>或</w:t>
      </w:r>
      <w:proofErr w:type="spellStart"/>
      <w:r w:rsidRPr="006E2BB4">
        <w:rPr>
          <w:rFonts w:ascii="標楷體" w:eastAsia="標楷體" w:hAnsi="標楷體"/>
        </w:rPr>
        <w:t>entrectinib</w:t>
      </w:r>
      <w:proofErr w:type="spellEnd"/>
      <w:r w:rsidRPr="006E2BB4">
        <w:rPr>
          <w:rFonts w:ascii="標楷體" w:eastAsia="標楷體" w:hAnsi="標楷體"/>
        </w:rPr>
        <w:t>治療中惡化之ROS1陽性之局部晚期或轉移性非小細胞肺癌的成人病人。</w:t>
      </w:r>
    </w:p>
    <w:p w14:paraId="6EE92B9A" w14:textId="77777777"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2.須經事前審查核准後使用：</w:t>
      </w:r>
    </w:p>
    <w:p w14:paraId="023A9D33" w14:textId="77777777"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(1)需檢具確實患有非小細胞肺癌之病理或細胞檢查報告，以及符合診斷之ROS-1突變檢測報告，且需符合全民健康保險藥品給付規定之通則十二。</w:t>
      </w:r>
    </w:p>
    <w:p w14:paraId="1DAD5085" w14:textId="77777777"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(2)每次申請事前審查以3個月為限，再次申請時需附上治療後相關臨床資料，如給藥</w:t>
      </w:r>
      <w:r w:rsidRPr="006E2BB4">
        <w:rPr>
          <w:rFonts w:ascii="標楷體" w:eastAsia="標楷體" w:hAnsi="標楷體"/>
        </w:rPr>
        <w:lastRenderedPageBreak/>
        <w:t>4週後，需追蹤胸部X光或電腦斷層等影像檢查評估療效，往後每4週做胸部X光檢查，每隔8週需追蹤其作為評估藥效的影像(如胸部X光或電腦斷層)，若病情惡化即不得再次申請。</w:t>
      </w:r>
    </w:p>
    <w:p w14:paraId="1CF6D17E" w14:textId="77777777" w:rsidR="001A740D"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3.每日最大劑量限320mg。</w:t>
      </w:r>
    </w:p>
    <w:p w14:paraId="43CF8AB7" w14:textId="77777777" w:rsidR="00C61D18" w:rsidRDefault="00C61D18" w:rsidP="00C61D18">
      <w:pPr>
        <w:tabs>
          <w:tab w:val="left" w:pos="1418"/>
        </w:tabs>
        <w:spacing w:line="400" w:lineRule="exact"/>
        <w:ind w:leftChars="118" w:left="283"/>
        <w:rPr>
          <w:rFonts w:ascii="標楷體" w:eastAsia="標楷體" w:hAnsi="標楷體"/>
          <w:color w:val="000000"/>
        </w:rPr>
      </w:pPr>
      <w:r>
        <w:rPr>
          <w:rFonts w:ascii="標楷體" w:eastAsia="標楷體" w:hAnsi="標楷體" w:hint="eastAsia"/>
          <w:color w:val="000000"/>
        </w:rPr>
        <w:t>9.132.B</w:t>
      </w:r>
      <w:r>
        <w:rPr>
          <w:rFonts w:ascii="標楷體" w:eastAsia="標楷體" w:hAnsi="標楷體"/>
          <w:color w:val="000000"/>
        </w:rPr>
        <w:t>osutinib(如</w:t>
      </w:r>
      <w:proofErr w:type="spellStart"/>
      <w:r>
        <w:rPr>
          <w:rFonts w:ascii="標楷體" w:eastAsia="標楷體" w:hAnsi="標楷體"/>
          <w:color w:val="000000"/>
        </w:rPr>
        <w:t>Bostini</w:t>
      </w:r>
      <w:proofErr w:type="spellEnd"/>
      <w:r>
        <w:rPr>
          <w:rFonts w:ascii="標楷體" w:eastAsia="標楷體" w:hAnsi="標楷體"/>
          <w:color w:val="000000"/>
        </w:rPr>
        <w:t>)：(</w:t>
      </w:r>
      <w:r>
        <w:rPr>
          <w:rFonts w:ascii="標楷體" w:eastAsia="標楷體" w:hAnsi="標楷體" w:hint="eastAsia"/>
          <w:color w:val="000000"/>
        </w:rPr>
        <w:t>115/2/1</w:t>
      </w:r>
      <w:r>
        <w:rPr>
          <w:rFonts w:ascii="標楷體" w:eastAsia="標楷體" w:hAnsi="標楷體"/>
          <w:color w:val="000000"/>
        </w:rPr>
        <w:t>)</w:t>
      </w:r>
    </w:p>
    <w:p w14:paraId="0C097450" w14:textId="77777777"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hint="eastAsia"/>
          <w:color w:val="000000"/>
        </w:rPr>
        <w:t>第一線使用</w:t>
      </w:r>
      <w:r>
        <w:rPr>
          <w:rFonts w:ascii="標楷體" w:eastAsia="標楷體" w:hAnsi="標楷體"/>
          <w:color w:val="000000"/>
        </w:rPr>
        <w:t>：</w:t>
      </w:r>
    </w:p>
    <w:p w14:paraId="61BFCEC4"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治療新診斷的費城染色體陽性之慢性期慢性骨髓性白血病的成人病人</w:t>
      </w:r>
      <w:r>
        <w:rPr>
          <w:rFonts w:ascii="標楷體" w:eastAsia="標楷體" w:hAnsi="標楷體" w:hint="eastAsia"/>
          <w:color w:val="000000"/>
        </w:rPr>
        <w:t>。</w:t>
      </w:r>
    </w:p>
    <w:p w14:paraId="166C2DC4"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限每日最大劑量400mg。</w:t>
      </w:r>
    </w:p>
    <w:p w14:paraId="4F2475A5" w14:textId="77777777"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hint="eastAsia"/>
          <w:color w:val="000000"/>
        </w:rPr>
        <w:t>2.</w:t>
      </w:r>
      <w:r w:rsidRPr="005958A1">
        <w:rPr>
          <w:rFonts w:ascii="標楷體" w:eastAsia="標楷體" w:hAnsi="標楷體" w:hint="eastAsia"/>
          <w:color w:val="000000"/>
        </w:rPr>
        <w:t>第二線使用：</w:t>
      </w:r>
    </w:p>
    <w:p w14:paraId="44C212AF"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治療患有慢性、加速或急性期慢性骨髓性白血病，對先前經 imatinib 400mg(含)以上治療後有抗藥性或無耐受性的成人病人。</w:t>
      </w:r>
    </w:p>
    <w:p w14:paraId="645391F3"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需檢送病歷及對imatinib耐受性不良或無效的證明。</w:t>
      </w:r>
    </w:p>
    <w:p w14:paraId="7512F0F7"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3</w:t>
      </w:r>
      <w:r>
        <w:rPr>
          <w:rFonts w:ascii="標楷體" w:eastAsia="標楷體" w:hAnsi="標楷體"/>
          <w:color w:val="000000"/>
        </w:rPr>
        <w:t>).</w:t>
      </w:r>
      <w:r w:rsidRPr="005958A1">
        <w:rPr>
          <w:rFonts w:ascii="標楷體" w:eastAsia="標楷體" w:hAnsi="標楷體" w:hint="eastAsia"/>
          <w:color w:val="000000"/>
        </w:rPr>
        <w:t>每日最大劑量500mg，惟接受起始劑量而未達到維持血液學、細胞遺傳學或分子反應，且未出現第3級或以上不良反應的病人，可進行遞增劑量，每日以最大劑量600mg為限。</w:t>
      </w:r>
    </w:p>
    <w:p w14:paraId="72B31DD3"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hint="eastAsia"/>
          <w:color w:val="000000"/>
        </w:rPr>
        <w:t>3.</w:t>
      </w:r>
      <w:r w:rsidRPr="005958A1">
        <w:rPr>
          <w:rFonts w:ascii="標楷體" w:eastAsia="標楷體" w:hAnsi="標楷體" w:hint="eastAsia"/>
          <w:color w:val="000000"/>
        </w:rPr>
        <w:t>1~2項規定內之疾病診斷或追蹤若需依據基因檢測報告，則需符合全民健康保險藥品給付規定之通則十二。</w:t>
      </w:r>
    </w:p>
    <w:p w14:paraId="5C8C2FA5" w14:textId="77777777" w:rsidR="00C61D18" w:rsidRDefault="00C61D18" w:rsidP="00C61D18">
      <w:pPr>
        <w:snapToGrid w:val="0"/>
        <w:spacing w:line="400" w:lineRule="exact"/>
        <w:ind w:left="1134" w:hanging="283"/>
        <w:jc w:val="both"/>
        <w:rPr>
          <w:rFonts w:ascii="標楷體" w:eastAsia="標楷體" w:hAnsi="標楷體"/>
          <w:color w:val="000000"/>
        </w:rPr>
      </w:pPr>
      <w:r w:rsidRPr="005958A1">
        <w:rPr>
          <w:rFonts w:ascii="標楷體" w:eastAsia="標楷體" w:hAnsi="標楷體" w:hint="eastAsia"/>
          <w:color w:val="000000"/>
        </w:rPr>
        <w:t>4.Bosutinib、nilotinib與</w:t>
      </w:r>
      <w:proofErr w:type="spellStart"/>
      <w:r w:rsidRPr="005958A1">
        <w:rPr>
          <w:rFonts w:ascii="標楷體" w:eastAsia="標楷體" w:hAnsi="標楷體" w:hint="eastAsia"/>
          <w:color w:val="000000"/>
        </w:rPr>
        <w:t>dasatinib</w:t>
      </w:r>
      <w:proofErr w:type="spellEnd"/>
      <w:r w:rsidRPr="005958A1">
        <w:rPr>
          <w:rFonts w:ascii="標楷體" w:eastAsia="標楷體" w:hAnsi="標楷體" w:hint="eastAsia"/>
          <w:color w:val="000000"/>
        </w:rPr>
        <w:t>不得合併使用。</w:t>
      </w:r>
    </w:p>
    <w:p w14:paraId="090CC0DC" w14:textId="77777777" w:rsidR="00C70264" w:rsidRPr="008A1E71" w:rsidRDefault="00C70264" w:rsidP="00C70264">
      <w:pPr>
        <w:spacing w:line="400" w:lineRule="exact"/>
        <w:ind w:leftChars="118" w:left="283"/>
      </w:pPr>
      <w:r w:rsidRPr="008A1E71">
        <w:rPr>
          <w:rFonts w:ascii="標楷體" w:eastAsia="標楷體" w:hAnsi="標楷體"/>
        </w:rPr>
        <w:t>9.133.Zolbetuximab (如</w:t>
      </w:r>
      <w:proofErr w:type="spellStart"/>
      <w:r w:rsidRPr="008A1E71">
        <w:rPr>
          <w:rFonts w:ascii="標楷體" w:eastAsia="標楷體" w:hAnsi="標楷體"/>
        </w:rPr>
        <w:t>Vyloy</w:t>
      </w:r>
      <w:proofErr w:type="spellEnd"/>
      <w:r w:rsidRPr="008A1E71">
        <w:rPr>
          <w:rFonts w:ascii="標楷體" w:eastAsia="標楷體" w:hAnsi="標楷體"/>
        </w:rPr>
        <w:t>)：(115/4/1)</w:t>
      </w:r>
    </w:p>
    <w:p w14:paraId="494F6B53" w14:textId="77777777"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限與含氟嘧啶（fluoropyrimidine）和含鉑的化療併用，適用於Claudin （CLDN） 18.2陽性、第二型人類表皮生長因子受體（HER2）陰性的局部晚期不可切除或轉移性胃腺癌病人的第一線治療，且符合下列條件：</w:t>
      </w:r>
    </w:p>
    <w:p w14:paraId="06D519DC" w14:textId="77777777" w:rsidR="00C70264" w:rsidRPr="008A1E71" w:rsidRDefault="00C70264" w:rsidP="00C70264">
      <w:pPr>
        <w:pStyle w:val="a9"/>
        <w:numPr>
          <w:ilvl w:val="0"/>
          <w:numId w:val="36"/>
        </w:numPr>
        <w:spacing w:line="400" w:lineRule="exact"/>
        <w:ind w:left="1276" w:hanging="482"/>
        <w:rPr>
          <w:rFonts w:ascii="標楷體" w:eastAsia="標楷體" w:hAnsi="標楷體"/>
        </w:rPr>
      </w:pPr>
      <w:r w:rsidRPr="008A1E71">
        <w:rPr>
          <w:rFonts w:ascii="標楷體" w:eastAsia="標楷體" w:hAnsi="標楷體"/>
        </w:rPr>
        <w:t>病人身體狀況良好（ECOG≦1）。</w:t>
      </w:r>
    </w:p>
    <w:p w14:paraId="384DC412" w14:textId="77777777" w:rsidR="00C70264" w:rsidRPr="008A1E71" w:rsidRDefault="00C70264" w:rsidP="00C70264">
      <w:pPr>
        <w:pStyle w:val="a9"/>
        <w:numPr>
          <w:ilvl w:val="0"/>
          <w:numId w:val="36"/>
        </w:numPr>
        <w:spacing w:line="400" w:lineRule="exact"/>
        <w:ind w:left="1276" w:hanging="482"/>
      </w:pPr>
      <w:r w:rsidRPr="008A1E71">
        <w:rPr>
          <w:rFonts w:ascii="標楷體" w:eastAsia="標楷體" w:hAnsi="標楷體"/>
        </w:rPr>
        <w:t>初次申請時需檢附確實患有局部晚期不可切除或轉移性胃腺癌之病理或細胞檢查報告，及以免疫組織化學染色</w:t>
      </w:r>
      <w:r w:rsidRPr="008A1E71">
        <w:rPr>
          <w:rFonts w:ascii="標楷體" w:eastAsia="標楷體" w:hAnsi="標楷體" w:cs="標楷體"/>
        </w:rPr>
        <w:t>法確定腫瘤為</w:t>
      </w:r>
      <w:r w:rsidRPr="008A1E71">
        <w:rPr>
          <w:rFonts w:ascii="標楷體" w:eastAsia="標楷體" w:hAnsi="標楷體"/>
        </w:rPr>
        <w:t>CLDN18.2陽性（定義為</w:t>
      </w:r>
      <w:r w:rsidRPr="008A1E71">
        <w:rPr>
          <w:rFonts w:eastAsia="標楷體"/>
        </w:rPr>
        <w:t>≥</w:t>
      </w:r>
      <w:r w:rsidRPr="008A1E71">
        <w:rPr>
          <w:rFonts w:ascii="標楷體" w:eastAsia="標楷體" w:hAnsi="標楷體"/>
        </w:rPr>
        <w:t>75%的腫瘤細胞顯示中至強染色強度的CLDN18.2）且第二型人類表皮生長因子受體（HER2）陰性之檢測報告。</w:t>
      </w:r>
    </w:p>
    <w:p w14:paraId="1A67B464" w14:textId="77777777"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須經事前審查核准後使用，每次申請事前審查之療程以12週為限，再次申請必須提出客觀影像學證據（如：RECIST criteria）證實無惡化，才可繼續使用。</w:t>
      </w:r>
    </w:p>
    <w:p w14:paraId="17802F9B" w14:textId="77777777" w:rsidR="00C70264" w:rsidRDefault="00C70264" w:rsidP="006670DE">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本案藥品與免疫檢查點抑制劑僅能擇一給付，且治療失敗時不可互換。</w:t>
      </w:r>
    </w:p>
    <w:p w14:paraId="60DEE0AF" w14:textId="77777777" w:rsidR="00F3352F" w:rsidRDefault="00F3352F" w:rsidP="00F3352F">
      <w:pPr>
        <w:spacing w:line="400" w:lineRule="exact"/>
        <w:ind w:left="567"/>
        <w:rPr>
          <w:rFonts w:ascii="標楷體" w:eastAsia="標楷體" w:hAnsi="標楷體"/>
        </w:rPr>
      </w:pPr>
    </w:p>
    <w:p w14:paraId="152D108B" w14:textId="77777777" w:rsidR="00F3352F" w:rsidRPr="00FA6C45" w:rsidRDefault="00F3352F" w:rsidP="00F3352F">
      <w:pPr>
        <w:pStyle w:val="a9"/>
        <w:spacing w:line="400" w:lineRule="exact"/>
        <w:ind w:left="426" w:hanging="281"/>
        <w:jc w:val="both"/>
        <w:rPr>
          <w:rFonts w:ascii="標楷體" w:eastAsia="標楷體" w:hAnsi="標楷體"/>
        </w:rPr>
      </w:pPr>
      <w:r w:rsidRPr="00FA6C45">
        <w:rPr>
          <w:rFonts w:ascii="標楷體" w:eastAsia="標楷體" w:hAnsi="標楷體"/>
        </w:rPr>
        <w:t>9.</w:t>
      </w:r>
      <w:r w:rsidRPr="00FA6C45">
        <w:rPr>
          <w:rFonts w:ascii="標楷體" w:eastAsia="標楷體" w:hAnsi="標楷體" w:hint="eastAsia"/>
        </w:rPr>
        <w:t>134</w:t>
      </w:r>
      <w:r w:rsidRPr="00FA6C45">
        <w:rPr>
          <w:rFonts w:ascii="標楷體" w:eastAsia="標楷體" w:hAnsi="標楷體"/>
        </w:rPr>
        <w:t>.</w:t>
      </w:r>
      <w:r w:rsidRPr="00FA6C45">
        <w:rPr>
          <w:rFonts w:ascii="標楷體" w:eastAsia="標楷體" w:hAnsi="標楷體" w:hint="eastAsia"/>
        </w:rPr>
        <w:t>E</w:t>
      </w:r>
      <w:r w:rsidRPr="00FA6C45">
        <w:rPr>
          <w:rFonts w:ascii="標楷體" w:eastAsia="標楷體" w:hAnsi="標楷體"/>
        </w:rPr>
        <w:t>ncorafenib (如</w:t>
      </w:r>
      <w:proofErr w:type="spellStart"/>
      <w:r w:rsidRPr="00FA6C45">
        <w:rPr>
          <w:rFonts w:ascii="標楷體" w:eastAsia="標楷體" w:hAnsi="標楷體"/>
        </w:rPr>
        <w:t>Braftovi</w:t>
      </w:r>
      <w:proofErr w:type="spellEnd"/>
      <w:r w:rsidRPr="00FA6C45">
        <w:rPr>
          <w:rFonts w:ascii="標楷體" w:eastAsia="標楷體" w:hAnsi="標楷體"/>
        </w:rPr>
        <w:t>):(</w:t>
      </w:r>
      <w:r w:rsidRPr="00FA6C45">
        <w:rPr>
          <w:rFonts w:ascii="標楷體" w:eastAsia="標楷體" w:hAnsi="標楷體" w:hint="eastAsia"/>
        </w:rPr>
        <w:t>115</w:t>
      </w:r>
      <w:r w:rsidRPr="00FA6C45">
        <w:rPr>
          <w:rFonts w:ascii="標楷體" w:eastAsia="標楷體" w:hAnsi="標楷體"/>
        </w:rPr>
        <w:t>/</w:t>
      </w:r>
      <w:r w:rsidRPr="00FA6C45">
        <w:rPr>
          <w:rFonts w:ascii="標楷體" w:eastAsia="標楷體" w:hAnsi="標楷體" w:hint="eastAsia"/>
        </w:rPr>
        <w:t>5</w:t>
      </w:r>
      <w:r w:rsidRPr="00FA6C45">
        <w:rPr>
          <w:rFonts w:ascii="標楷體" w:eastAsia="標楷體" w:hAnsi="標楷體"/>
        </w:rPr>
        <w:t>/1)</w:t>
      </w:r>
    </w:p>
    <w:p w14:paraId="7CE06F59"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rPr>
        <w:t>1</w:t>
      </w:r>
      <w:r w:rsidRPr="00FA6C45">
        <w:rPr>
          <w:rFonts w:ascii="標楷體" w:eastAsia="標楷體" w:hAnsi="標楷體" w:hint="eastAsia"/>
        </w:rPr>
        <w:t>.</w:t>
      </w:r>
      <w:r w:rsidRPr="00FA6C45">
        <w:rPr>
          <w:rFonts w:ascii="標楷體" w:eastAsia="標楷體" w:hAnsi="標楷體"/>
        </w:rPr>
        <w:t>與cetuximab併用，作為具有BRAF V600E突變的轉移性結腸直腸癌(CRC)成人病人之第二線治療，需同時符合下列條件：</w:t>
      </w:r>
    </w:p>
    <w:p w14:paraId="491C94C7"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(1)曾接受bevacizumab與FOLFIRI（</w:t>
      </w:r>
      <w:proofErr w:type="spellStart"/>
      <w:r w:rsidRPr="00FA6C45">
        <w:rPr>
          <w:rFonts w:ascii="標楷體" w:eastAsia="標楷體" w:hAnsi="標楷體"/>
          <w:color w:val="000000"/>
        </w:rPr>
        <w:t>Folinicacid</w:t>
      </w:r>
      <w:proofErr w:type="spellEnd"/>
      <w:r w:rsidRPr="00FA6C45">
        <w:rPr>
          <w:rFonts w:ascii="標楷體" w:eastAsia="標楷體" w:hAnsi="標楷體"/>
          <w:color w:val="000000"/>
        </w:rPr>
        <w:t>/5-fluorouracil/irinotecan）或FOLFOX（</w:t>
      </w:r>
      <w:proofErr w:type="spellStart"/>
      <w:r w:rsidRPr="00FA6C45">
        <w:rPr>
          <w:rFonts w:ascii="標楷體" w:eastAsia="標楷體" w:hAnsi="標楷體"/>
          <w:color w:val="000000"/>
        </w:rPr>
        <w:t>Folinicacid</w:t>
      </w:r>
      <w:proofErr w:type="spellEnd"/>
      <w:r w:rsidRPr="00FA6C45">
        <w:rPr>
          <w:rFonts w:ascii="標楷體" w:eastAsia="標楷體" w:hAnsi="標楷體"/>
          <w:color w:val="000000"/>
        </w:rPr>
        <w:t>/5-fluorouracil/oxaliplatin）或5-</w:t>
      </w:r>
      <w:r w:rsidRPr="00FA6C45">
        <w:rPr>
          <w:rFonts w:ascii="標楷體" w:eastAsia="標楷體" w:hAnsi="標楷體"/>
          <w:color w:val="000000"/>
        </w:rPr>
        <w:lastRenderedPageBreak/>
        <w:t>fluorouracil/leucovorin合併使用之全身性療法。</w:t>
      </w:r>
    </w:p>
    <w:p w14:paraId="6884826A"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(2)未曾接受過抗表皮生長因子受體(anti-EGFR)藥品治療。</w:t>
      </w:r>
    </w:p>
    <w:p w14:paraId="3E8BFA78"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(3)ECOG分數≦2。</w:t>
      </w:r>
    </w:p>
    <w:p w14:paraId="1B149EE5"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(4)需檢附BRAF V600E突變之基因檢測報告，且需符合全民健康保險藥品給付規定之通則十二。</w:t>
      </w:r>
    </w:p>
    <w:p w14:paraId="01206DBE"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2.</w:t>
      </w:r>
      <w:r w:rsidRPr="00FA6C45">
        <w:rPr>
          <w:rFonts w:ascii="標楷體" w:eastAsia="標楷體" w:hAnsi="標楷體"/>
        </w:rPr>
        <w:t>須經事前審查核准後使用，初次申請之療程以12週為限，之後每12週申請一次，再次申請時必須提出客觀影像學證據（如：影像學）證實無惡化，才可繼續使用。</w:t>
      </w:r>
    </w:p>
    <w:p w14:paraId="541ECE7D"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3.</w:t>
      </w:r>
      <w:r w:rsidRPr="00FA6C45">
        <w:rPr>
          <w:rFonts w:ascii="標楷體" w:eastAsia="標楷體" w:hAnsi="標楷體"/>
        </w:rPr>
        <w:t>使用總療程以24週為上限。</w:t>
      </w:r>
    </w:p>
    <w:p w14:paraId="3CE481A8" w14:textId="77777777" w:rsidR="00F3352F"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4.</w:t>
      </w:r>
      <w:r w:rsidRPr="00FA6C45">
        <w:rPr>
          <w:rFonts w:ascii="標楷體" w:eastAsia="標楷體" w:hAnsi="標楷體"/>
        </w:rPr>
        <w:t>使用本品併用cetuximab作為第二線治療，不得再申請給付抗表皮生長因子受體(anti-EGFR)藥品作為後續治療。</w:t>
      </w:r>
    </w:p>
    <w:p w14:paraId="732568DF" w14:textId="77777777" w:rsidR="00317494" w:rsidRDefault="00317494" w:rsidP="00317494">
      <w:pPr>
        <w:spacing w:line="400" w:lineRule="exact"/>
        <w:ind w:left="709" w:hanging="451"/>
      </w:pPr>
      <w:bookmarkStart w:id="53" w:name="_Hlk230359992"/>
      <w:r>
        <w:rPr>
          <w:rFonts w:ascii="標楷體" w:eastAsia="標楷體" w:hAnsi="標楷體" w:cs="標楷體"/>
          <w:color w:val="000000"/>
          <w:kern w:val="0"/>
          <w:szCs w:val="24"/>
        </w:rPr>
        <w:t>9.135.</w:t>
      </w:r>
      <w:r w:rsidRPr="00F07CD5">
        <w:rPr>
          <w:rFonts w:hint="eastAsia"/>
        </w:rPr>
        <w:t xml:space="preserve"> </w:t>
      </w:r>
      <w:proofErr w:type="spellStart"/>
      <w:r w:rsidRPr="00F07CD5">
        <w:rPr>
          <w:rFonts w:ascii="標楷體" w:eastAsia="標楷體" w:hAnsi="標楷體" w:cs="標楷體" w:hint="eastAsia"/>
          <w:color w:val="000000"/>
          <w:kern w:val="0"/>
          <w:szCs w:val="24"/>
        </w:rPr>
        <w:t>Capivasertib</w:t>
      </w:r>
      <w:proofErr w:type="spellEnd"/>
      <w:r w:rsidRPr="00F07CD5">
        <w:rPr>
          <w:rFonts w:ascii="標楷體" w:eastAsia="標楷體" w:hAnsi="標楷體" w:cs="標楷體" w:hint="eastAsia"/>
          <w:color w:val="000000"/>
          <w:kern w:val="0"/>
          <w:szCs w:val="24"/>
        </w:rPr>
        <w:t xml:space="preserve"> (如</w:t>
      </w:r>
      <w:proofErr w:type="spellStart"/>
      <w:r w:rsidRPr="00F07CD5">
        <w:rPr>
          <w:rFonts w:ascii="標楷體" w:eastAsia="標楷體" w:hAnsi="標楷體" w:cs="標楷體" w:hint="eastAsia"/>
          <w:color w:val="000000"/>
          <w:kern w:val="0"/>
          <w:szCs w:val="24"/>
        </w:rPr>
        <w:t>Truqap</w:t>
      </w:r>
      <w:proofErr w:type="spellEnd"/>
      <w:r w:rsidRPr="00F07CD5">
        <w:rPr>
          <w:rFonts w:ascii="標楷體" w:eastAsia="標楷體" w:hAnsi="標楷體" w:cs="標楷體" w:hint="eastAsia"/>
          <w:color w:val="000000"/>
          <w:kern w:val="0"/>
          <w:szCs w:val="24"/>
        </w:rPr>
        <w:t>)</w:t>
      </w:r>
      <w:r>
        <w:rPr>
          <w:rFonts w:ascii="標楷體" w:eastAsia="標楷體" w:hAnsi="標楷體" w:cs="標楷體"/>
          <w:color w:val="000000"/>
          <w:kern w:val="0"/>
          <w:szCs w:val="24"/>
        </w:rPr>
        <w:t>：(</w:t>
      </w:r>
      <w:r>
        <w:rPr>
          <w:rFonts w:ascii="標楷體" w:eastAsia="標楷體" w:hAnsi="標楷體" w:cs="標楷體" w:hint="eastAsia"/>
          <w:color w:val="000000"/>
          <w:kern w:val="0"/>
          <w:szCs w:val="24"/>
        </w:rPr>
        <w:t>115/6/1</w:t>
      </w:r>
      <w:r>
        <w:rPr>
          <w:rFonts w:ascii="標楷體" w:eastAsia="標楷體" w:hAnsi="標楷體" w:cs="標楷體"/>
          <w:color w:val="000000"/>
          <w:kern w:val="0"/>
          <w:szCs w:val="24"/>
        </w:rPr>
        <w:t>)</w:t>
      </w:r>
    </w:p>
    <w:p w14:paraId="7D353861" w14:textId="77777777" w:rsidR="00317494" w:rsidRDefault="00317494" w:rsidP="00317494">
      <w:pPr>
        <w:spacing w:line="400" w:lineRule="exact"/>
        <w:ind w:left="849" w:hanging="283"/>
      </w:pPr>
      <w:r>
        <w:rPr>
          <w:rFonts w:ascii="標楷體" w:eastAsia="標楷體" w:hAnsi="標楷體" w:cs="標楷體"/>
          <w:color w:val="000000"/>
          <w:kern w:val="0"/>
          <w:szCs w:val="24"/>
        </w:rPr>
        <w:t>1.與</w:t>
      </w:r>
      <w:proofErr w:type="spellStart"/>
      <w:r>
        <w:rPr>
          <w:rFonts w:ascii="標楷體" w:eastAsia="標楷體" w:hAnsi="標楷體"/>
        </w:rPr>
        <w:t>fulvestrant</w:t>
      </w:r>
      <w:proofErr w:type="spellEnd"/>
      <w:r>
        <w:rPr>
          <w:rFonts w:ascii="標楷體" w:eastAsia="標楷體" w:hAnsi="標楷體" w:cs="標楷體"/>
          <w:color w:val="000000"/>
          <w:kern w:val="0"/>
          <w:szCs w:val="24"/>
        </w:rPr>
        <w:t>併用於曾接受CDK4/6抑制劑治療但疾病惡化的停經後轉移性乳癌病人，且須完全符合下列條件：</w:t>
      </w:r>
    </w:p>
    <w:p w14:paraId="7DC0EDBA" w14:textId="77777777" w:rsidR="00317494" w:rsidRDefault="00317494" w:rsidP="00317494">
      <w:pPr>
        <w:snapToGrid w:val="0"/>
        <w:spacing w:line="400" w:lineRule="exact"/>
        <w:ind w:left="1133" w:hanging="365"/>
        <w:jc w:val="both"/>
      </w:pPr>
      <w:r>
        <w:rPr>
          <w:rFonts w:ascii="標楷體" w:eastAsia="標楷體" w:hAnsi="標楷體" w:cs="標楷體"/>
          <w:color w:val="000000"/>
          <w:kern w:val="0"/>
          <w:szCs w:val="24"/>
        </w:rPr>
        <w:t>(1)</w:t>
      </w:r>
      <w:r w:rsidRPr="00F07CD5">
        <w:rPr>
          <w:rFonts w:ascii="標楷體" w:eastAsia="標楷體" w:hAnsi="標楷體" w:cs="標楷體" w:hint="eastAsia"/>
          <w:color w:val="000000"/>
          <w:kern w:val="0"/>
          <w:szCs w:val="24"/>
        </w:rPr>
        <w:t>荷爾蒙受體為陽性(ER或PR&gt;30%)</w:t>
      </w:r>
      <w:r>
        <w:rPr>
          <w:rFonts w:ascii="標楷體" w:eastAsia="標楷體" w:hAnsi="標楷體"/>
          <w:szCs w:val="24"/>
        </w:rPr>
        <w:t>。</w:t>
      </w:r>
    </w:p>
    <w:p w14:paraId="6D6CE896" w14:textId="77777777" w:rsidR="00317494" w:rsidRDefault="00317494" w:rsidP="00317494">
      <w:pPr>
        <w:snapToGrid w:val="0"/>
        <w:spacing w:line="400" w:lineRule="exact"/>
        <w:ind w:left="1133" w:hanging="365"/>
        <w:jc w:val="both"/>
        <w:rPr>
          <w:rFonts w:ascii="標楷體" w:eastAsia="標楷體" w:hAnsi="標楷體"/>
          <w:szCs w:val="24"/>
        </w:rPr>
      </w:pPr>
      <w:r>
        <w:rPr>
          <w:rFonts w:ascii="標楷體" w:eastAsia="標楷體" w:hAnsi="標楷體"/>
          <w:szCs w:val="24"/>
        </w:rPr>
        <w:t>(2)</w:t>
      </w:r>
      <w:r w:rsidRPr="00F07CD5">
        <w:rPr>
          <w:rFonts w:ascii="標楷體" w:eastAsia="標楷體" w:hAnsi="標楷體" w:hint="eastAsia"/>
          <w:szCs w:val="24"/>
        </w:rPr>
        <w:t>第二型人類表皮生長因子受體(HER2)陰性。</w:t>
      </w:r>
    </w:p>
    <w:p w14:paraId="0623B19D" w14:textId="77777777" w:rsidR="00317494" w:rsidRDefault="00317494" w:rsidP="00317494">
      <w:pPr>
        <w:snapToGrid w:val="0"/>
        <w:spacing w:line="400" w:lineRule="exact"/>
        <w:ind w:left="1133" w:hanging="365"/>
        <w:jc w:val="both"/>
      </w:pPr>
      <w:r>
        <w:rPr>
          <w:rFonts w:ascii="標楷體" w:eastAsia="標楷體" w:hAnsi="標楷體"/>
          <w:szCs w:val="24"/>
        </w:rPr>
        <w:t>(3)</w:t>
      </w:r>
      <w:r w:rsidRPr="00F07CD5">
        <w:rPr>
          <w:rFonts w:ascii="標楷體" w:eastAsia="標楷體" w:hAnsi="標楷體" w:hint="eastAsia"/>
          <w:szCs w:val="24"/>
        </w:rPr>
        <w:t>具PIK3CA/AKT1/PTEN任一變異。</w:t>
      </w:r>
    </w:p>
    <w:p w14:paraId="226195E6" w14:textId="77777777" w:rsidR="00317494" w:rsidRDefault="00317494" w:rsidP="00317494">
      <w:pPr>
        <w:spacing w:line="400" w:lineRule="exact"/>
        <w:ind w:left="849" w:hanging="283"/>
        <w:rPr>
          <w:rFonts w:ascii="標楷體" w:eastAsia="標楷體" w:hAnsi="標楷體"/>
          <w:szCs w:val="24"/>
        </w:rPr>
      </w:pPr>
      <w:r>
        <w:rPr>
          <w:rFonts w:ascii="標楷體" w:eastAsia="標楷體" w:hAnsi="標楷體"/>
          <w:szCs w:val="24"/>
        </w:rPr>
        <w:t>2.需經事前審查核准後使用：</w:t>
      </w:r>
    </w:p>
    <w:p w14:paraId="14C0656F" w14:textId="77777777" w:rsidR="00317494" w:rsidRDefault="00317494" w:rsidP="00317494">
      <w:pPr>
        <w:snapToGrid w:val="0"/>
        <w:spacing w:line="400" w:lineRule="exact"/>
        <w:ind w:left="1133" w:hanging="365"/>
        <w:jc w:val="both"/>
      </w:pPr>
      <w:r>
        <w:rPr>
          <w:rFonts w:ascii="標楷體" w:eastAsia="標楷體" w:hAnsi="標楷體"/>
          <w:szCs w:val="24"/>
        </w:rPr>
        <w:t>(1)</w:t>
      </w:r>
      <w:r w:rsidRPr="00F07CD5">
        <w:rPr>
          <w:rFonts w:ascii="標楷體" w:eastAsia="標楷體" w:hAnsi="標楷體" w:hint="eastAsia"/>
          <w:szCs w:val="24"/>
        </w:rPr>
        <w:t>初次申請需檢附PIK3CA/AKT1/PTEN任一變異檢測報告，且需符合全民健康保險藥品給付規定之通則十二</w:t>
      </w:r>
      <w:r>
        <w:rPr>
          <w:rFonts w:ascii="標楷體" w:eastAsia="標楷體" w:hAnsi="標楷體" w:cs="標楷體"/>
          <w:color w:val="000000"/>
          <w:kern w:val="0"/>
          <w:szCs w:val="24"/>
        </w:rPr>
        <w:t>。</w:t>
      </w:r>
    </w:p>
    <w:p w14:paraId="340014BD" w14:textId="77777777" w:rsidR="00317494" w:rsidRPr="00F07CD5" w:rsidRDefault="00317494" w:rsidP="00317494">
      <w:pPr>
        <w:snapToGrid w:val="0"/>
        <w:spacing w:line="400" w:lineRule="exact"/>
        <w:ind w:left="1133" w:hanging="365"/>
        <w:jc w:val="both"/>
        <w:rPr>
          <w:rFonts w:ascii="標楷體" w:eastAsia="標楷體" w:hAnsi="標楷體" w:cs="標楷體"/>
          <w:color w:val="000000"/>
          <w:kern w:val="0"/>
          <w:szCs w:val="24"/>
        </w:rPr>
      </w:pPr>
      <w:r>
        <w:rPr>
          <w:rFonts w:ascii="標楷體" w:eastAsia="標楷體" w:hAnsi="標楷體"/>
          <w:szCs w:val="24"/>
        </w:rPr>
        <w:t>(2)</w:t>
      </w:r>
      <w:r w:rsidRPr="00F07CD5">
        <w:rPr>
          <w:rFonts w:hint="eastAsia"/>
        </w:rPr>
        <w:t xml:space="preserve"> </w:t>
      </w:r>
      <w:r w:rsidRPr="00F07CD5">
        <w:rPr>
          <w:rFonts w:ascii="標楷體" w:eastAsia="標楷體" w:hAnsi="標楷體" w:cs="標楷體" w:hint="eastAsia"/>
          <w:color w:val="000000"/>
          <w:kern w:val="0"/>
          <w:szCs w:val="24"/>
        </w:rPr>
        <w:t>核准後每12週需檢附療效評估資料再次申請，若疾病惡化即必須停止使用</w:t>
      </w:r>
    </w:p>
    <w:p w14:paraId="1E71B416" w14:textId="6547E972" w:rsidR="00317494" w:rsidRPr="00317494" w:rsidRDefault="00317494" w:rsidP="00317494">
      <w:pPr>
        <w:spacing w:line="400" w:lineRule="exact"/>
        <w:ind w:left="849" w:hanging="283"/>
      </w:pPr>
      <w:r>
        <w:rPr>
          <w:rFonts w:ascii="標楷體" w:eastAsia="標楷體" w:hAnsi="標楷體"/>
          <w:szCs w:val="24"/>
        </w:rPr>
        <w:t>3</w:t>
      </w:r>
      <w:r w:rsidRPr="00CF53C1">
        <w:rPr>
          <w:rFonts w:ascii="標楷體" w:eastAsia="標楷體" w:hAnsi="標楷體" w:hint="eastAsia"/>
          <w:szCs w:val="24"/>
        </w:rPr>
        <w:t>.</w:t>
      </w:r>
      <w:r w:rsidRPr="00F07CD5">
        <w:rPr>
          <w:rFonts w:ascii="標楷體" w:eastAsia="標楷體" w:hAnsi="標楷體" w:hint="eastAsia"/>
          <w:szCs w:val="24"/>
        </w:rPr>
        <w:t>本藥品併用</w:t>
      </w:r>
      <w:proofErr w:type="spellStart"/>
      <w:r w:rsidRPr="00F07CD5">
        <w:rPr>
          <w:rFonts w:ascii="標楷體" w:eastAsia="標楷體" w:hAnsi="標楷體" w:hint="eastAsia"/>
          <w:szCs w:val="24"/>
        </w:rPr>
        <w:t>fulvestrant</w:t>
      </w:r>
      <w:proofErr w:type="spellEnd"/>
      <w:r w:rsidRPr="00F07CD5">
        <w:rPr>
          <w:rFonts w:ascii="標楷體" w:eastAsia="標楷體" w:hAnsi="標楷體" w:hint="eastAsia"/>
          <w:szCs w:val="24"/>
        </w:rPr>
        <w:t>與</w:t>
      </w:r>
      <w:proofErr w:type="spellStart"/>
      <w:r w:rsidRPr="00F07CD5">
        <w:rPr>
          <w:rFonts w:ascii="標楷體" w:eastAsia="標楷體" w:hAnsi="標楷體" w:hint="eastAsia"/>
          <w:szCs w:val="24"/>
        </w:rPr>
        <w:t>alpelisib</w:t>
      </w:r>
      <w:proofErr w:type="spellEnd"/>
      <w:r w:rsidRPr="00F07CD5">
        <w:rPr>
          <w:rFonts w:ascii="標楷體" w:eastAsia="標楷體" w:hAnsi="標楷體" w:hint="eastAsia"/>
          <w:szCs w:val="24"/>
        </w:rPr>
        <w:t>併用</w:t>
      </w:r>
      <w:proofErr w:type="spellStart"/>
      <w:r w:rsidRPr="00F07CD5">
        <w:rPr>
          <w:rFonts w:ascii="標楷體" w:eastAsia="標楷體" w:hAnsi="標楷體" w:hint="eastAsia"/>
          <w:szCs w:val="24"/>
        </w:rPr>
        <w:t>fulvestrant</w:t>
      </w:r>
      <w:proofErr w:type="spellEnd"/>
      <w:r w:rsidRPr="00F07CD5">
        <w:rPr>
          <w:rFonts w:ascii="標楷體" w:eastAsia="標楷體" w:hAnsi="標楷體" w:hint="eastAsia"/>
          <w:szCs w:val="24"/>
        </w:rPr>
        <w:t>用於PIK3CA基因變異病人時，僅得擇一給付</w:t>
      </w:r>
      <w:r>
        <w:rPr>
          <w:rFonts w:ascii="標楷體" w:eastAsia="標楷體" w:hAnsi="標楷體" w:hint="eastAsia"/>
          <w:szCs w:val="24"/>
        </w:rPr>
        <w:t>。</w:t>
      </w:r>
      <w:bookmarkEnd w:id="53"/>
    </w:p>
    <w:p w14:paraId="154D1D9E" w14:textId="77777777" w:rsidR="00474434" w:rsidRPr="00DD4159" w:rsidRDefault="00474434" w:rsidP="00474434">
      <w:pPr>
        <w:spacing w:line="400" w:lineRule="exact"/>
        <w:ind w:left="308" w:hanging="308"/>
        <w:rPr>
          <w:rFonts w:ascii="標楷體" w:eastAsia="標楷體" w:hAnsi="標楷體"/>
        </w:rPr>
      </w:pPr>
      <w:r w:rsidRPr="00474434">
        <w:rPr>
          <w:rFonts w:ascii="標楷體" w:eastAsia="標楷體" w:hAnsi="標楷體"/>
        </w:rPr>
        <w:t>9.136.Fruquitinib (如</w:t>
      </w:r>
      <w:proofErr w:type="spellStart"/>
      <w:r w:rsidRPr="00474434">
        <w:rPr>
          <w:rFonts w:ascii="標楷體" w:eastAsia="標楷體" w:hAnsi="標楷體"/>
        </w:rPr>
        <w:t>Fruzaqla</w:t>
      </w:r>
      <w:proofErr w:type="spellEnd"/>
      <w:r w:rsidRPr="00474434">
        <w:rPr>
          <w:rFonts w:ascii="標楷體" w:eastAsia="標楷體" w:hAnsi="標楷體"/>
        </w:rPr>
        <w:t>)：(115/6/1)</w:t>
      </w:r>
    </w:p>
    <w:p w14:paraId="4A75F5B6" w14:textId="77777777" w:rsidR="00474434" w:rsidRPr="00DD4159" w:rsidRDefault="00474434" w:rsidP="00474434">
      <w:pPr>
        <w:pStyle w:val="Default"/>
        <w:spacing w:line="400" w:lineRule="exact"/>
        <w:ind w:left="516" w:hanging="278"/>
        <w:rPr>
          <w:rFonts w:ascii="標楷體" w:eastAsia="標楷體" w:hAnsi="標楷體"/>
          <w:color w:val="auto"/>
        </w:rPr>
      </w:pPr>
      <w:r w:rsidRPr="00DD4159">
        <w:rPr>
          <w:rFonts w:ascii="標楷體" w:eastAsia="標楷體" w:hAnsi="標楷體"/>
          <w:color w:val="auto"/>
        </w:rPr>
        <w:t>1.用於先前曾接受下列療法的轉移性大腸直腸癌(mCRC)病人，療法包括fluoropyrimidine、oxaliplatin、irinotecan為基礎的化療，和抗血管內皮生長因子(anti-VEGF)等療法；若K-RAS為原生型(wild type)，則需再加上接受過抗表皮生長因子受體(anti-EGFR)療法。</w:t>
      </w:r>
    </w:p>
    <w:p w14:paraId="2A60339D" w14:textId="77777777" w:rsidR="00474434" w:rsidRPr="00DD4159" w:rsidRDefault="00474434" w:rsidP="00474434">
      <w:pPr>
        <w:pStyle w:val="Default"/>
        <w:spacing w:line="400" w:lineRule="exact"/>
        <w:ind w:left="520" w:hanging="280"/>
      </w:pPr>
      <w:r w:rsidRPr="00DD4159">
        <w:rPr>
          <w:rFonts w:ascii="標楷體" w:eastAsia="標楷體" w:hAnsi="標楷體"/>
        </w:rPr>
        <w:t xml:space="preserve">2.需檢附All-RAS基因突變分析檢測結果報告，且需符合全民健康保險藥品給付規定之通則十二。 </w:t>
      </w:r>
    </w:p>
    <w:p w14:paraId="47A8E879" w14:textId="77777777" w:rsidR="00474434" w:rsidRPr="00DD4159" w:rsidRDefault="00474434" w:rsidP="00474434">
      <w:pPr>
        <w:pStyle w:val="Default"/>
        <w:spacing w:line="400" w:lineRule="exact"/>
        <w:ind w:left="520" w:hanging="280"/>
        <w:rPr>
          <w:rFonts w:ascii="標楷體" w:eastAsia="標楷體" w:hAnsi="標楷體"/>
        </w:rPr>
      </w:pPr>
      <w:r w:rsidRPr="00DD4159">
        <w:rPr>
          <w:rFonts w:ascii="標楷體" w:eastAsia="標楷體" w:hAnsi="標楷體"/>
        </w:rPr>
        <w:t>3.須經事前審查核准後使用，每次申請之療程以8週為限，再次申請必須提出客觀證據（如：影像學）證實無惡化，才可繼續使用。</w:t>
      </w:r>
    </w:p>
    <w:p w14:paraId="20591952" w14:textId="35EB4D03" w:rsidR="00F3352F" w:rsidRPr="00F3352F" w:rsidRDefault="00474434" w:rsidP="00474434">
      <w:pPr>
        <w:spacing w:line="400" w:lineRule="exact"/>
        <w:ind w:left="567"/>
        <w:rPr>
          <w:rFonts w:ascii="標楷體" w:eastAsia="標楷體" w:hAnsi="標楷體"/>
        </w:rPr>
      </w:pPr>
      <w:r w:rsidRPr="00DD4159">
        <w:rPr>
          <w:rFonts w:ascii="標楷體" w:eastAsia="標楷體" w:hAnsi="標楷體"/>
        </w:rPr>
        <w:t>4.Fruzaqla 5mg每日至多給付1粒，</w:t>
      </w:r>
      <w:proofErr w:type="spellStart"/>
      <w:r w:rsidRPr="00DD4159">
        <w:rPr>
          <w:rFonts w:ascii="標楷體" w:eastAsia="標楷體" w:hAnsi="標楷體"/>
        </w:rPr>
        <w:t>Fruzaqla</w:t>
      </w:r>
      <w:proofErr w:type="spellEnd"/>
      <w:r w:rsidRPr="00DD4159">
        <w:rPr>
          <w:rFonts w:ascii="標楷體" w:eastAsia="標楷體" w:hAnsi="標楷體"/>
        </w:rPr>
        <w:t xml:space="preserve"> 1mg每日至多給付4粒。</w:t>
      </w:r>
    </w:p>
    <w:sectPr w:rsidR="00F3352F" w:rsidRPr="00F3352F">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5DF608" w14:textId="77777777" w:rsidR="00DE6257" w:rsidRDefault="00DE6257">
      <w:r>
        <w:separator/>
      </w:r>
    </w:p>
  </w:endnote>
  <w:endnote w:type="continuationSeparator" w:id="0">
    <w:p w14:paraId="30701E92" w14:textId="77777777" w:rsidR="00DE6257" w:rsidRDefault="00DE62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altName w:val="Arial"/>
    <w:panose1 w:val="020B0604020202020204"/>
    <w:charset w:val="00"/>
    <w:family w:val="swiss"/>
    <w:pitch w:val="variable"/>
  </w:font>
  <w:font w:name="Cambria">
    <w:panose1 w:val="02040503050406030204"/>
    <w:charset w:val="00"/>
    <w:family w:val="roman"/>
    <w:pitch w:val="variable"/>
    <w:sig w:usb0="E00006FF" w:usb1="420024FF" w:usb2="02000000" w:usb3="00000000" w:csb0="0000019F" w:csb1="00000000"/>
  </w:font>
  <w:font w:name="標楷體.鬁...">
    <w:altName w:val="微軟正黑體"/>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991B5" w14:textId="77777777" w:rsidR="00D65C5D" w:rsidRDefault="00D65C5D">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1E49B8" w14:textId="77777777" w:rsidR="00DE6257" w:rsidRDefault="00DE6257">
      <w:r>
        <w:rPr>
          <w:color w:val="000000"/>
        </w:rPr>
        <w:separator/>
      </w:r>
    </w:p>
  </w:footnote>
  <w:footnote w:type="continuationSeparator" w:id="0">
    <w:p w14:paraId="6B4A2A85" w14:textId="77777777" w:rsidR="00DE6257" w:rsidRDefault="00DE62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5DB6028"/>
    <w:multiLevelType w:val="multilevel"/>
    <w:tmpl w:val="6916CE06"/>
    <w:lvl w:ilvl="0">
      <w:start w:val="1"/>
      <w:numFmt w:val="upperRoman"/>
      <w:suff w:val="nothing"/>
      <w:lvlText w:val="%1."/>
      <w:lvlJc w:val="left"/>
      <w:pPr>
        <w:ind w:left="622" w:hanging="480"/>
      </w:pPr>
      <w:rPr>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2"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4"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6"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7"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8" w15:restartNumberingAfterBreak="0">
    <w:nsid w:val="210C7120"/>
    <w:multiLevelType w:val="hybridMultilevel"/>
    <w:tmpl w:val="F48E7D8E"/>
    <w:lvl w:ilvl="0" w:tplc="0409001B">
      <w:start w:val="1"/>
      <w:numFmt w:val="lowerRoman"/>
      <w:lvlText w:val="%1."/>
      <w:lvlJc w:val="right"/>
      <w:pPr>
        <w:ind w:left="1109" w:hanging="480"/>
      </w:pPr>
    </w:lvl>
    <w:lvl w:ilvl="1" w:tplc="122A3416">
      <w:start w:val="1"/>
      <w:numFmt w:val="lowerRoman"/>
      <w:lvlText w:val="%2."/>
      <w:lvlJc w:val="right"/>
      <w:pPr>
        <w:ind w:left="906" w:hanging="480"/>
      </w:pPr>
      <w:rPr>
        <w:u w:val="single"/>
      </w:rPr>
    </w:lvl>
    <w:lvl w:ilvl="2" w:tplc="0409001B" w:tentative="1">
      <w:start w:val="1"/>
      <w:numFmt w:val="lowerRoman"/>
      <w:lvlText w:val="%3."/>
      <w:lvlJc w:val="right"/>
      <w:pPr>
        <w:ind w:left="2069" w:hanging="480"/>
      </w:pPr>
    </w:lvl>
    <w:lvl w:ilvl="3" w:tplc="0409000F" w:tentative="1">
      <w:start w:val="1"/>
      <w:numFmt w:val="decimal"/>
      <w:lvlText w:val="%4."/>
      <w:lvlJc w:val="left"/>
      <w:pPr>
        <w:ind w:left="2549" w:hanging="480"/>
      </w:pPr>
    </w:lvl>
    <w:lvl w:ilvl="4" w:tplc="04090019" w:tentative="1">
      <w:start w:val="1"/>
      <w:numFmt w:val="ideographTraditional"/>
      <w:lvlText w:val="%5、"/>
      <w:lvlJc w:val="left"/>
      <w:pPr>
        <w:ind w:left="3029" w:hanging="480"/>
      </w:pPr>
    </w:lvl>
    <w:lvl w:ilvl="5" w:tplc="0409001B" w:tentative="1">
      <w:start w:val="1"/>
      <w:numFmt w:val="lowerRoman"/>
      <w:lvlText w:val="%6."/>
      <w:lvlJc w:val="right"/>
      <w:pPr>
        <w:ind w:left="3509" w:hanging="480"/>
      </w:pPr>
    </w:lvl>
    <w:lvl w:ilvl="6" w:tplc="0409000F" w:tentative="1">
      <w:start w:val="1"/>
      <w:numFmt w:val="decimal"/>
      <w:lvlText w:val="%7."/>
      <w:lvlJc w:val="left"/>
      <w:pPr>
        <w:ind w:left="3989" w:hanging="480"/>
      </w:pPr>
    </w:lvl>
    <w:lvl w:ilvl="7" w:tplc="04090019" w:tentative="1">
      <w:start w:val="1"/>
      <w:numFmt w:val="ideographTraditional"/>
      <w:lvlText w:val="%8、"/>
      <w:lvlJc w:val="left"/>
      <w:pPr>
        <w:ind w:left="4469" w:hanging="480"/>
      </w:pPr>
    </w:lvl>
    <w:lvl w:ilvl="8" w:tplc="0409001B" w:tentative="1">
      <w:start w:val="1"/>
      <w:numFmt w:val="lowerRoman"/>
      <w:lvlText w:val="%9."/>
      <w:lvlJc w:val="right"/>
      <w:pPr>
        <w:ind w:left="4949" w:hanging="480"/>
      </w:pPr>
    </w:lvl>
  </w:abstractNum>
  <w:abstractNum w:abstractNumId="9" w15:restartNumberingAfterBreak="0">
    <w:nsid w:val="21E50421"/>
    <w:multiLevelType w:val="multilevel"/>
    <w:tmpl w:val="087CDEB6"/>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0"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11" w15:restartNumberingAfterBreak="0">
    <w:nsid w:val="28561A86"/>
    <w:multiLevelType w:val="multilevel"/>
    <w:tmpl w:val="E93E9864"/>
    <w:lvl w:ilvl="0">
      <w:start w:val="1"/>
      <w:numFmt w:val="decimal"/>
      <w:lvlText w:val="(%1)"/>
      <w:lvlJc w:val="left"/>
      <w:pPr>
        <w:ind w:left="480" w:hanging="480"/>
      </w:pPr>
      <w:rPr>
        <w:rFonts w:ascii="標楷體" w:eastAsia="標楷體" w:hAnsi="標楷體"/>
        <w:sz w:val="24"/>
        <w:szCs w:val="24"/>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2"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5"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6" w15:restartNumberingAfterBreak="0">
    <w:nsid w:val="39C03518"/>
    <w:multiLevelType w:val="hybridMultilevel"/>
    <w:tmpl w:val="8CFE6E8A"/>
    <w:lvl w:ilvl="0" w:tplc="082CF75E">
      <w:start w:val="1"/>
      <w:numFmt w:val="upperRoman"/>
      <w:lvlText w:val="%1."/>
      <w:lvlJc w:val="left"/>
      <w:pPr>
        <w:ind w:left="1228" w:hanging="480"/>
      </w:pPr>
      <w:rPr>
        <w:rFonts w:ascii="標楷體" w:eastAsia="標楷體" w:hAnsi="標楷體"/>
        <w:b w:val="0"/>
        <w:sz w:val="24"/>
        <w:szCs w:val="24"/>
      </w:rPr>
    </w:lvl>
    <w:lvl w:ilvl="1" w:tplc="04090019" w:tentative="1">
      <w:start w:val="1"/>
      <w:numFmt w:val="ideographTraditional"/>
      <w:lvlText w:val="%2、"/>
      <w:lvlJc w:val="left"/>
      <w:pPr>
        <w:ind w:left="1708" w:hanging="480"/>
      </w:pPr>
    </w:lvl>
    <w:lvl w:ilvl="2" w:tplc="0409001B" w:tentative="1">
      <w:start w:val="1"/>
      <w:numFmt w:val="lowerRoman"/>
      <w:lvlText w:val="%3."/>
      <w:lvlJc w:val="right"/>
      <w:pPr>
        <w:ind w:left="2188" w:hanging="480"/>
      </w:pPr>
    </w:lvl>
    <w:lvl w:ilvl="3" w:tplc="0409000F" w:tentative="1">
      <w:start w:val="1"/>
      <w:numFmt w:val="decimal"/>
      <w:lvlText w:val="%4."/>
      <w:lvlJc w:val="left"/>
      <w:pPr>
        <w:ind w:left="2668" w:hanging="480"/>
      </w:pPr>
    </w:lvl>
    <w:lvl w:ilvl="4" w:tplc="04090019" w:tentative="1">
      <w:start w:val="1"/>
      <w:numFmt w:val="ideographTraditional"/>
      <w:lvlText w:val="%5、"/>
      <w:lvlJc w:val="left"/>
      <w:pPr>
        <w:ind w:left="3148" w:hanging="480"/>
      </w:pPr>
    </w:lvl>
    <w:lvl w:ilvl="5" w:tplc="0409001B" w:tentative="1">
      <w:start w:val="1"/>
      <w:numFmt w:val="lowerRoman"/>
      <w:lvlText w:val="%6."/>
      <w:lvlJc w:val="right"/>
      <w:pPr>
        <w:ind w:left="3628" w:hanging="480"/>
      </w:pPr>
    </w:lvl>
    <w:lvl w:ilvl="6" w:tplc="0409000F" w:tentative="1">
      <w:start w:val="1"/>
      <w:numFmt w:val="decimal"/>
      <w:lvlText w:val="%7."/>
      <w:lvlJc w:val="left"/>
      <w:pPr>
        <w:ind w:left="4108" w:hanging="480"/>
      </w:pPr>
    </w:lvl>
    <w:lvl w:ilvl="7" w:tplc="04090019" w:tentative="1">
      <w:start w:val="1"/>
      <w:numFmt w:val="ideographTraditional"/>
      <w:lvlText w:val="%8、"/>
      <w:lvlJc w:val="left"/>
      <w:pPr>
        <w:ind w:left="4588" w:hanging="480"/>
      </w:pPr>
    </w:lvl>
    <w:lvl w:ilvl="8" w:tplc="0409001B" w:tentative="1">
      <w:start w:val="1"/>
      <w:numFmt w:val="lowerRoman"/>
      <w:lvlText w:val="%9."/>
      <w:lvlJc w:val="right"/>
      <w:pPr>
        <w:ind w:left="5068" w:hanging="480"/>
      </w:pPr>
    </w:lvl>
  </w:abstractNum>
  <w:abstractNum w:abstractNumId="17"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18" w15:restartNumberingAfterBreak="0">
    <w:nsid w:val="3BE7592B"/>
    <w:multiLevelType w:val="multilevel"/>
    <w:tmpl w:val="3FD2E9BC"/>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3C1B263B"/>
    <w:multiLevelType w:val="multilevel"/>
    <w:tmpl w:val="B5E6E9FC"/>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20"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1"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48D227B"/>
    <w:multiLevelType w:val="multilevel"/>
    <w:tmpl w:val="21FAC576"/>
    <w:lvl w:ilvl="0">
      <w:start w:val="9"/>
      <w:numFmt w:val="upperRoman"/>
      <w:lvlText w:val="%1."/>
      <w:lvlJc w:val="left"/>
      <w:pPr>
        <w:ind w:left="1440" w:hanging="480"/>
      </w:pPr>
      <w:rPr>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23"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4" w15:restartNumberingAfterBreak="0">
    <w:nsid w:val="494D431F"/>
    <w:multiLevelType w:val="multilevel"/>
    <w:tmpl w:val="9F1CA324"/>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5"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6" w15:restartNumberingAfterBreak="0">
    <w:nsid w:val="4A95724D"/>
    <w:multiLevelType w:val="multilevel"/>
    <w:tmpl w:val="E8163540"/>
    <w:lvl w:ilvl="0">
      <w:start w:val="1"/>
      <w:numFmt w:val="decimal"/>
      <w:lvlText w:val="(%1)"/>
      <w:lvlJc w:val="left"/>
      <w:pPr>
        <w:ind w:left="612" w:hanging="492"/>
      </w:pPr>
      <w:rPr>
        <w:rFonts w:ascii="標楷體" w:eastAsia="標楷體" w:hAnsi="標楷體"/>
        <w:color w:val="auto"/>
        <w:u w:val="none"/>
      </w:rPr>
    </w:lvl>
    <w:lvl w:ilvl="1">
      <w:start w:val="1"/>
      <w:numFmt w:val="upperRoman"/>
      <w:lvlText w:val="%2."/>
      <w:lvlJc w:val="left"/>
      <w:pPr>
        <w:ind w:left="1080" w:hanging="480"/>
      </w:pPr>
    </w:lvl>
    <w:lvl w:ilvl="2">
      <w:start w:val="1"/>
      <w:numFmt w:val="lowerRoman"/>
      <w:lvlText w:val="."/>
      <w:lvlJc w:val="right"/>
      <w:pPr>
        <w:ind w:left="1560" w:hanging="480"/>
      </w:pPr>
    </w:lvl>
    <w:lvl w:ilvl="3">
      <w:start w:val="1"/>
      <w:numFmt w:val="decimal"/>
      <w:lvlText w:val="."/>
      <w:lvlJc w:val="left"/>
      <w:pPr>
        <w:ind w:left="2040" w:hanging="480"/>
      </w:pPr>
    </w:lvl>
    <w:lvl w:ilvl="4">
      <w:start w:val="1"/>
      <w:numFmt w:val="ideographTraditional"/>
      <w:lvlText w:val="、"/>
      <w:lvlJc w:val="left"/>
      <w:pPr>
        <w:ind w:left="2520" w:hanging="480"/>
      </w:pPr>
    </w:lvl>
    <w:lvl w:ilvl="5">
      <w:start w:val="1"/>
      <w:numFmt w:val="lowerRoman"/>
      <w:lvlText w:val="."/>
      <w:lvlJc w:val="right"/>
      <w:pPr>
        <w:ind w:left="3000" w:hanging="480"/>
      </w:pPr>
    </w:lvl>
    <w:lvl w:ilvl="6">
      <w:start w:val="1"/>
      <w:numFmt w:val="decimal"/>
      <w:lvlText w:val="."/>
      <w:lvlJc w:val="left"/>
      <w:pPr>
        <w:ind w:left="3480" w:hanging="480"/>
      </w:pPr>
    </w:lvl>
    <w:lvl w:ilvl="7">
      <w:start w:val="1"/>
      <w:numFmt w:val="ideographTraditional"/>
      <w:lvlText w:val="、"/>
      <w:lvlJc w:val="left"/>
      <w:pPr>
        <w:ind w:left="3960" w:hanging="480"/>
      </w:pPr>
    </w:lvl>
    <w:lvl w:ilvl="8">
      <w:start w:val="1"/>
      <w:numFmt w:val="lowerRoman"/>
      <w:lvlText w:val="."/>
      <w:lvlJc w:val="right"/>
      <w:pPr>
        <w:ind w:left="4440" w:hanging="480"/>
      </w:pPr>
    </w:lvl>
  </w:abstractNum>
  <w:abstractNum w:abstractNumId="27"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8" w15:restartNumberingAfterBreak="0">
    <w:nsid w:val="52AD1047"/>
    <w:multiLevelType w:val="hybridMultilevel"/>
    <w:tmpl w:val="E23CBFB2"/>
    <w:lvl w:ilvl="0" w:tplc="C65E99EA">
      <w:start w:val="1"/>
      <w:numFmt w:val="upperRoman"/>
      <w:lvlText w:val="%1."/>
      <w:lvlJc w:val="left"/>
      <w:pPr>
        <w:ind w:left="3605" w:hanging="480"/>
      </w:pPr>
      <w:rPr>
        <w:color w:val="auto"/>
        <w:u w:val="none"/>
      </w:rPr>
    </w:lvl>
    <w:lvl w:ilvl="1" w:tplc="ECDEB0AC">
      <w:start w:val="1"/>
      <w:numFmt w:val="lowerRoman"/>
      <w:lvlText w:val="%2."/>
      <w:lvlJc w:val="left"/>
      <w:pPr>
        <w:ind w:left="4325" w:hanging="720"/>
      </w:pPr>
      <w:rPr>
        <w:rFonts w:hint="default"/>
        <w:u w:val="none"/>
      </w:rPr>
    </w:lvl>
    <w:lvl w:ilvl="2" w:tplc="0409001B" w:tentative="1">
      <w:start w:val="1"/>
      <w:numFmt w:val="lowerRoman"/>
      <w:lvlText w:val="%3."/>
      <w:lvlJc w:val="right"/>
      <w:pPr>
        <w:ind w:left="4565" w:hanging="480"/>
      </w:pPr>
    </w:lvl>
    <w:lvl w:ilvl="3" w:tplc="0409000F" w:tentative="1">
      <w:start w:val="1"/>
      <w:numFmt w:val="decimal"/>
      <w:lvlText w:val="%4."/>
      <w:lvlJc w:val="left"/>
      <w:pPr>
        <w:ind w:left="5045" w:hanging="480"/>
      </w:pPr>
    </w:lvl>
    <w:lvl w:ilvl="4" w:tplc="04090019" w:tentative="1">
      <w:start w:val="1"/>
      <w:numFmt w:val="ideographTraditional"/>
      <w:lvlText w:val="%5、"/>
      <w:lvlJc w:val="left"/>
      <w:pPr>
        <w:ind w:left="5525" w:hanging="480"/>
      </w:pPr>
    </w:lvl>
    <w:lvl w:ilvl="5" w:tplc="0409001B" w:tentative="1">
      <w:start w:val="1"/>
      <w:numFmt w:val="lowerRoman"/>
      <w:lvlText w:val="%6."/>
      <w:lvlJc w:val="right"/>
      <w:pPr>
        <w:ind w:left="6005" w:hanging="480"/>
      </w:pPr>
    </w:lvl>
    <w:lvl w:ilvl="6" w:tplc="0409000F" w:tentative="1">
      <w:start w:val="1"/>
      <w:numFmt w:val="decimal"/>
      <w:lvlText w:val="%7."/>
      <w:lvlJc w:val="left"/>
      <w:pPr>
        <w:ind w:left="6485" w:hanging="480"/>
      </w:pPr>
    </w:lvl>
    <w:lvl w:ilvl="7" w:tplc="04090019" w:tentative="1">
      <w:start w:val="1"/>
      <w:numFmt w:val="ideographTraditional"/>
      <w:lvlText w:val="%8、"/>
      <w:lvlJc w:val="left"/>
      <w:pPr>
        <w:ind w:left="6965" w:hanging="480"/>
      </w:pPr>
    </w:lvl>
    <w:lvl w:ilvl="8" w:tplc="0409001B" w:tentative="1">
      <w:start w:val="1"/>
      <w:numFmt w:val="lowerRoman"/>
      <w:lvlText w:val="%9."/>
      <w:lvlJc w:val="right"/>
      <w:pPr>
        <w:ind w:left="7445" w:hanging="480"/>
      </w:pPr>
    </w:lvl>
  </w:abstractNum>
  <w:abstractNum w:abstractNumId="29"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0" w15:restartNumberingAfterBreak="0">
    <w:nsid w:val="58EF19A7"/>
    <w:multiLevelType w:val="multilevel"/>
    <w:tmpl w:val="2EB06AA0"/>
    <w:lvl w:ilvl="0">
      <w:start w:val="1"/>
      <w:numFmt w:val="decimal"/>
      <w:lvlText w:val="%1."/>
      <w:lvlJc w:val="left"/>
      <w:pPr>
        <w:ind w:left="480" w:hanging="480"/>
      </w:pPr>
      <w:rPr>
        <w:rFonts w:ascii="Times New Roman" w:hAnsi="Times New Roman" w:cs="Times New Roman"/>
      </w:rPr>
    </w:lvl>
    <w:lvl w:ilvl="1">
      <w:start w:val="1"/>
      <w:numFmt w:val="decimal"/>
      <w:lvlText w:val="()"/>
      <w:lvlJc w:val="left"/>
      <w:pPr>
        <w:ind w:left="960" w:hanging="480"/>
      </w:pPr>
      <w:rPr>
        <w:rFonts w:ascii="標楷體" w:eastAsia="標楷體" w:hAnsi="標楷體" w:cs="Times New Roman"/>
      </w:rPr>
    </w:lvl>
    <w:lvl w:ilvl="2">
      <w:start w:val="1"/>
      <w:numFmt w:val="upperRoman"/>
      <w:lvlText w:val="%3."/>
      <w:lvlJc w:val="left"/>
      <w:pPr>
        <w:ind w:left="1440" w:hanging="480"/>
      </w:pPr>
      <w:rPr>
        <w:rFonts w:ascii="標楷體" w:eastAsia="標楷體" w:hAnsi="標楷體" w:cs="Times New Roman" w:hint="default"/>
        <w:color w:val="auto"/>
      </w:rPr>
    </w:lvl>
    <w:lvl w:ilvl="3">
      <w:start w:val="1"/>
      <w:numFmt w:val="lowerRoman"/>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1"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32" w15:restartNumberingAfterBreak="0">
    <w:nsid w:val="5B854711"/>
    <w:multiLevelType w:val="multilevel"/>
    <w:tmpl w:val="327ACB9A"/>
    <w:lvl w:ilvl="0">
      <w:start w:val="8"/>
      <w:numFmt w:val="decimal"/>
      <w:lvlText w:val="(%1)"/>
      <w:lvlJc w:val="left"/>
      <w:pPr>
        <w:ind w:left="622" w:hanging="480"/>
      </w:pPr>
      <w:rPr>
        <w:b w:val="0"/>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3"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36"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38"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9" w15:restartNumberingAfterBreak="0">
    <w:nsid w:val="6B8C3966"/>
    <w:multiLevelType w:val="multilevel"/>
    <w:tmpl w:val="5DDC143A"/>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2" w15:restartNumberingAfterBreak="0">
    <w:nsid w:val="70A370AA"/>
    <w:multiLevelType w:val="hybridMultilevel"/>
    <w:tmpl w:val="1DE2A628"/>
    <w:lvl w:ilvl="0" w:tplc="DE7CE882">
      <w:start w:val="8"/>
      <w:numFmt w:val="decimal"/>
      <w:lvlText w:val="(%1)"/>
      <w:lvlJc w:val="left"/>
      <w:pPr>
        <w:ind w:left="622" w:hanging="480"/>
      </w:pPr>
      <w:rPr>
        <w:rFonts w:hint="default"/>
        <w:b w:val="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7C3966AE"/>
    <w:multiLevelType w:val="multilevel"/>
    <w:tmpl w:val="DCF89E34"/>
    <w:lvl w:ilvl="0">
      <w:start w:val="1"/>
      <w:numFmt w:val="upperRoman"/>
      <w:lvlText w:val="%1."/>
      <w:lvlJc w:val="left"/>
      <w:pPr>
        <w:ind w:left="1228" w:hanging="480"/>
      </w:pPr>
      <w:rPr>
        <w:rFonts w:ascii="標楷體" w:eastAsia="標楷體" w:hAnsi="標楷體"/>
        <w:b w:val="0"/>
        <w:sz w:val="24"/>
        <w:szCs w:val="24"/>
      </w:rPr>
    </w:lvl>
    <w:lvl w:ilvl="1">
      <w:start w:val="1"/>
      <w:numFmt w:val="ideographTraditional"/>
      <w:lvlText w:val="、"/>
      <w:lvlJc w:val="left"/>
      <w:pPr>
        <w:ind w:left="1708" w:hanging="480"/>
      </w:pPr>
    </w:lvl>
    <w:lvl w:ilvl="2">
      <w:start w:val="1"/>
      <w:numFmt w:val="lowerRoman"/>
      <w:lvlText w:val="."/>
      <w:lvlJc w:val="right"/>
      <w:pPr>
        <w:ind w:left="2188" w:hanging="480"/>
      </w:pPr>
    </w:lvl>
    <w:lvl w:ilvl="3">
      <w:start w:val="1"/>
      <w:numFmt w:val="decimal"/>
      <w:lvlText w:val="."/>
      <w:lvlJc w:val="left"/>
      <w:pPr>
        <w:ind w:left="2668" w:hanging="480"/>
      </w:pPr>
    </w:lvl>
    <w:lvl w:ilvl="4">
      <w:start w:val="1"/>
      <w:numFmt w:val="ideographTraditional"/>
      <w:lvlText w:val="、"/>
      <w:lvlJc w:val="left"/>
      <w:pPr>
        <w:ind w:left="3148" w:hanging="480"/>
      </w:pPr>
    </w:lvl>
    <w:lvl w:ilvl="5">
      <w:start w:val="1"/>
      <w:numFmt w:val="lowerRoman"/>
      <w:lvlText w:val="."/>
      <w:lvlJc w:val="right"/>
      <w:pPr>
        <w:ind w:left="3628" w:hanging="480"/>
      </w:pPr>
    </w:lvl>
    <w:lvl w:ilvl="6">
      <w:start w:val="1"/>
      <w:numFmt w:val="decimal"/>
      <w:lvlText w:val="."/>
      <w:lvlJc w:val="left"/>
      <w:pPr>
        <w:ind w:left="4108" w:hanging="480"/>
      </w:pPr>
    </w:lvl>
    <w:lvl w:ilvl="7">
      <w:start w:val="1"/>
      <w:numFmt w:val="ideographTraditional"/>
      <w:lvlText w:val="、"/>
      <w:lvlJc w:val="left"/>
      <w:pPr>
        <w:ind w:left="4588" w:hanging="480"/>
      </w:pPr>
    </w:lvl>
    <w:lvl w:ilvl="8">
      <w:start w:val="1"/>
      <w:numFmt w:val="lowerRoman"/>
      <w:lvlText w:val="."/>
      <w:lvlJc w:val="right"/>
      <w:pPr>
        <w:ind w:left="5068" w:hanging="480"/>
      </w:pPr>
    </w:lvl>
  </w:abstractNum>
  <w:abstractNum w:abstractNumId="46" w15:restartNumberingAfterBreak="0">
    <w:nsid w:val="7F024DC6"/>
    <w:multiLevelType w:val="multilevel"/>
    <w:tmpl w:val="E9E21DB2"/>
    <w:lvl w:ilvl="0">
      <w:start w:val="8"/>
      <w:numFmt w:val="decimal"/>
      <w:lvlText w:val="(%1)"/>
      <w:lvlJc w:val="left"/>
      <w:pPr>
        <w:ind w:left="622" w:hanging="480"/>
      </w:pPr>
      <w:rPr>
        <w:b w:val="0"/>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365787938">
    <w:abstractNumId w:val="25"/>
  </w:num>
  <w:num w:numId="2" w16cid:durableId="145438956">
    <w:abstractNumId w:val="29"/>
  </w:num>
  <w:num w:numId="3" w16cid:durableId="202863512">
    <w:abstractNumId w:val="20"/>
  </w:num>
  <w:num w:numId="4" w16cid:durableId="618025851">
    <w:abstractNumId w:val="41"/>
  </w:num>
  <w:num w:numId="5" w16cid:durableId="713386135">
    <w:abstractNumId w:val="10"/>
  </w:num>
  <w:num w:numId="6" w16cid:durableId="497968010">
    <w:abstractNumId w:val="27"/>
  </w:num>
  <w:num w:numId="7" w16cid:durableId="89203787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66776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7930333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5272258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68021240">
    <w:abstractNumId w:val="2"/>
  </w:num>
  <w:num w:numId="12" w16cid:durableId="1870531876">
    <w:abstractNumId w:val="0"/>
  </w:num>
  <w:num w:numId="13" w16cid:durableId="443618188">
    <w:abstractNumId w:val="3"/>
  </w:num>
  <w:num w:numId="14" w16cid:durableId="2005281451">
    <w:abstractNumId w:val="34"/>
  </w:num>
  <w:num w:numId="15" w16cid:durableId="2128427736">
    <w:abstractNumId w:val="40"/>
  </w:num>
  <w:num w:numId="16" w16cid:durableId="1188836349">
    <w:abstractNumId w:val="5"/>
  </w:num>
  <w:num w:numId="17" w16cid:durableId="1637181024">
    <w:abstractNumId w:val="17"/>
  </w:num>
  <w:num w:numId="18" w16cid:durableId="1197893709">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19" w16cid:durableId="1187211653">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0" w16cid:durableId="1843886077">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1" w16cid:durableId="273370241">
    <w:abstractNumId w:val="15"/>
  </w:num>
  <w:num w:numId="22" w16cid:durableId="153617680">
    <w:abstractNumId w:val="4"/>
  </w:num>
  <w:num w:numId="23" w16cid:durableId="510728682">
    <w:abstractNumId w:val="36"/>
  </w:num>
  <w:num w:numId="24" w16cid:durableId="1584073403">
    <w:abstractNumId w:val="21"/>
  </w:num>
  <w:num w:numId="25" w16cid:durableId="78455100">
    <w:abstractNumId w:val="33"/>
  </w:num>
  <w:num w:numId="26" w16cid:durableId="1641880527">
    <w:abstractNumId w:val="37"/>
  </w:num>
  <w:num w:numId="27" w16cid:durableId="201064562">
    <w:abstractNumId w:val="35"/>
  </w:num>
  <w:num w:numId="28" w16cid:durableId="605967144">
    <w:abstractNumId w:val="6"/>
  </w:num>
  <w:num w:numId="29" w16cid:durableId="1176773955">
    <w:abstractNumId w:val="14"/>
  </w:num>
  <w:num w:numId="30" w16cid:durableId="1087582085">
    <w:abstractNumId w:val="43"/>
  </w:num>
  <w:num w:numId="31" w16cid:durableId="1465394780">
    <w:abstractNumId w:val="13"/>
  </w:num>
  <w:num w:numId="32" w16cid:durableId="2040660315">
    <w:abstractNumId w:val="7"/>
  </w:num>
  <w:num w:numId="33" w16cid:durableId="1217661654">
    <w:abstractNumId w:val="31"/>
  </w:num>
  <w:num w:numId="34" w16cid:durableId="772439405">
    <w:abstractNumId w:val="42"/>
  </w:num>
  <w:num w:numId="35" w16cid:durableId="79839864">
    <w:abstractNumId w:val="24"/>
  </w:num>
  <w:num w:numId="36" w16cid:durableId="405299709">
    <w:abstractNumId w:val="11"/>
  </w:num>
  <w:num w:numId="37" w16cid:durableId="2107387917">
    <w:abstractNumId w:val="39"/>
  </w:num>
  <w:num w:numId="38" w16cid:durableId="677543449">
    <w:abstractNumId w:val="19"/>
  </w:num>
  <w:num w:numId="39" w16cid:durableId="115832178">
    <w:abstractNumId w:val="9"/>
  </w:num>
  <w:num w:numId="40" w16cid:durableId="852190756">
    <w:abstractNumId w:val="46"/>
  </w:num>
  <w:num w:numId="41" w16cid:durableId="2068527144">
    <w:abstractNumId w:val="18"/>
  </w:num>
  <w:num w:numId="42" w16cid:durableId="1542205974">
    <w:abstractNumId w:val="16"/>
  </w:num>
  <w:num w:numId="43" w16cid:durableId="1446730371">
    <w:abstractNumId w:val="26"/>
  </w:num>
  <w:num w:numId="44" w16cid:durableId="983386653">
    <w:abstractNumId w:val="30"/>
  </w:num>
  <w:num w:numId="45" w16cid:durableId="1279800577">
    <w:abstractNumId w:val="45"/>
  </w:num>
  <w:num w:numId="46" w16cid:durableId="810824848">
    <w:abstractNumId w:val="1"/>
  </w:num>
  <w:num w:numId="47" w16cid:durableId="916476643">
    <w:abstractNumId w:val="32"/>
  </w:num>
  <w:num w:numId="48" w16cid:durableId="1609005087">
    <w:abstractNumId w:val="22"/>
  </w:num>
  <w:num w:numId="49" w16cid:durableId="628360889">
    <w:abstractNumId w:val="28"/>
  </w:num>
  <w:num w:numId="50" w16cid:durableId="438834839">
    <w:abstractNumId w:val="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proofState w:spelling="clean"/>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1045E"/>
    <w:rsid w:val="00020935"/>
    <w:rsid w:val="00042C96"/>
    <w:rsid w:val="000532A7"/>
    <w:rsid w:val="00064489"/>
    <w:rsid w:val="0007073E"/>
    <w:rsid w:val="0007420E"/>
    <w:rsid w:val="000804A6"/>
    <w:rsid w:val="000838F4"/>
    <w:rsid w:val="00086754"/>
    <w:rsid w:val="000A3CBC"/>
    <w:rsid w:val="000B6373"/>
    <w:rsid w:val="000B7362"/>
    <w:rsid w:val="000C7C60"/>
    <w:rsid w:val="00105765"/>
    <w:rsid w:val="0011658A"/>
    <w:rsid w:val="00126115"/>
    <w:rsid w:val="001314F6"/>
    <w:rsid w:val="00140897"/>
    <w:rsid w:val="0014655B"/>
    <w:rsid w:val="00167FEB"/>
    <w:rsid w:val="0018680A"/>
    <w:rsid w:val="001971DE"/>
    <w:rsid w:val="001A740D"/>
    <w:rsid w:val="001D4E70"/>
    <w:rsid w:val="001D5020"/>
    <w:rsid w:val="0020695F"/>
    <w:rsid w:val="00213DC8"/>
    <w:rsid w:val="002203D3"/>
    <w:rsid w:val="00222ABC"/>
    <w:rsid w:val="002402D8"/>
    <w:rsid w:val="002465F4"/>
    <w:rsid w:val="00270EF3"/>
    <w:rsid w:val="00275C39"/>
    <w:rsid w:val="00282D48"/>
    <w:rsid w:val="00290448"/>
    <w:rsid w:val="00296C19"/>
    <w:rsid w:val="002A2E0D"/>
    <w:rsid w:val="002D6760"/>
    <w:rsid w:val="002D7958"/>
    <w:rsid w:val="002F2B55"/>
    <w:rsid w:val="002F7398"/>
    <w:rsid w:val="00301C39"/>
    <w:rsid w:val="003069C7"/>
    <w:rsid w:val="00317494"/>
    <w:rsid w:val="00321E4B"/>
    <w:rsid w:val="003225F7"/>
    <w:rsid w:val="00336F3D"/>
    <w:rsid w:val="00347CE0"/>
    <w:rsid w:val="00353254"/>
    <w:rsid w:val="003B14A6"/>
    <w:rsid w:val="003D22FC"/>
    <w:rsid w:val="003F14ED"/>
    <w:rsid w:val="003F1643"/>
    <w:rsid w:val="003F2C2F"/>
    <w:rsid w:val="004025A9"/>
    <w:rsid w:val="00417740"/>
    <w:rsid w:val="00420032"/>
    <w:rsid w:val="00427424"/>
    <w:rsid w:val="004374CA"/>
    <w:rsid w:val="00446BB6"/>
    <w:rsid w:val="00471506"/>
    <w:rsid w:val="00474434"/>
    <w:rsid w:val="004C2511"/>
    <w:rsid w:val="004C3CC5"/>
    <w:rsid w:val="004F2A2C"/>
    <w:rsid w:val="0050401E"/>
    <w:rsid w:val="0051373F"/>
    <w:rsid w:val="005142EB"/>
    <w:rsid w:val="00517C45"/>
    <w:rsid w:val="005363DB"/>
    <w:rsid w:val="00557419"/>
    <w:rsid w:val="00616C7C"/>
    <w:rsid w:val="00617D60"/>
    <w:rsid w:val="00635214"/>
    <w:rsid w:val="00642BBE"/>
    <w:rsid w:val="0065421D"/>
    <w:rsid w:val="00660DD4"/>
    <w:rsid w:val="006670DE"/>
    <w:rsid w:val="006B1FAB"/>
    <w:rsid w:val="006B3E51"/>
    <w:rsid w:val="006D79D1"/>
    <w:rsid w:val="006D7F5B"/>
    <w:rsid w:val="006E2BB4"/>
    <w:rsid w:val="006E56D0"/>
    <w:rsid w:val="006F7671"/>
    <w:rsid w:val="00702020"/>
    <w:rsid w:val="007155BC"/>
    <w:rsid w:val="0074474A"/>
    <w:rsid w:val="007455F6"/>
    <w:rsid w:val="007B50C6"/>
    <w:rsid w:val="007D29C5"/>
    <w:rsid w:val="007D66B8"/>
    <w:rsid w:val="007F71E0"/>
    <w:rsid w:val="00800DDB"/>
    <w:rsid w:val="008859E6"/>
    <w:rsid w:val="00891A66"/>
    <w:rsid w:val="00892228"/>
    <w:rsid w:val="008A162B"/>
    <w:rsid w:val="008B0582"/>
    <w:rsid w:val="008B4C4B"/>
    <w:rsid w:val="008B5474"/>
    <w:rsid w:val="008B6712"/>
    <w:rsid w:val="008E774D"/>
    <w:rsid w:val="008F6DA3"/>
    <w:rsid w:val="00926D01"/>
    <w:rsid w:val="00941523"/>
    <w:rsid w:val="00957AD9"/>
    <w:rsid w:val="00997F73"/>
    <w:rsid w:val="009C41ED"/>
    <w:rsid w:val="009D436C"/>
    <w:rsid w:val="00A05EF4"/>
    <w:rsid w:val="00A15393"/>
    <w:rsid w:val="00A3054C"/>
    <w:rsid w:val="00A30E7A"/>
    <w:rsid w:val="00A33F1B"/>
    <w:rsid w:val="00A50BD6"/>
    <w:rsid w:val="00A61FF2"/>
    <w:rsid w:val="00A753B0"/>
    <w:rsid w:val="00AB09A6"/>
    <w:rsid w:val="00B041B4"/>
    <w:rsid w:val="00B07C9A"/>
    <w:rsid w:val="00B252D1"/>
    <w:rsid w:val="00B355DB"/>
    <w:rsid w:val="00B57732"/>
    <w:rsid w:val="00B60500"/>
    <w:rsid w:val="00B62F9F"/>
    <w:rsid w:val="00B74E3A"/>
    <w:rsid w:val="00B815D8"/>
    <w:rsid w:val="00B96EA0"/>
    <w:rsid w:val="00BA1F65"/>
    <w:rsid w:val="00BD6EFF"/>
    <w:rsid w:val="00C26383"/>
    <w:rsid w:val="00C31B1C"/>
    <w:rsid w:val="00C46EAE"/>
    <w:rsid w:val="00C51017"/>
    <w:rsid w:val="00C55A88"/>
    <w:rsid w:val="00C61D18"/>
    <w:rsid w:val="00C70264"/>
    <w:rsid w:val="00CD1F1E"/>
    <w:rsid w:val="00CD4BD4"/>
    <w:rsid w:val="00CD573D"/>
    <w:rsid w:val="00CF183E"/>
    <w:rsid w:val="00D103A2"/>
    <w:rsid w:val="00D250AB"/>
    <w:rsid w:val="00D3675A"/>
    <w:rsid w:val="00D4365C"/>
    <w:rsid w:val="00D5326D"/>
    <w:rsid w:val="00D54E71"/>
    <w:rsid w:val="00D65C5D"/>
    <w:rsid w:val="00D91496"/>
    <w:rsid w:val="00D927FE"/>
    <w:rsid w:val="00DA176D"/>
    <w:rsid w:val="00DA2170"/>
    <w:rsid w:val="00DC6D1C"/>
    <w:rsid w:val="00DD0CAE"/>
    <w:rsid w:val="00DD360F"/>
    <w:rsid w:val="00DE6257"/>
    <w:rsid w:val="00DF1029"/>
    <w:rsid w:val="00DF5A6E"/>
    <w:rsid w:val="00E821CC"/>
    <w:rsid w:val="00E9187D"/>
    <w:rsid w:val="00EA15AB"/>
    <w:rsid w:val="00EA4516"/>
    <w:rsid w:val="00EA6AFB"/>
    <w:rsid w:val="00EB5347"/>
    <w:rsid w:val="00EC62C6"/>
    <w:rsid w:val="00EC69A8"/>
    <w:rsid w:val="00EC744E"/>
    <w:rsid w:val="00EF2238"/>
    <w:rsid w:val="00F13816"/>
    <w:rsid w:val="00F3352F"/>
    <w:rsid w:val="00F63C8C"/>
    <w:rsid w:val="00F95F32"/>
    <w:rsid w:val="00FA30DA"/>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2747B"/>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Numbered para,BulletPoints,List Paragraph1,Bullets Points,Styl moj,Akapit z listą1,Akapit z listą11,Footnote,Bullet point,List Paragraph11,Recommendation,ES Paragraph,PBAC ES Paragraph,PBAC normal points,Bullet1,Bullet 1"/>
    <w:basedOn w:val="a"/>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99</Pages>
  <Words>18001</Words>
  <Characters>102608</Characters>
  <Application>Microsoft Office Word</Application>
  <DocSecurity>0</DocSecurity>
  <Lines>855</Lines>
  <Paragraphs>240</Paragraphs>
  <ScaleCrop>false</ScaleCrop>
  <Company/>
  <LinksUpToDate>false</LinksUpToDate>
  <CharactersWithSpaces>120369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蕭似帆</cp:lastModifiedBy>
  <cp:revision>20</cp:revision>
  <cp:lastPrinted>2025-02-24T03:34:00Z</cp:lastPrinted>
  <dcterms:created xsi:type="dcterms:W3CDTF">2026-04-23T10:40:00Z</dcterms:created>
  <dcterms:modified xsi:type="dcterms:W3CDTF">2026-05-25T06:03:00Z</dcterms:modified>
</cp:coreProperties>
</file>