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90A51">
      <w:pPr>
        <w:pStyle w:val="2"/>
        <w:jc w:val="center"/>
      </w:pPr>
      <w:r>
        <w:rPr>
          <w:rFonts w:hint="eastAsia"/>
        </w:rPr>
        <w:t>项目八市场现状调研</w:t>
      </w:r>
    </w:p>
    <w:p w14:paraId="42F5BE1A">
      <w:pPr>
        <w:rPr>
          <w:rFonts w:hint="eastAsia"/>
          <w:b/>
          <w:bCs/>
        </w:rPr>
      </w:pPr>
      <w:r>
        <w:rPr>
          <w:rFonts w:hint="eastAsia"/>
          <w:b/>
          <w:bCs/>
        </w:rPr>
        <w:t>一．市场部分</w:t>
      </w:r>
    </w:p>
    <w:p w14:paraId="2BE16312">
      <w:pPr>
        <w:ind w:left="220" w:leftChars="100" w:firstLine="220" w:firstLineChars="100"/>
      </w:pPr>
      <w:r>
        <w:rPr>
          <w:rFonts w:hint="eastAsia"/>
        </w:rPr>
        <w:t>对于目前市场上公开的利用大模型RAG技术进行油浸式变压器故障的根因分析与解决的方案，我们查找到了以下案例：</w:t>
      </w:r>
      <w:r>
        <w:rPr>
          <w:rFonts w:hint="eastAsia"/>
        </w:rPr>
        <w:drawing>
          <wp:inline distT="0" distB="0" distL="0" distR="0">
            <wp:extent cx="6489700" cy="2095500"/>
            <wp:effectExtent l="0" t="0" r="0" b="0"/>
            <wp:docPr id="13406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215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949" b="26471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2095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77808">
      <w:pPr>
        <w:ind w:firstLine="440" w:firstLineChars="200"/>
      </w:pPr>
      <w:r>
        <w:rPr>
          <w:rFonts w:hint="eastAsia"/>
        </w:rPr>
        <w:t xml:space="preserve">  我们发现，各家的落地实施路径各不相同</w:t>
      </w:r>
    </w:p>
    <w:p w14:paraId="254BB7F4">
      <w:pPr>
        <w:pStyle w:val="2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国网湖北电力：运用行业大模型+多模态数据进行根因分析</w:t>
      </w:r>
    </w:p>
    <w:p w14:paraId="7951763C">
      <w:pPr>
        <w:pStyle w:val="29"/>
        <w:ind w:left="800"/>
      </w:pPr>
      <w:r>
        <w:rPr>
          <w:rFonts w:hint="eastAsia"/>
        </w:rPr>
        <w:t>其中，</w:t>
      </w:r>
      <w:r>
        <w:t>光明电力大模型</w:t>
      </w:r>
      <w:r>
        <w:rPr>
          <w:rFonts w:hint="eastAsia"/>
        </w:rPr>
        <w:t>是</w:t>
      </w:r>
      <w:r>
        <w:t>面向电力行业的千亿级多模态行业大模型</w:t>
      </w:r>
      <w:r>
        <w:rPr>
          <w:rFonts w:hint="eastAsia"/>
        </w:rPr>
        <w:t>。</w:t>
      </w:r>
      <w:r>
        <w:t>在通用大模型基础上深度注入了电力行业知识</w:t>
      </w:r>
      <w:r>
        <w:rPr>
          <w:rFonts w:hint="eastAsia"/>
        </w:rPr>
        <w:t>。</w:t>
      </w:r>
    </w:p>
    <w:p w14:paraId="235585A6">
      <w:pPr>
        <w:pStyle w:val="29"/>
        <w:ind w:left="800"/>
      </w:pPr>
      <w:r>
        <w:rPr>
          <w:rFonts w:hint="eastAsia"/>
        </w:rPr>
        <w:t>多模态数据是</w:t>
      </w:r>
      <w:r>
        <w:t>来源不同、形式不同、但共同反映设备状态的各种监测信息。</w:t>
      </w:r>
      <w:r>
        <w:rPr>
          <w:rFonts w:hint="eastAsia"/>
        </w:rPr>
        <w:t>可以</w:t>
      </w:r>
      <w:r>
        <w:t>让大模型同时“看到”多种信号，再结合知识库做综合推理，从而更接近经验丰富的专家判断方式。</w:t>
      </w:r>
    </w:p>
    <w:p w14:paraId="44066363">
      <w:pPr>
        <w:pStyle w:val="29"/>
        <w:ind w:left="800"/>
        <w:rPr>
          <w:b/>
          <w:bCs/>
        </w:rPr>
      </w:pPr>
      <w:r>
        <w:rPr>
          <w:rFonts w:hint="eastAsia"/>
          <w:b/>
          <w:bCs/>
        </w:rPr>
        <w:t>优点：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效率提升显著、推广范围广</w:t>
      </w:r>
    </w:p>
    <w:p w14:paraId="2F9AC640">
      <w:pPr>
        <w:pStyle w:val="29"/>
        <w:ind w:left="800"/>
        <w:rPr>
          <w:rFonts w:hint="eastAsia" w:ascii="Segoe UI" w:hAnsi="Segoe UI" w:cs="Segoe UI"/>
          <w:color w:val="0F1115"/>
          <w:sz w:val="23"/>
          <w:szCs w:val="23"/>
          <w:shd w:val="clear" w:color="auto" w:fill="FFFFFF"/>
        </w:rPr>
      </w:pPr>
      <w:r>
        <w:rPr>
          <w:rFonts w:hint="eastAsia"/>
          <w:b/>
          <w:bCs/>
        </w:rPr>
        <w:t>缺点：</w:t>
      </w:r>
      <w:r>
        <w:rPr>
          <w:rFonts w:hint="eastAsia" w:ascii="Segoe UI" w:hAnsi="Segoe UI" w:cs="Segoe UI"/>
          <w:color w:val="0F1115"/>
          <w:sz w:val="23"/>
          <w:szCs w:val="23"/>
          <w:shd w:val="clear" w:color="auto" w:fill="FFFFFF"/>
        </w:rPr>
        <w:t>行业大模型训练时间长，多模态数据库构建困难</w:t>
      </w:r>
    </w:p>
    <w:p w14:paraId="510FADBA">
      <w:pPr>
        <w:pStyle w:val="29"/>
        <w:numPr>
          <w:ilvl w:val="0"/>
          <w:numId w:val="1"/>
        </w:numPr>
      </w:pPr>
      <w:r>
        <w:rPr>
          <w:rFonts w:hint="eastAsia"/>
        </w:rPr>
        <w:t>国网泉州供电公司：知识图谱+RAG</w:t>
      </w:r>
    </w:p>
    <w:p w14:paraId="558478B4">
      <w:pPr>
        <w:pStyle w:val="29"/>
        <w:ind w:left="800"/>
      </w:pPr>
      <w:r>
        <w:rPr>
          <w:rFonts w:hint="eastAsia"/>
        </w:rPr>
        <w:t>知识图谱是</w:t>
      </w:r>
      <w:r>
        <w:t>把设备、故障、现象、原因、处置措施等实体，以及它们之间的关系，显式地组织成一张图。机器不仅能查到“有什么”，还能沿着关系链推理“为什么”和“接下来会怎样”。</w:t>
      </w:r>
    </w:p>
    <w:p w14:paraId="4530CF9B">
      <w:pPr>
        <w:pStyle w:val="29"/>
        <w:ind w:left="800"/>
      </w:pPr>
      <w:r>
        <w:rPr>
          <w:rFonts w:hint="eastAsia"/>
          <w:b/>
          <w:bCs/>
        </w:rPr>
        <w:t>优点：</w:t>
      </w:r>
      <w:r>
        <w:t>多跳推理能力强、可解释</w:t>
      </w:r>
    </w:p>
    <w:p w14:paraId="479CE519">
      <w:pPr>
        <w:pStyle w:val="29"/>
        <w:ind w:left="800"/>
        <w:rPr>
          <w:rFonts w:hint="eastAsia"/>
        </w:rPr>
      </w:pPr>
      <w:r>
        <w:rPr>
          <w:rFonts w:hint="eastAsia"/>
          <w:b/>
          <w:bCs/>
        </w:rPr>
        <w:t>缺点：</w:t>
      </w:r>
      <w:r>
        <w:t>图谱构建成本高</w:t>
      </w:r>
    </w:p>
    <w:p w14:paraId="0A1028F2">
      <w:pPr>
        <w:pStyle w:val="29"/>
        <w:numPr>
          <w:ilvl w:val="0"/>
          <w:numId w:val="1"/>
        </w:numPr>
      </w:pPr>
      <w:r>
        <w:rPr>
          <w:rFonts w:hint="eastAsia"/>
        </w:rPr>
        <w:t>电力行业化学技术交流会：行业大模型+RAG专属知识库+思维链</w:t>
      </w:r>
    </w:p>
    <w:p w14:paraId="003B0FDD">
      <w:pPr>
        <w:pStyle w:val="29"/>
        <w:ind w:left="800"/>
      </w:pPr>
      <w:r>
        <w:rPr>
          <w:rFonts w:hint="eastAsia"/>
        </w:rPr>
        <w:t>其中，思维链是让大模型将推理过程可视化，从而让工程师更好的了解推理路径，并检查问题</w:t>
      </w:r>
    </w:p>
    <w:p w14:paraId="2CED9810">
      <w:pPr>
        <w:pStyle w:val="29"/>
        <w:ind w:left="800"/>
      </w:pPr>
      <w:r>
        <w:rPr>
          <w:rFonts w:hint="eastAsia"/>
          <w:b/>
          <w:bCs/>
        </w:rPr>
        <w:t>优点：</w:t>
      </w:r>
      <w:r>
        <w:t>与变压器场景直接相关、一致率高</w:t>
      </w:r>
    </w:p>
    <w:p w14:paraId="6D7B4406">
      <w:pPr>
        <w:pStyle w:val="29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>缺点：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偏单模态</w:t>
      </w:r>
    </w:p>
    <w:p w14:paraId="1A43B682">
      <w:pPr>
        <w:pStyle w:val="29"/>
        <w:numPr>
          <w:ilvl w:val="0"/>
          <w:numId w:val="1"/>
        </w:numPr>
      </w:pPr>
      <w:r>
        <w:rPr>
          <w:rFonts w:hint="eastAsia"/>
        </w:rPr>
        <w:t>国网大数据中心：RAG+LoRA微调</w:t>
      </w:r>
    </w:p>
    <w:p w14:paraId="16CACD8C">
      <w:pPr>
        <w:pStyle w:val="29"/>
        <w:ind w:left="800"/>
      </w:pPr>
      <w:r>
        <w:rPr>
          <w:rFonts w:hint="eastAsia"/>
        </w:rPr>
        <w:t>其中，LoRA微调是</w:t>
      </w:r>
      <w:r>
        <w:t>冻结大模型原有的全部参数，在每一层旁边插入两个很小的矩阵。训练时只更新这两个小矩阵，大模型本身不动</w:t>
      </w:r>
    </w:p>
    <w:p w14:paraId="2FD8D586">
      <w:pPr>
        <w:pStyle w:val="29"/>
        <w:ind w:left="800"/>
      </w:pPr>
      <w:r>
        <w:rPr>
          <w:rFonts w:hint="eastAsia"/>
          <w:b/>
          <w:bCs/>
        </w:rPr>
        <w:t>优点：</w:t>
      </w:r>
      <w:r>
        <w:t>路线务实、成本可控</w:t>
      </w:r>
    </w:p>
    <w:p w14:paraId="719302A1">
      <w:pPr>
        <w:pStyle w:val="29"/>
        <w:ind w:left="800"/>
        <w:rPr>
          <w:rFonts w:hint="eastAsia"/>
        </w:rPr>
      </w:pPr>
      <w:r>
        <w:rPr>
          <w:rFonts w:hint="eastAsia"/>
          <w:b/>
          <w:bCs/>
        </w:rPr>
        <w:t>缺点：</w:t>
      </w:r>
      <w:r>
        <w:t>场景偏缺陷分类，非根因推理</w:t>
      </w:r>
    </w:p>
    <w:p w14:paraId="42E743BD">
      <w:pPr>
        <w:pStyle w:val="29"/>
        <w:ind w:left="800"/>
        <w:rPr>
          <w:rFonts w:hint="eastAsia"/>
        </w:rPr>
      </w:pPr>
    </w:p>
    <w:p w14:paraId="2AD3203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646E8BB">
      <w:pPr>
        <w:pStyle w:val="2"/>
        <w:keepNext w:val="0"/>
        <w:keepLines w:val="0"/>
        <w:widowControl/>
        <w:suppressLineNumbers w:val="0"/>
        <w:spacing w:before="100" w:beforeAutospacing="0" w:after="160" w:afterAutospacing="0" w:line="340" w:lineRule="atLeast"/>
        <w:ind w:left="440" w:right="440"/>
        <w:rPr>
          <w:rFonts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行业落地案例细化分析</w:t>
      </w:r>
    </w:p>
    <w:p w14:paraId="733B99CB">
      <w:pPr>
        <w:pStyle w:val="3"/>
        <w:keepNext w:val="0"/>
        <w:keepLines w:val="0"/>
        <w:widowControl/>
        <w:suppressLineNumbers w:val="0"/>
        <w:spacing w:before="422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一、案例一：国网湖北电力——配电网抢修智能体</w:t>
      </w:r>
    </w:p>
    <w:p w14:paraId="7AB1061F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落地单位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：国网湖北省电力有限公司</w:t>
      </w:r>
    </w:p>
    <w:p w14:paraId="09448C00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：配电网抢修与故障根因研判</w:t>
      </w:r>
    </w:p>
    <w:p w14:paraId="12E15655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技术架构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：基于光明电力大模型，深度融入设备、气象、工单等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13.5TB多模态数据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，构建“4+2+1”智能协同体系。系统运用人工智能技术实现配电网抢修效率提升35%，已推广至全国27个省市。</w:t>
      </w:r>
    </w:p>
    <w:p w14:paraId="05DD78A5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关键技术特点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  <w:bookmarkStart w:id="0" w:name="_GoBack"/>
      <w:bookmarkEnd w:id="0"/>
    </w:p>
    <w:p w14:paraId="030A49B6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多模态数据融合（设备台账、气象信息、历史工单）</w:t>
      </w:r>
    </w:p>
    <w:p w14:paraId="327497FB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智能体协同体系（“4+2+1”架构）</w:t>
      </w:r>
    </w:p>
    <w:p w14:paraId="46640FE5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故障成因推理能力（“不仅会预警还能推理故障成因”）</w:t>
      </w:r>
    </w:p>
    <w:p w14:paraId="2071F977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与你们项目的关系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：展示了多模态数据融合在电力故障诊断中的价值，你们目前是纯文本RAG，未来可考虑扩展多模态输入。</w:t>
      </w:r>
    </w:p>
    <w:p w14:paraId="3163296F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尚未满足的需求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：侧重配电网，未涉及油浸式变压器的DGA诊断；多模态数据融合需要大量标注数据，部署成本高。</w:t>
      </w:r>
    </w:p>
    <w:p w14:paraId="63968EC6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差异化机会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：聚焦DGA单一模态但深度垂直，轻量化部署，适合中小型变电站。</w:t>
      </w:r>
    </w:p>
    <w:p w14:paraId="7DC405E0">
      <w:pPr>
        <w:pStyle w:val="3"/>
        <w:keepNext w:val="0"/>
        <w:keepLines w:val="0"/>
        <w:widowControl/>
        <w:suppressLineNumbers w:val="0"/>
        <w:spacing w:before="422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二、案例二：国网福建电力——输电线路故障原因辨识工具</w:t>
      </w:r>
    </w:p>
    <w:p w14:paraId="6F5B35E1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落地单位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：国网福建电力调控中心</w:t>
      </w:r>
    </w:p>
    <w:p w14:paraId="53EEB0CD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：输电线路故障原因智能研判与故障点定位</w:t>
      </w:r>
    </w:p>
    <w:p w14:paraId="76E2CEEC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技术架构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：基于光明电力大模型，构建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大小模型协同、多智能体协同架构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。融合交流线路故障原因智能分析辨识模型与大模型智能体的工具集，充分利用小模型波形分析能力和大模型语义理解、计算分析能力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"http://fepsa.com.cn/list_info.aspx?newsid=76200&amp;NewsCateId=100&amp;CateId=100"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4CDF81B1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关键效果指标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2749B1C4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5分钟内精准识别7类常见线路故障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"http://fepsa.com.cn/list_info.aspx?newsid=76200&amp;NewsCateId=100&amp;CateId=100"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2E72FB07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累计辨识220千伏及以上输电线路故障15起，准确率达80%以上</w:t>
      </w:r>
    </w:p>
    <w:p w14:paraId="73638B33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迎峰度夏期间线路运维效率提升50%以上</w:t>
      </w:r>
    </w:p>
    <w:p w14:paraId="4B0675DD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技术实现细节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2025年3月启动研究，8月成功投运。系统能自动获取故障录波、保护动作信号、外部气象数据等信息，智能体根据线路基础信息、历史故障信息生成包含网架结构、设备本体、自然因素、运行维护四个维度的分析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"http://fepsa.com.cn/list_info.aspx?newsid=76200&amp;NewsCateId=100&amp;CateId=100"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12A048AC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与你们项目的关系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：大小模型协同架构值得借鉴——小模型负责数值计算和波形分析，大模型负责语义理解和报告生成。你们可以借鉴这个思路：规则引擎负责精确判断（如三比值编码），大模型负责综合分析和报告生成。</w:t>
      </w:r>
    </w:p>
    <w:p w14:paraId="4D5D5CA4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尚未满足的需求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：侧重输电线路，未覆盖变压器内部故障；依赖多种数据源贯通（配电自动化、设备资产系统、气象服务中心），集成门槛高。</w:t>
      </w:r>
    </w:p>
    <w:p w14:paraId="2DF01A27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差异化机会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：你们可以专注于变压器DGA这一垂直场景，不需要贯通多个外部系统，仅基于规程知识库即可运行，部署门槛更低。</w:t>
      </w:r>
    </w:p>
    <w:p w14:paraId="26B8A8C0">
      <w:pPr>
        <w:pStyle w:val="3"/>
        <w:keepNext w:val="0"/>
        <w:keepLines w:val="0"/>
        <w:widowControl/>
        <w:suppressLineNumbers w:val="0"/>
        <w:spacing w:before="422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三、案例三：国网泉州供电公司——GraphRAG故障定位</w:t>
      </w:r>
    </w:p>
    <w:p w14:paraId="1DF5115F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落地单位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：国家电网泉州供电公司</w:t>
      </w:r>
    </w:p>
    <w:p w14:paraId="3EC8659C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：输电线路故障定位与运维</w:t>
      </w:r>
    </w:p>
    <w:p w14:paraId="0159FC3F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技术架构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：GraphRAG（知识图谱+检索增强生成）。技术架构分为三层：通用大模型底座采用DeepSeek V3千亿参数模型；行业模型层部署国网自研20B参数“光明大模型”；应用层构建场景化智能体实现诊断闭环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"https://adg.csdn.net/6953368b5b9f5f31781bdd07.html"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7A556B0F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关键技术特点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2E046726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知识库建设：华能清能院建成10TB级设备状态数据库，整合900余种故障模式库与2000例故障案例库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"https://adg.csdn.net/6953368b5b9f5f31781bdd07.html"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4E6ED6C9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检索机制：引入图卷积网络（GCN）对“设备-故障-解决方案”实体关系编码，支持跨层级语义检索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"https://adg.csdn.net/6953368b5b9f5f31781bdd07.html"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5F0B36FB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多跳推理：系统沿“温度异常→接触电阻变化→安装工艺缺陷→同批次施工记录”路径完成4跳推理，精准定位到特定安装班组操作失误</w:t>
      </w:r>
    </w:p>
    <w:p w14:paraId="03CCC59B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关键效果指标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5CD98D74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输电线路故障响应从传统模式2小时压缩至30分钟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"https://adg.csdn.net/6953368b5b9f5f31781bdd07.html"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20C95B59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特定场景故障定位缩短至15分钟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"https://adg.csdn.net/6953368b5b9f5f31781bdd07.html"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012998BE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与你们项目的关系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：GraphRAG是你们阶段二的重要参考方向。你们目前的知识库（规程条文+规则库）可以升级为“设备-故障-气体-处置”的知识图谱，实现跨文档关联检索。</w:t>
      </w:r>
    </w:p>
    <w:p w14:paraId="07669C92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尚未满足的需求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：GraphRAG构建和维护成本高，需要专业图数据库和知识工程师；10TB级数据积累非短期可成。</w:t>
      </w:r>
    </w:p>
    <w:p w14:paraId="717DE719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差异化机会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：你们可以从小规模图谱起步（20-30个实体），验证GraphRAG在DGA诊断中的效果，作为从Naive RAG向Advanced/Modular RAG演进的实践。</w:t>
      </w:r>
    </w:p>
    <w:p w14:paraId="187D4C11">
      <w:pPr>
        <w:pStyle w:val="3"/>
        <w:keepNext w:val="0"/>
        <w:keepLines w:val="0"/>
        <w:widowControl/>
        <w:suppressLineNumbers w:val="0"/>
        <w:spacing w:before="422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四、案例四：南方电网云南昆明供电局——DeepSeek+变电验收</w:t>
      </w:r>
    </w:p>
    <w:p w14:paraId="28C2CB44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落地单位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：南方电网云南昆明供电局</w:t>
      </w:r>
    </w:p>
    <w:p w14:paraId="1D2FACD4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：主变压器验收与试验数据分析</w:t>
      </w:r>
    </w:p>
    <w:p w14:paraId="005BFA74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技术架构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：依托南网“大瓦特”模型体系，通过“DeepSeek+变电”本地化部署，推出4个变电运行专业典型模型应用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"https://www.km.gov.cn/c/2025-04-11/4966122.shtml"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。其中“设备试验数据智能分析”应用构建了覆盖45项国家标准、行业规程的结构化知识库，依托DeepSeek大模型进行电力场景定向训练，实现“设备型号输入—数据智能比对—问题精准定位”全流程自动化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"https://www.km.gov.cn/c/2025-04-11/4966122.shtml"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625A633E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关键效果指标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51115842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单次验收时长由1.5小时压缩至15分钟，效率提升83.3%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"https://www.km.gov.cn/c/2025-04-11/4966122.shtml"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52DE2EE2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覆盖45项国家标准、行业规程的结构化知识库</w:t>
      </w:r>
    </w:p>
    <w:p w14:paraId="2CA876F5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运维人员需对照10份文件、逐项核查62项试验数据的工作被自动化替代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"https://www.km.gov.cn/c/2025-04-11/4966122.shtml"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67A02341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技术实现细节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：系统可实时解析试验数据与制度条款的匹配度，快速识别绕组直流电阻超标、绝缘油耐压值异常等问题，并生成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附具体条款依据的验收报告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，有效杜绝漏检、跳检风险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"https://www.km.gov.cn/c/2025-04-11/4966122.shtml"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09387335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与你们项目的关系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这是与你们项目最接近的案例。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你们的知识库构建方式（按条切块+结构化元数据）与其实践一致；你们的主干流程（检索→生成→带引用报告）与其“数据智能比对→问题精准定位→附条款依据报告”完全对应。</w:t>
      </w:r>
    </w:p>
    <w:p w14:paraId="0FAD16E8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尚未满足的需求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：侧重验收场景（比对标准值），未涉及故障诊断和根因分析；输出是“合格/不合格”判断，不涉及多故障综合推理。</w:t>
      </w:r>
    </w:p>
    <w:p w14:paraId="188B744A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差异化机会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：你们可以进一步延伸到故障诊断和根因分析，输出“故障类型+处置建议+风险等级”的完整诊断报告。</w:t>
      </w:r>
    </w:p>
    <w:p w14:paraId="1429C39C">
      <w:pPr>
        <w:pStyle w:val="3"/>
        <w:keepNext w:val="0"/>
        <w:keepLines w:val="0"/>
        <w:widowControl/>
        <w:suppressLineNumbers w:val="0"/>
        <w:spacing w:before="422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五、案例五：国家电投河南公司——火电机组预警诊断</w:t>
      </w:r>
    </w:p>
    <w:p w14:paraId="1AA2D72D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落地单位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：国家电投集团河南公司</w:t>
      </w:r>
    </w:p>
    <w:p w14:paraId="1CD7BDCA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：跨等级火电机组设备智能故障预警诊断</w:t>
      </w:r>
    </w:p>
    <w:p w14:paraId="3ABD0DE1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技术架构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：构建“预警—诊断—治理”三级协同远程智能诊断体系。集成融合空间特征与时序演进的“双脑协同”算法（CNN-LSTM）、基于全局自注意力机制的“全能观察者”算法（Transformer）等深度学习算法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"http://www.spic.com.cn/xtdt1/202607/t20260723_328244.html"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。依托火电行业专用大模型搭建智能诊断平台，基于DeepSeek架构构建诊断智能体，融合RAG技术与专业知识库检索能力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"http://www.spic.com.cn/xtdt1/202607/t20260723_328244.html"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7012DB65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关键效果指标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4882413D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覆盖200兆瓦至1000兆瓦全等级火电机组关键设备</w:t>
      </w:r>
    </w:p>
    <w:p w14:paraId="1C825261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可提前数小时至2个月预判设备潜在故障</w:t>
      </w:r>
    </w:p>
    <w:p w14:paraId="3365AF87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预警准确率超过85%</w:t>
      </w:r>
    </w:p>
    <w:p w14:paraId="6FB3D1A0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故障诊断响应时间由小时级缩短至分钟级</w:t>
      </w:r>
    </w:p>
    <w:p w14:paraId="13045E3F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已在12台机组完成试点应用，具备向200台以上机组推广条件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"http://www.spic.com.cn/xtdt1/202607/t20260723_328244.html"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5D51F525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与你们项目的关系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：验证了RAG技术在发电设备故障诊断中的可行性和有效性。其“预警→诊断→治理”三阶段与你们的“感知→检索→生成”流程对应。</w:t>
      </w:r>
    </w:p>
    <w:p w14:paraId="10EFE5C5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尚未满足的需求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：火电机组与变压器DGA诊断的领域知识完全不同；需要多维度传感器数据（振动、温度、压力等）和大量训练数据。</w:t>
      </w:r>
    </w:p>
    <w:p w14:paraId="46397C10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差异化机会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：你们专注于变压器DGA这一细分领域，知识库规模小（百条级），部署轻量，适合快速复制。</w:t>
      </w:r>
    </w:p>
    <w:p w14:paraId="2E907597">
      <w:pPr>
        <w:pStyle w:val="3"/>
        <w:keepNext w:val="0"/>
        <w:keepLines w:val="0"/>
        <w:widowControl/>
        <w:suppressLineNumbers w:val="0"/>
        <w:spacing w:before="422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六、案例六：电力行业化学技术交流会——DGA大模型诊断</w:t>
      </w:r>
    </w:p>
    <w:p w14:paraId="7CA3B73A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落地单位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：电力行业化学专业技术交流会（参会单位包括国网等）</w:t>
      </w:r>
    </w:p>
    <w:p w14:paraId="76287C36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：变压器油色谱（DGA）故障诊断</w:t>
      </w:r>
    </w:p>
    <w:p w14:paraId="041B7798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技术架构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：前端采用数字动态顶空脱气、灵敏度智能补偿、免维护载气发生等关键技术，实现七种特征气体的全自动高精度在线检测。后端依托光明电力大模型，构建融合诊断标准与历史案例的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RAG专属知识库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，采用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思维链推理策略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，构建从数据感知到诊断决策的主变油色谱AI全链路分析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"https://d.wanfangdata.com.cn/conference/11572069"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6AF248B5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关键效果指标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7A189812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诊断结论与专家研判一致率超过85%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"https://d.wanfangdata.com.cn/conference/11572069"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46376FE6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单次诊断耗时由小时级压缩至分钟级</w:t>
      </w:r>
    </w:p>
    <w:p w14:paraId="0EA8EE0F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与你们项目的关系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这是与你们项目最同构的案例。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同样聚焦DGA诊断、同样使用RAG专属知识库、同样采用大模型推理。你们的系统架构（切块→向量检索→生成→强制引用）与其“数据感知→诊断决策”的全链路分析一致。</w:t>
      </w:r>
    </w:p>
    <w:p w14:paraId="4FA4094A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尚未满足的需求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：需要配合高精度在线监测硬件装置（数字动态顶空脱气等），硬件门槛高；未公开知识库的具体构建方式和评测细节。</w:t>
      </w:r>
    </w:p>
    <w:p w14:paraId="66A0D26C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差异化机会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：你们是纯软件方案，不依赖专用硬件；可在方案中强调“轻量化部署、零硬件成本”的优势。</w:t>
      </w:r>
    </w:p>
    <w:p w14:paraId="753AFE60">
      <w:pPr>
        <w:pStyle w:val="3"/>
        <w:keepNext w:val="0"/>
        <w:keepLines w:val="0"/>
        <w:widowControl/>
        <w:suppressLineNumbers w:val="0"/>
        <w:spacing w:before="422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七、DGA诊断前沿研究（MM-RAGDiag）</w:t>
      </w:r>
    </w:p>
    <w:p w14:paraId="2676D2F1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研究来源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：IEEE会议论文（2025年10月，西安）</w:t>
      </w:r>
    </w:p>
    <w:p w14:paraId="3D68F73D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：油浸式变压器多模态诊断</w:t>
      </w:r>
    </w:p>
    <w:p w14:paraId="3BE6D5AC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技术架构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提出MM-RAGDiag框架，集成了DGA、红外热成像、声学传感和人工巡检文本，通过检索增强大语言模型进行诊断。系统将异构传感器输出融合为结构化提示，从本地数据库检索相关维护知识，生成诊断结论和维护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"https://xplorestaging.ieee.org/document/11332092"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1254ED5C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关键效果指标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408D02DA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诊断准确率达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97.1%</w:t>
      </w:r>
    </w:p>
    <w:p w14:paraId="4A298618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BLEU-4评分72.4，超过所有单模态基线</w:t>
      </w:r>
    </w:p>
    <w:p w14:paraId="51BC9664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完全在便携式巡检终端上实现，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无需云端连接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，适合带宽受限的变电站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"https://xplorestaging.ieee.org/document/11332092"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38FB8335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与你们项目的关系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：证明了多模态融合和检索增强能显著提升诊断可靠性和可解释性。你们可以将其“结构化提示+本地检索”的设计思路作为参考。</w:t>
      </w:r>
    </w:p>
    <w:p w14:paraId="7343413E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尚未满足的需求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：需要多模态传感器硬件；数据集为专有数据（1000条油浸式变压器巡检记录），不可复现。</w:t>
      </w:r>
    </w:p>
    <w:p w14:paraId="1AC139E5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差异化机会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：你们目前聚焦DGA单一模态，可在方案中写“未来可扩展多模态输入”作为展望，不需要现在实现。</w:t>
      </w:r>
    </w:p>
    <w:p w14:paraId="776228B9">
      <w:pPr>
        <w:pStyle w:val="3"/>
        <w:keepNext w:val="0"/>
        <w:keepLines w:val="0"/>
        <w:widowControl/>
        <w:suppressLineNumbers w:val="0"/>
        <w:spacing w:before="422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八、案例汇总对比表</w:t>
      </w:r>
    </w:p>
    <w:tbl>
      <w:tblPr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1"/>
        <w:gridCol w:w="1637"/>
        <w:gridCol w:w="2763"/>
        <w:gridCol w:w="2797"/>
        <w:gridCol w:w="1478"/>
      </w:tblGrid>
      <w:tr w14:paraId="2DD8A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049C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案例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D937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落地单位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1269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核心技术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10CD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关键指标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E2A8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与你们的关系</w:t>
            </w:r>
          </w:p>
        </w:tc>
      </w:tr>
      <w:tr w14:paraId="44F1D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CE08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配电网抢修智能体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F9A5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国网湖北电力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2AC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光明大模型+13.5TB多模态数据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79E5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抢修效率+35%，推广至27省市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CDB9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多模态方向参考</w:t>
            </w:r>
          </w:p>
        </w:tc>
      </w:tr>
      <w:tr w14:paraId="29D7B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5833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输电线路故障辨识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585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国网福建电力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0B27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大小模型协同+多智能体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4A48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准确率&gt;80%，运维效率+50%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63AE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架构思路可借鉴</w:t>
            </w:r>
          </w:p>
        </w:tc>
      </w:tr>
      <w:tr w14:paraId="4B3DE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7CC5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GraphRAG故障定位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527E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国网泉州供电公司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C868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GraphRAG+GCN图检索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0846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故障定位缩短至15分钟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8A06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阶段二图谱方向参考</w:t>
            </w:r>
          </w:p>
        </w:tc>
      </w:tr>
      <w:tr w14:paraId="62E4A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C213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DeepSeek+主变验收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4F4E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南网昆明供电局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689B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DeepSeek+45项规程结构化知识库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9926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验收效率+83.3%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8853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最接近你们的实践</w:t>
            </w:r>
          </w:p>
        </w:tc>
      </w:tr>
      <w:tr w14:paraId="1E73C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BC84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火电机组预警诊断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782C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国家电投河南公司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39ED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DeepSeek+RAG+专业知识库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0183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预警准确率&gt;85%，覆盖200-1000MW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22AA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RAG有效性验证</w:t>
            </w:r>
          </w:p>
        </w:tc>
      </w:tr>
      <w:tr w14:paraId="6F258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12CD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DGA大模型诊断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CDB1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电力化学技术交流会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AAE0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光明大模型+RAG专属知识库+思维链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02F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专家一致率&gt;85%，分钟级诊断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B6AF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与你们最同构</w:t>
            </w:r>
          </w:p>
        </w:tc>
      </w:tr>
      <w:tr w14:paraId="16031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111E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MM-RAGDiag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5282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IEEE会议论文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0D46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多模态RAG+本地部署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40A8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诊断准确率97.1%，无需云端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EF31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  <w14:ligatures w14:val="standardContextual"/>
              </w:rPr>
              <w:t>多模态展望参考</w:t>
            </w:r>
          </w:p>
        </w:tc>
      </w:tr>
    </w:tbl>
    <w:p w14:paraId="5C64D75C">
      <w:pPr>
        <w:pStyle w:val="3"/>
        <w:keepNext w:val="0"/>
        <w:keepLines w:val="0"/>
        <w:widowControl/>
        <w:suppressLineNumbers w:val="0"/>
        <w:spacing w:before="422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九、核心结论</w:t>
      </w:r>
    </w:p>
    <w:p w14:paraId="45184327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行业趋势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：电力行业正在大规模落地“大模型+RAG+知识库”的故障诊断方案，国网、南网、国家电投均有实践案例，技术路线与你们的项目高度一致。</w:t>
      </w:r>
    </w:p>
    <w:p w14:paraId="4D1A7103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你们的位置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：与昆明供电局（主变验收）和化学技术交流会（DGA诊断）的实践最为接近，都属于“规程知识库+RAG+大模型”的技术路线。</w:t>
      </w:r>
    </w:p>
    <w:p w14:paraId="5FF2B48A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差异化定位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2D5ED084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轻量化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：不依赖专用硬件，纯软件方案，部署门槛低</w:t>
      </w:r>
    </w:p>
    <w:p w14:paraId="7D7FB321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聚焦DGA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：专注油浸式变压器DGA诊断，知识库规模小（百条级）但深度垂直</w:t>
      </w:r>
    </w:p>
    <w:p w14:paraId="0E91FCA5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可溯源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：强制引用条号+未命中拒答，在合规性上有明确设计</w:t>
      </w:r>
    </w:p>
    <w:p w14:paraId="629CCD9E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渐进式演进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：从Naive RAG起步，规划向Advanced RAG和Modular RAG演进</w:t>
      </w:r>
    </w:p>
    <w:p w14:paraId="224BB380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下一步方向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：在方案文档中明确“我们与行业前沿路线一致，但选择了轻量化、聚焦DGA的差异化定位，优先保证可溯源和防幻觉”。</w:t>
      </w:r>
    </w:p>
    <w:p w14:paraId="1BE0DDB0">
      <w:pPr>
        <w:pStyle w:val="12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待讨论问题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11A33396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是否需要在评测报告中对标行业指标（如“专家一致率&gt;85%”）？</w:t>
      </w:r>
    </w:p>
    <w:p w14:paraId="00F76B1E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是否需要在阶段二引入轻量级知识图谱（20-30个实体）验证GraphRAG效果？</w:t>
      </w:r>
    </w:p>
    <w:p w14:paraId="3D112D1C">
      <w:pPr>
        <w:rPr>
          <w:rFonts w:hint="eastAsia"/>
          <w:b/>
          <w:bCs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A65479"/>
    <w:multiLevelType w:val="multilevel"/>
    <w:tmpl w:val="5AA65479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122"/>
    <w:rsid w:val="00002116"/>
    <w:rsid w:val="00070E80"/>
    <w:rsid w:val="000A6502"/>
    <w:rsid w:val="000D695F"/>
    <w:rsid w:val="000F79D0"/>
    <w:rsid w:val="001D298C"/>
    <w:rsid w:val="00211E5C"/>
    <w:rsid w:val="002549DC"/>
    <w:rsid w:val="002D0C3A"/>
    <w:rsid w:val="00307F00"/>
    <w:rsid w:val="003156B9"/>
    <w:rsid w:val="00334D42"/>
    <w:rsid w:val="003D66E0"/>
    <w:rsid w:val="00401D4B"/>
    <w:rsid w:val="00427122"/>
    <w:rsid w:val="0049580D"/>
    <w:rsid w:val="00565476"/>
    <w:rsid w:val="00567941"/>
    <w:rsid w:val="005708D3"/>
    <w:rsid w:val="005E2991"/>
    <w:rsid w:val="00610D28"/>
    <w:rsid w:val="00644940"/>
    <w:rsid w:val="006A353D"/>
    <w:rsid w:val="00700371"/>
    <w:rsid w:val="00720B47"/>
    <w:rsid w:val="00734EBA"/>
    <w:rsid w:val="00861E34"/>
    <w:rsid w:val="0088605D"/>
    <w:rsid w:val="008C0102"/>
    <w:rsid w:val="008E0E99"/>
    <w:rsid w:val="00956FD6"/>
    <w:rsid w:val="009633BF"/>
    <w:rsid w:val="00A40224"/>
    <w:rsid w:val="00AE1723"/>
    <w:rsid w:val="00B17576"/>
    <w:rsid w:val="00BC67AE"/>
    <w:rsid w:val="00C6193C"/>
    <w:rsid w:val="00C63036"/>
    <w:rsid w:val="00CA4AB4"/>
    <w:rsid w:val="00CC3287"/>
    <w:rsid w:val="00CE5091"/>
    <w:rsid w:val="00CE622A"/>
    <w:rsid w:val="00CF605A"/>
    <w:rsid w:val="00D069F1"/>
    <w:rsid w:val="00D06E85"/>
    <w:rsid w:val="00D63DCA"/>
    <w:rsid w:val="00E64C38"/>
    <w:rsid w:val="00EA169D"/>
    <w:rsid w:val="00EF165F"/>
    <w:rsid w:val="00EF2F0D"/>
    <w:rsid w:val="00F050B8"/>
    <w:rsid w:val="00FA49F2"/>
    <w:rsid w:val="00FB4F01"/>
    <w:rsid w:val="00FC6B42"/>
    <w:rsid w:val="7715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596</Words>
  <Characters>614</Characters>
  <Lines>4</Lines>
  <Paragraphs>1</Paragraphs>
  <TotalTime>5</TotalTime>
  <ScaleCrop>false</ScaleCrop>
  <LinksUpToDate>false</LinksUpToDate>
  <CharactersWithSpaces>616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2026-09-15T01:42:00Z</dcterms:created>
  <dc:creator>伯睿 熊</dc:creator>
  <cp:lastModifiedBy>田雨翔</cp:lastModifiedBy>
  <dcterms:modified xsi:type="dcterms:W3CDTF">2026-09-17T01:19:28Z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eyJoZGlkIjoiZmEyOTJjZjk3YzQwZTUxZDNkNGQwMDAyMTY5NDYwMDIiLCJ1c2VySWQiOiIxOTAyNTA5MDMwIn0=</vt:lpwstr>
  </property>
  <property fmtid="{D5CDD505-2E9C-101B-9397-08002B2CF9AE}" pid="3" name="KSOProductBuildVer">
    <vt:lpwstr>2052-12.1.0.25222</vt:lpwstr>
  </property>
  <property fmtid="{D5CDD505-2E9C-101B-9397-08002B2CF9AE}" pid="4" name="ICV">
    <vt:lpwstr>028FA690B1EB4B3199DE4DDE1763404F_12</vt:lpwstr>
  </property>
</Properties>
</file>