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200"/>
      </w:pPr>
      <w:r>
        <w:rPr>
          <w:rFonts w:ascii="Calibri" w:eastAsia="SimSun" w:hAnsi="Calibri"/>
          <w:b/>
          <w:sz w:val="34"/>
          <w:szCs w:val="34"/>
        </w:rPr>
        <w:t xml:space="preserve">面向油浸式电力变压器故障根因分析的知识增强大模型调研报告</w:t>
      </w:r>
    </w:p>
    <w:p>
      <w:pPr>
        <w:jc w:val="center"/>
        <w:spacing w:after="200"/>
      </w:pPr>
      <w:r>
        <w:rPr>
          <w:rFonts w:ascii="Calibri" w:eastAsia="SimSun" w:hAnsi="Calibri"/>
          <w:b/>
          <w:sz w:val="26"/>
          <w:szCs w:val="26"/>
        </w:rPr>
        <w:t xml:space="preserve">（技术向·任务一现状调研·初稿 V2）</w:t>
      </w:r>
    </w:p>
    <w:p>
      <w:pPr>
        <w:jc w:val="center"/>
        <w:spacing w:after="300"/>
      </w:pPr>
      <w:r>
        <w:rPr>
          <w:rFonts w:ascii="Calibri" w:eastAsia="SimSun" w:hAnsi="Calibri"/>
          <w:color w:val="555555"/>
          <w:sz w:val="22"/>
          <w:szCs w:val="22"/>
        </w:rPr>
        <w:t xml:space="preserve">四川大学未来技术创新创业社团考核·考题八
2026年9月17日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摘要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本报告围绕油浸式电力变压器故障根因分析场景，对大模型知识增强、检索增强生成、知识图谱、Agent 工作流和可信生成技术进行调研，并结合行业实践与项目当前实现形成技术路线建议。调研结果表明：纯大模型方案难以满足工业诊断对事实性、可追溯性和安全合规的要求；向量 RAG 是当前最成熟的工程基线，但存在查询表达失配、专业术语漏检、Top-k 证据不稳定和检索错误传播等问题；知识图谱和 GraphRAG 可补充关系与多跳推理，但建设维护成本较高；Agent 多步工作流适合根因分析，但必须配合确定性工具、结构化输出和规则校验。建议采用“DL/T 722 规则引擎 + 向量/关键词混合检索 + 受控 Agent + 证据校验 + 人工复核”的混合路线。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关键词：油浸式变压器；DGA；知识增强；RAG；GraphRAG；根因分析；Agent；可信生成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目录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1. 调研背景与任务界定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2. 行业现状与实践对标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3. 变压器故障诊断基础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4. 知识增强技术路线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5. 基于综述 B1 的 RAG 演进分析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6. 根因分析 Agent 与工业系统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7. 可信生成、归因与合规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8. 工业知识提取与知识图谱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9. 项目当前实现与自测评估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10. 建议系统架构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11. 实施优先级与评测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12. 风险、结论与下一步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参考文献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1. 调研背景与任务界定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1.1 项目背景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油浸式电力变压器是输变电和工业厂站中的关键设备。绝缘油在热故障、放电故障和受潮等异常条件下会分解产生特征气体，油中溶解气体分析（DGA）因此成为发现早期故障、判断故障类型和指导检修的重要手段。传统诊断依赖专家翻阅标准、对照注意值、计算产气速率并完成三比值编码，过程专业性强、效率受经验影响，且难以快速关联跨文档的判据、案例和处置要求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大语言模型具备自然语言理解、知识组织和报告生成能力，适合把 DGA 数据、规程条文和检修案例组织成可读的诊断结论。但工业场景不能接受无依据推断。本项目关注的核心不是让 LLM 自由诊断，而是如何用规则、证据和可验证流程约束 LLM。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1.2 任务与范围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对象范围：输变电及工业厂站中的油浸式电力变压器，重点为主变。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诊断主线：以 DL/T 722-2014 为 DGA 判据依据，关注特征气体、注意值、产气速率、三比值编码和故障类型判断；电气试验和巡检信息作为辅助证据。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技术范围：Prompt、长上下文、向量 RAG、KG/GraphRAG、领域微调、规则/机理诊断、数据驱动模型、Agent 工作流、可信生成和人工复核。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边界：干式变压器、配电低压小变压器和纯油务理化指标不作为主诊断路径；IEC 60599:2022 因版权和费用原因不作为正式依据。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1.3 调研材料与方法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本报告综合 RAG 综述 B1、RARR 论文 F4、AIOps/RCA/Agent 文献、DGA 传统方法和标准，以及团队整理的行业公开案例与自测结果。行业案例中的数字来自团队现有整理材料，正式引用前仍需补齐原始来源、发布时间和适用边界。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2. 行业现状与实践对标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行业内已出现多类“大模型 + 知识库 + RAG/GraphRAG + 专用工具”实践，但场景、数据模态和自动化边界不同。以下案例用于判断技术方向和本项目的差异化定位。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1500"/>
        <w:gridCol w:w="2300"/>
        <w:gridCol w:w="2400"/>
        <w:gridCol w:w="2500"/>
        <w:gridCol w:w="2600"/>
      </w:tblGrid>
      <w:tr>
        <w:tc>
          <w:tcPr>
            <w:tcW w:w="17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单位/来源</w:t>
            </w:r>
          </w:p>
        </w:tc>
        <w:tc>
          <w:tcPr>
            <w:tcW w:w="17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场景</w:t>
            </w:r>
          </w:p>
        </w:tc>
        <w:tc>
          <w:tcPr>
            <w:tcW w:w="17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技术路线</w:t>
            </w:r>
          </w:p>
        </w:tc>
        <w:tc>
          <w:tcPr>
            <w:tcW w:w="17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公开整理指标</w:t>
            </w:r>
          </w:p>
        </w:tc>
        <w:tc>
          <w:tcPr>
            <w:tcW w:w="17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对本项目的启示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国网湖北电力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配电网抢修与故障根因研判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光明大模型 + 多模态数据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13.5TB 多模态数据；抢修效率提升约35%；推广至27个省市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多模态融合价值明显，但数据与部署成本高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国网福建电力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输电线路故障原因辨识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大小模型协同 + 多智能体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5分钟识别6类故障；220kV及以上事故准确率80%以上；运维效率提升50%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小模型负责数值/波形分析，大模型负责语义推理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国网泉州供电公司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输电线路故障定位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GraphRAG + 图检索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特定场景定位缩短约15分钟；历史案例检索分钟级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图关系和跨文档推理适合第二阶段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电力行业化学技术交流会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主变油色谱 DGA 诊断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光明大模型 + RAG 专属知识库 + 思维链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专家研判一致率超过85%；诊断由小时级降至分钟级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与本项目最同构，需突出条号证据和合规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国网大数据中心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电力设备缺陷等级识别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RAG + LoRA 微调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场景偏缺陷分类，非根因推理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微调适合固定分类，不解决根因解释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南方电网云南昆明供电局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主变验收与试验数据分析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DeepSeek + 结构化知识库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单台验收由1.5小时降至15分钟，效率提升约83.3%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结构化知识库与流程化输出可借鉴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国家电投河南公司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火电机组预警诊断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DeepSeek + RAG + 专业知识库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覆盖200MW-1000MW机组；预警准确率超过85%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RAG 在电力设备预警中的有效性得到验证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MM-RAGDiag（学术）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油浸式变压器多模态诊断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DGA + 红外 + 声学 + 巡检文本 + 本地 RAG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诊断准确率97.1%；BLEU-4为72.4；可离线部署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多模态是未来扩展，当前仍以 DGA 为主线</w:t>
            </w:r>
          </w:p>
        </w:tc>
      </w:tr>
    </w:tbl>
    <w:p>
      <w:pPr>
        <w:spacing w:after="100"/>
      </w:pP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2.1 行业技术共识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第一，专业知识库和规则约束是工业大模型落地的必要条件。第二，单一大模型通常不直接承担全部诊断，而是由小模型、规则和工具完成精确计算。第三，高风险处置仍需要人工确认。第四，数据模态越多，系统能力越强，但构建、标注和部署成本也显著增加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2.2 本项目差异化定位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本项目应突出轻量化、聚焦油浸式主变 DGA、条号级可追溯和未命中拒答。不以全行业全模态大模型为近期目标，不依赖专用监测硬件，优先形成可复核的 DGA 根因分析与处置建议闭环。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3. 变压器故障诊断基础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3.1 DGA 与标准判据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DL/T 722-2014 是本项目 DGA 诊断的第一依据，覆盖油中溶解气体分析、注意值、产气速率、三比值编码和故障类型判断。其作用是把连续的气体测量值转化为可复核的故障类型判据。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IEC TC10/Duval 数据与传统 DGA 综述表明，局部放电、低能放电、高能放电和不同温区热故障具有不同气体组合特征。常见方法包括 Key Gas、Dornenburg、Rogers、IEC 比值、Duval Triangle、Duval Pentagon 和 Three Rates。不同判据有各自盲区，不能用一个判据覆盖全部故障。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3.2 运行与处置边界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DL/T 572-2021 对变压器运行条件、负载方式、运行维护、异常处理和保护冷却装置提出要求，可作为处置建议的合规来源。涉及继续运行、减负荷、停电检查、隔离检修和恢复送电的建议，必须引用规程并保留人工复核。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3.3 传统方法与数据驱动方法的关系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规则和机理方法可解释、稳定、可复核，适合作为确定性底座；机器学习和深度学习在样本充足时可能提高分类精度，但存在严重故障样本稀缺、黑箱难解释和跨场景泛化不足等问题。数据驱动模型适合作为辅助证据和对照实验，不应替代规则底座。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4. 知识增强技术路线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技术路线编号沿用项目技术路线调研文件：1-1 至 1-4 表示知识注入方式，2-1 至 2-4 表示诊断逻辑，3-1 至 3-3 表示系统交互形态。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1500"/>
        <w:gridCol w:w="2300"/>
        <w:gridCol w:w="2400"/>
        <w:gridCol w:w="2500"/>
        <w:gridCol w:w="2600"/>
      </w:tblGrid>
      <w:tr>
        <w:tc>
          <w:tcPr>
            <w:tcW w:w="17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编号</w:t>
            </w:r>
          </w:p>
        </w:tc>
        <w:tc>
          <w:tcPr>
            <w:tcW w:w="17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路线</w:t>
            </w:r>
          </w:p>
        </w:tc>
        <w:tc>
          <w:tcPr>
            <w:tcW w:w="17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做法</w:t>
            </w:r>
          </w:p>
        </w:tc>
        <w:tc>
          <w:tcPr>
            <w:tcW w:w="17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优势</w:t>
            </w:r>
          </w:p>
        </w:tc>
        <w:tc>
          <w:tcPr>
            <w:tcW w:w="17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主要局限</w:t>
            </w:r>
          </w:p>
        </w:tc>
        <w:tc>
          <w:tcPr>
            <w:tcW w:w="17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本项目定位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1-1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Prompt/长上下文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把文档直接放入提示词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实现快、门槛低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容量有限、成本高、难溯源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基线和兜底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1-2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向量 RAG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切块、Embedding、Top-k、带引用生成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免训练、更新快、可引用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受切分和检索质量影响，关系推理弱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MVP 主线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1-3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KG/GraphRAG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构建实体关系图、检索子图和社区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关系、因果和全局推理强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建图和维护成本高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加分项/第二阶段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1-4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领域微调/LoRA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用领域语料更新模型参数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术语和格式稳定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依赖算力、数据和重训，难溯源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不作为主线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2-1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规则/机理法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三比值、注意值、产气速率等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可解释、可复核、稳定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覆盖有限、边界情况有盲区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规则底座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2-2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数据驱动 ML/DL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用历史样本训练分类模型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复杂模式下可提升精度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样本稀缺、黑箱、泛化风险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辅助/对照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2-3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纯 LLM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直接依赖模型参数回答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交互自然、生成能力强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事实性和引用能力不足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仅作对照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2-4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混合路线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规则 + RAG/TAG + LLM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兼顾严谨、可解释和语言能力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需要结构化与校验工程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推荐主方案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3-1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单轮问答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一次输入一次回答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实现简单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不能完成多步调查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低阶交互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3-2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Agent 工作流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推理—行动—观察循环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可动态收集证据、调用工具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需要工具 schema 和稳定性控制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任务三主线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3-3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人机协同/人工复核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高风险建议人工确认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合规和安全边界明确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依赖人工流程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合规底线</w:t>
            </w:r>
          </w:p>
        </w:tc>
      </w:tr>
    </w:tbl>
    <w:p>
      <w:pPr>
        <w:spacing w:after="100"/>
      </w:pP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5. 基于综述 B1 的 RAG 演进分析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综述 B1 将 RAG 的发展概括为 Naive RAG、Advanced RAG 和 Modular RAG 三种递进范式，并从检索、生成、增强和评测四个层面展开。多模态、自适应检索、记忆和工具编排属于后续扩展方向，不应被写成所有 RAG 的唯一技术路线。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5.1 三种范式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Naive RAG 采用“索引—检索—拼接—生成”的线性流程，结构简单，但检索质量直接决定生成质量。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Advanced RAG 在检索前增加查询改写、扩展、转换和路由，在检索后增加重排、上下文压缩和证据选择，提高查询与证据、证据与问题之间的匹配度。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Modular RAG 将搜索、记忆、路由、预测和任务适配等能力模块化，允许模块替换和流程重排。RAG Fusion 可作为查询扩展与结果融合的扩展方法，不宜与 B1 的核心模块完全并列。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5.2 检索链路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检索前：查询改写、查询扩展、HyDE、Step-back、子查询分解和查询路由。HyDE 先生成假设答案，再用假设答案的 Embedding 检索真实文档，适合查询和答案表述差异较大的场景，但可能引入额外语义偏差。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检索方式：稀疏检索（BM25/关键词）适合精确术语和条号匹配；稠密向量检索适合语义匹配；混合检索通过融合和重排提升召回与准确率。Generate-Read 和 Recite-Read 扩展了知识来源，但不必然降低总计算成本。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检索后：Reranker 重排、上下文压缩和证据筛选可减少无关内容。生成阶段必须区分有证据支持的结论和模型推断。RAG 与微调并非互相替代，前者适合知识更新和引用，后者适合固定术语和格式。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5.3 索引、切分与评测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B1 还强调文档切分、元数据和结构化索引。规程文档应按“文档—章节—条号—段落”组织，保留 doc_id、clause、title、page 等字段。评估至少包括 Recall@k、Hit Rate、MRR/NDCG、引用正确率和未命中拒答准确率。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6. 根因分析 Agent 与工业系统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6.1 ReAct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ReAct 通过“推理—行动—观察”循环，让模型调用工具获取外部信息后再继续推理。它适合真实排障的动态证据收集，但需要工具 schema、动作合法性检查和上下文管理，否则会产生无效动作、重复查询和错误传播。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6.2 RCAgent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RCAgent 将 Controller Agent 与 Code/Log Expert Agent 分离，通过 OBSK 管理长观察，通过 JsonRegen 修复结构化输出，通过错误规则纠正无效动作，并用轨迹级自洽性在结束阶段聚合多个候选结论。其价值在于工具编排、结构化协议、稳定化机制和证据聚合。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6.3 云 RCA 实证与 RCACopilot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C3 的实证表明，仅增加静态事故文本或讨论内容不一定提升 RCA；专用诊断工具和可交互环境更重要。RCACopilot 通过告警类型匹配预定义 handler，采集日志、指标和链路信息，再由 LLM 总结、检索历史事故并预测根因类别。其核心是确定性流程决定“查什么、从哪里查”，LLM 负责总结、关联和解释。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6.4 电力设备 Agent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DiagAgent 将 RAG 与领域小模型通过 MCP 结合，调用运行数据、SF6 压力和仿真工具生成结构化诊断报告；FaultSeer 使用本地知识库、Embedding 检索、Reranker 和语义规范化处理电力缺陷。两者共同说明：RAG 负责知识，专用模型负责数值分析，Agent/工作流负责编排。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6.5 本项目 Agent 设计原则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不宜让 LLM 完全自由探索。建议先做数据完整性检查，再调用规则引擎计算注意值、产气速率和三比值，随后按需检索规程与案例，最后由 LLM 组织根因链和生成报告。缺少证据的结论应拒答或转人工。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7. 可信生成、归因与合规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7.1 自适应检索与检索纠错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Self-RAG 通过反思 token 判断是否需要检索，以及检索内容是否支持生成；CRAG 通过轻量检索评估器判断检索结果质量，并触发纠错、补充检索或知识精炼。对本项目而言，所有涉及规程和处置的结论必须经过检索和证据质量判断。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7.2 RARR：生成后的研究与修订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RARR 采用“研究—修订”两阶段：先把模型输出拆成可验证陈述，再检索外部证据，最后修订无依据内容并尽量保持原意。本项目可将其简化为报告后处理层：逐条检查根因、证据和处置建议是否有条号或案例支持；无依据内容删除或降级；引用条号无法匹配原文时不允许进入最终报告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7.3 合规底线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诊断报告必须满足：结论可追溯、建议有依据、未命中即拒答、规则有否决权、高风险操作转人工。LLM 聚合形成的是候选共识，不等于安全正确性；规则校验器和人工复核仍是最终关口。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8. 工业知识提取与知识图谱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现有文献中，D5 提供了“本体—信息抽取—知识图谱—RAG—维护建议”的完整工程链路；A3 系统讨论了实体、关系、属性、知识融合和知识推理；B6 综述了 LLM+KG 故障诊断的本体、知识抽取和 GraphRAG 流程；D4 关注工业因果知识；D6 讨论核电领域领域图谱和 GRAG。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本项目的知识对象可定义为：设备、部件、异常现象、特征气体、故障类型、可能原因、处置建议和规程条号。初期目标不是建设完整知识图谱，而是确保规程条文、表格和判据能够结构化、可检索、可追溯。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建议先建立“现象—气体—故障—原因—处置—条号”的小型关系表或轻量图谱，再逐步增加因果边、部件关系和多跳查询。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9. 项目当前实现与自测评估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9.1 当前实现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当前项目已实现“检索—生成—带引用回答”的主干闭环：知识库保存任务相关规程条文，检索层使用 Embedding 余弦相似度 Top-k，生成层调用 DeepSeek，系统提示要求结论标注依据，检索为空时不调用生成 API。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从 RAG 范式看，当前实现整体接近 Naive RAG，但已经加入条号过滤、最低相似度阈值、未命中拒答和强制引用等工程约束，不能表述为完全没有优化。主要缺口是查询改写、BM25+向量混合检索、Reranker、上下文压缩和系统评测。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9.2 自测观察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1500"/>
        <w:gridCol w:w="2300"/>
        <w:gridCol w:w="2400"/>
        <w:gridCol w:w="2500"/>
      </w:tblGrid>
      <w:tr>
        <w:tc>
          <w:tcPr>
            <w:tcW w:w="17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测试类型</w:t>
            </w:r>
          </w:p>
        </w:tc>
        <w:tc>
          <w:tcPr>
            <w:tcW w:w="17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输入特征</w:t>
            </w:r>
          </w:p>
        </w:tc>
        <w:tc>
          <w:tcPr>
            <w:tcW w:w="17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系统表现</w:t>
            </w:r>
          </w:p>
        </w:tc>
        <w:tc>
          <w:tcPr>
            <w:tcW w:w="17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结论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复杂长文本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220kV 主变、乙炔和氢气异常，询问故障与处置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带引用回答，逐项分析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成功，但依赖用户提供结构和 Top-3 命中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加噪声文本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插入无关内容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忽略噪声并给出引用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抗噪能力较好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领域内模糊输入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“高压主变气体不对劲”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命中不足，要求补充数据或拒答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有安全边界，但检索不够稳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极限口语化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“油里有不好的东西”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直接拒答“资料未覆盖”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防幻觉底线强，但检索失效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空结果注入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直接传空证据列表给生成函数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不调用生成 API，直接拒答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代码级防幻觉有效</w:t>
            </w:r>
          </w:p>
        </w:tc>
      </w:tr>
    </w:tbl>
    <w:p>
      <w:pPr>
        <w:spacing w:after="100"/>
      </w:pP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评估结论：系统在结构化输入和领域内模糊输入下表现稳定，能强制引用和拒绝幻觉；但完全口语化输入下检索会失效，暴露了对专业锚点词的依赖。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10. 建议系统架构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建议采用以下端到端流程：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输入层：接收设备信息、DGA 数据、试验记录、巡检文本和用户问题。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校验层：检查单位、字段完整性、采样时间、历史序列和缺失值。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规则计算层：计算注意值、产气速率、三比值编码和候选故障类型。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检索层：进行查询规范化，使用 BM25/关键词和向量混合召回，再通过 Reranker 重排。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证据组织层：按条号、页码和来源组织规程、案例和设备资料。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Agent/LLM 层：根据证据形成根因链和处置建议，禁止越过规则边界。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校验层：检查 schema、引用条号、证据覆盖、危险建议和未命中拒答。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输出层：生成根因报告、依据清单、风险提示和人工复核标记。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11. 实施优先级与评测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11.1 实施优先级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1500"/>
        <w:gridCol w:w="2300"/>
        <w:gridCol w:w="2400"/>
        <w:gridCol w:w="2500"/>
      </w:tblGrid>
      <w:tr>
        <w:tc>
          <w:tcPr>
            <w:tcW w:w="17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优先级</w:t>
            </w:r>
          </w:p>
        </w:tc>
        <w:tc>
          <w:tcPr>
            <w:tcW w:w="17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优化项</w:t>
            </w:r>
          </w:p>
        </w:tc>
        <w:tc>
          <w:tcPr>
            <w:tcW w:w="17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解决的问题</w:t>
            </w:r>
          </w:p>
        </w:tc>
        <w:tc>
          <w:tcPr>
            <w:tcW w:w="17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工作/产出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P0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BM25 + 向量混合检索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专业术语和条号精确匹配不足，召回不稳定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混合召回接口与对比结果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P0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引用校验（RARR 简化版）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可能编造条号或无依据结论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结论—证据—条号校验规则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P1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规则化查询改写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口语化、简称和单位表达导致检索失败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气体/设备/现象规范化映射表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P1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Reranker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正确条文未进入 Top-3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Top-10 重排到 Top-3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P2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子查询分解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多故障、多设备、长文本问题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复杂问题分解与融合检索</w:t>
            </w:r>
          </w:p>
        </w:tc>
      </w:tr>
      <w:tr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P2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轻量知识图谱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跨文档关系和因果链表达不足</w:t>
            </w:r>
          </w:p>
        </w:tc>
        <w:tc>
          <w:tcPr>
            <w:tcW w:w="17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现象—故障—原因—处置小图谱</w:t>
            </w:r>
          </w:p>
        </w:tc>
      </w:tr>
    </w:tbl>
    <w:p>
      <w:pPr>
        <w:spacing w:after="100"/>
      </w:pP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11.2 评测指标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检索指标：Recall@k、Hit Rate、MRR、NDCG。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生成与引用指标：条号引用正确率、证据原文匹配率、无依据结论比例、人工可用性评分。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安全指标：未命中拒答准确率、越界处置建议拦截率、人工复核触发率。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系统指标：端到端响应时间、Token 成本、查询改写和重排的消融增益。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12. 风险、结论与下一步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12.1 主要风险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标准文本和表格抽取错误会直接传播到诊断结论，需要人工抽检。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查询改写可能改变数值条件或专业术语，应先用确定性术语规范化，再允许有限 LLM 改写。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行业案例数据来源不一，部分指标缺少原始口径，正式报告引用前应重新核验。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高风险处置建议不能由 LLM 自动执行，必须保留规则否决和人工复核。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当前评测样本规模有限，需要建立包含正确条款、正确根因和拒答边界的测试集。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12.2 结论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工业故障诊断不应采用纯 LLM 路线，而应把确定性规则、外部知识、检索增强、专用工具和 LLM 生成组合起来。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本项目推荐路线为：DL/T 722 规则引擎提供故障判据和安全边界；向量/关键词混合检索提供规程与案例证据；受控 Agent 编排多步调查；LLM 负责根因链和报告组织；引用校验、规则否决和人工复核负责最终可信性。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GraphRAG 和领域微调分别作为第二阶段增强和明确不选路线。下一步应优先完成混合检索和引用校验，建立检索与安全评测集，再推进查询改写、Reranker、复杂问题分解和轻量知识图谱。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参考文献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[1] Gao et al. Retrieval-Augmented Generation for Large Language Models: A Survey. arXiv:2312.10997.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[2] Gao et al. RARR: Researching and Revising What Language Models Say, Using Language Models. ACL 2023, arXiv:2210.08726.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[3] Zhang et al. A Survey of AIOps in the Era of Large Language Models. arXiv:2507.12472.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[4] Wang et al. RCAgent: Cloud Root Cause Analysis by Autonomous Agents with Tool-Augmented Large Language Models. CIKM 2024, arXiv:2310.16340.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[5] Roy et al. Exploring LLM-based Agents for Root Cause Analysis. arXiv:2403.04123.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[6] Chen et al. Automatic Root Cause Analysis via Large Language Models for Cloud Incidents. EuroSys 2024, arXiv:2305.15778.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[7] DiagAgent: Power Equipment Fault Diagnosis via RAG and MCP. IEEE, 2026.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[8] FaultSeer: Agentic RAG for Defect Analysis in Power Systems. NTCI, 2025.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[9] DL/T 722-2014. 变压器油中溶解气体分析和判断导则.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[10] DL/T 572-2021. 电力变压器运行规程.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[11] Conventional Dissolved Gases Analysis in Power Transformers: A Review. Energies, 2023.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[12] Traditional fault diagnosis methods for mineral oil-immersed power transformer based on dissolved gas analysis. IET Nanodielectrics, 2024.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[13] MM-RAGDiag: Multimodal Retrieval-Augmented Diagnosis for Oil-Immersed Transformers. ICIPS, 2025.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[14] 人工智能大模型在电力设备运维场景中的应用探讨. 中国工程科学, 2025.</w:t>
      </w:r>
    </w:p>
    <w:p>
      <w:pPr>
        <w:spacing w:before="260" w:after="120"/>
      </w:pPr>
      <w:r>
        <w:rPr>
          <w:rFonts w:ascii="Calibri" w:eastAsia="SimSun" w:hAnsi="Calibri"/>
          <w:b/>
          <w:sz w:val="29"/>
          <w:szCs w:val="29"/>
        </w:rPr>
        <w:t xml:space="preserve">13. 论文通读补充：技术路线的文献证据与本项目定位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说明：本节从《全部文献通读：内容概览与技术路线映射》中选取与前述报告互补的内容，不重复基础章节。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13.1 技术路线证据映射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2300"/>
        <w:gridCol w:w="3600"/>
        <w:gridCol w:w="4300"/>
      </w:tblGrid>
      <w:tr>
        <w:tc>
          <w:tcPr>
            <w:tcW w:w="20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技术路线</w:t>
            </w:r>
          </w:p>
        </w:tc>
        <w:tc>
          <w:tcPr>
            <w:tcW w:w="20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主要文献支持</w:t>
            </w:r>
          </w:p>
        </w:tc>
        <w:tc>
          <w:tcPr>
            <w:tcW w:w="2000" w:type="dxa"/>
            <w:shd w:fill="D9EAF7"/>
          </w:tcPr>
          <w:p>
            <w:pPr>
              <w:spacing w:after="40"/>
            </w:pPr>
            <w:r>
              <w:rPr>
                <w:rFonts w:ascii="Calibri" w:eastAsia="SimSun" w:hAnsi="Calibri"/>
                <w:b/>
                <w:sz w:val="19"/>
                <w:szCs w:val="19"/>
              </w:rPr>
              <w:t xml:space="preserve">对本项目的补充结论</w:t>
            </w:r>
          </w:p>
        </w:tc>
      </w:tr>
      <w:tr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1-1 Prompt/长上下文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A2、A6、C1、C2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仅作基线和兜底，不能承担大量规程和严格溯源</w:t>
            </w:r>
          </w:p>
        </w:tc>
      </w:tr>
      <w:tr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1-2 向量 RAG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B0、B1、B5、F2、F3、C3、C4、C5、C6、A7、D2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证据最充分，是当前最成熟的工程起点</w:t>
            </w:r>
          </w:p>
        </w:tc>
      </w:tr>
      <w:tr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1-3 KG/GraphRAG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B2、B2a、B3、B4、B5、B6、A3、A7、D4、D5、D6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适合关系和多跳推理，作为第二阶段增强</w:t>
            </w:r>
          </w:p>
        </w:tc>
      </w:tr>
      <w:tr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1-4 领域微调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A1、A2、A4、A5、D6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受算力、数据、更新和可追溯性约束，不作为主线</w:t>
            </w:r>
          </w:p>
        </w:tc>
      </w:tr>
      <w:tr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2-1 规则/机理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DL/T 722、DL/T 572、E0、E2、E3、D1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DGA 判据和处置边界的确定性底座</w:t>
            </w:r>
          </w:p>
        </w:tc>
      </w:tr>
      <w:tr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2-2 数据驱动 ML/DL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A1、A2、A3、A4、A5、E2、E3、D1、D2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作为辅助证据和对照，不替代规则</w:t>
            </w:r>
          </w:p>
        </w:tc>
      </w:tr>
      <w:tr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2-3 纯 LLM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C1、C3、A2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用于证明规则和 RAG 必要性，不作最终结论</w:t>
            </w:r>
          </w:p>
        </w:tc>
      </w:tr>
      <w:tr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2-4 混合路线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C2、C4、C5、C6、D1、D2、D4、D5、D6、F2、F3、F4、A7、B6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与本项目目标最一致，推荐主线</w:t>
            </w:r>
          </w:p>
        </w:tc>
      </w:tr>
      <w:tr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3-1 单轮问答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A1、C6、D2、D4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适合简单问答，难以完成多步证据收集</w:t>
            </w:r>
          </w:p>
        </w:tc>
      </w:tr>
      <w:tr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3-2 Agent 工作流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F1、F2、C1、C2、C3、C4、C5、D5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任务三主线，但必须使用受控工具而不是自由探索</w:t>
            </w:r>
          </w:p>
        </w:tc>
      </w:tr>
      <w:tr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3-3 人机协同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DL/T 572、F4、A7、D6</w:t>
            </w:r>
          </w:p>
        </w:tc>
        <w:tc>
          <w:tcPr>
            <w:tcW w:w="2000" w:type="dxa"/>
          </w:tcPr>
          <w:p>
            <w:pPr>
              <w:spacing w:after="40"/>
            </w:pPr>
            <w:r>
              <w:rPr>
                <w:rFonts w:ascii="Calibri" w:eastAsia="SimSun" w:hAnsi="Calibri"/>
                <w:sz w:val="19"/>
                <w:szCs w:val="19"/>
              </w:rPr>
              <w:t xml:space="preserve">高风险处置的合规底线</w:t>
            </w:r>
          </w:p>
        </w:tc>
      </w:tr>
    </w:tbl>
    <w:p>
      <w:pPr>
        <w:spacing w:after="100"/>
      </w:pP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13.2 文献分组补充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A 组综述说明，故障诊断正从传统信号与深度学习走向基础模型、多模态、知识图谱和 LLM 融合；其价值在于提供技术全景，但不能直接替代领域规则。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B 组表明，RAG 的最优路线不是单纯扩大向量检索，而是根据任务在向量 RAG、GraphRAG、自适应检索和模块化编排之间选择。对结构化判据应采用规则或数据库，对非结构化规程和案例采用 RAG，对跨文档因果关系再考虑图谱。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C 组说明，AIOps 和 RCA Agent 的关键是自主收集证据、调用工具和输出结构化结论；但 C3 的经验说明，仅增加静态文本不一定提升效果，专用诊断工具和可交互环境更重要。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D 组是电力设备专项证据。D1 采用多源监测与 LLM 融合，D2 证明 DGA、红外、声学和巡检文本的多模态 RAG 可行，D4 强调因果关系，D5 提供知识抽取与 GAT-RAG 案例，D6 说明核电等高安全领域需要领域图谱和 GRAG。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E 组提供 DGA 规则底座。E0 说明故障分类和 TC10 数据来源，E2/E3 比较 Key Gas、比值法、Duval 和组合方法，说明不同判据存在适用边界，不能只用单一方法。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F 组提供可信生成机制：ReAct 负责行动循环，Self-RAG 负责自适应检索，CRAG 负责检索纠错，RARR 负责生成后的归因和修订。四者分别对应本项目的工具调用、检索时机、检索质量校验和报告证据校验。</w:t>
      </w:r>
    </w:p>
    <w:p>
      <w:pPr>
        <w:spacing w:before="170" w:after="80"/>
      </w:pPr>
      <w:r>
        <w:rPr>
          <w:rFonts w:ascii="Calibri" w:eastAsia="SimSun" w:hAnsi="Calibri"/>
          <w:b/>
          <w:sz w:val="25"/>
          <w:szCs w:val="25"/>
        </w:rPr>
        <w:t xml:space="preserve">13.3 对项目的补充结论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第一，文献证据支持混合路线，但规则底座必须先于 LLM 生成；LLM 不应直接决定故障类型和安全处置。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第二，知识更新与模型学习必须区分。规程和案例适合 RAG 动态更新，微调适合固定术语和格式，但不利于条号追溯和快速改版。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第三，DGA 标准不仅是文本语料，更是确定性规则来源。注意值、产气速率和三比值应进入规则引擎，RAG 负责补充条文和案例解释。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第四，评测必须同时覆盖检索命中、引用正确、未命中拒答、危险建议拦截和响应成本，不能只评价生成文本是否流畅。</w:t>
      </w:r>
    </w:p>
    <w:p>
      <w:pPr>
        <w:spacing w:after="100" w:line="360" w:lineRule="auto"/>
      </w:pPr>
      <w:r>
        <w:rPr>
          <w:rFonts w:ascii="Calibri" w:eastAsia="SimSun" w:hAnsi="Calibri"/>
          <w:sz w:val="22"/>
          <w:szCs w:val="22"/>
        </w:rPr>
        <w:t xml:space="preserve">第五，工业知识提取仍是本项目需要自建的关键环节。建议提取对象为：设备、部件、异常现象、特征气体、故障类型、可能原因、处置建议和规程条号。</w:t>
      </w:r>
    </w:p>
    <w:sectPr>
      <w:pgSz w:w="11906" w:h="16838"/>
      <w:pgMar w:top="1440" w:right="1100" w:bottom="1440" w:left="11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eastAsia="SimSun" w:hAnsi="Calibri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