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700" w:after="260"/>
      </w:pPr>
      <w:r>
        <w:rPr>
          <w:rFonts w:ascii="Aptos" w:eastAsia="Microsoft YaHei" w:hAnsi="Aptos"/>
          <w:b/>
          <w:color w:val="1F4E79"/>
          <w:sz w:val="38"/>
          <w:szCs w:val="38"/>
        </w:rPr>
        <w:t xml:space="preserve">面向油浸式电力变压器故障根因分析的知识增强大模型调研报告</w:t>
      </w:r>
    </w:p>
    <w:p>
      <w:pPr>
        <w:jc w:val="center"/>
        <w:spacing w:after="180"/>
      </w:pPr>
      <w:r>
        <w:rPr>
          <w:rFonts w:ascii="Aptos" w:eastAsia="Microsoft YaHei" w:hAnsi="Aptos"/>
          <w:b/>
          <w:color w:val="2F5597"/>
          <w:sz w:val="28"/>
          <w:szCs w:val="28"/>
        </w:rPr>
        <w:t xml:space="preserve">（技术向·任务一现状调研·初稿 V2）</w:t>
      </w:r>
    </w:p>
    <w:p>
      <w:pPr>
        <w:jc w:val="center"/>
        <w:spacing w:after="800"/>
      </w:pPr>
      <w:r>
        <w:rPr>
          <w:rFonts w:ascii="Aptos" w:eastAsia="Microsoft YaHei" w:hAnsi="Aptos"/>
          <w:color w:val="595959"/>
          <w:sz w:val="22"/>
          <w:szCs w:val="22"/>
        </w:rPr>
        <w:t xml:space="preserve">四川大学未来技术创新创业社团考核·考题八
2026年9月17日</w:t>
      </w:r>
    </w:p>
    <w:p>
      <w:r>
        <w:br w:type="page"/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摘要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本报告围绕油浸式电力变压器故障根因分析场景，对大模型知识增强、检索增强生成、知识图谱、Agent 工作流和可信生成技术进行调研，并结合行业实践与项目当前实现形成技术路线建议。调研结果表明：纯大模型方案难以满足工业诊断对事实性、可追溯性和安全合规的要求；向量 RAG 是当前最成熟的工程基线，但存在查询表达失配、专业术语漏检、Top-k 证据不稳定和检索错误传播等问题；知识图谱和 GraphRAG 可补充关系与多跳推理，但建设维护成本较高；Agent 多步工作流适合根因分析，但必须配合确定性工具、结构化输出和规则校验。建议采用“DL/T 722 规则引擎 + 向量/关键词混合检索 + 受控 Agent + 证据校验 + 人工复核”的混合路线。</w:t>
      </w: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b/>
          <w:sz w:val="22"/>
          <w:szCs w:val="22"/>
        </w:rPr>
        <w:t xml:space="preserve">关键词：</w:t>
      </w:r>
      <w:r>
        <w:rPr>
          <w:rFonts w:ascii="Aptos" w:eastAsia="Microsoft YaHei" w:hAnsi="Aptos"/>
          <w:sz w:val="22"/>
          <w:szCs w:val="22"/>
        </w:rPr>
        <w:t xml:space="preserve">油浸式变压器；DGA；知识增强；RAG；GraphRAG；根因分析；Agent；可信生成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目录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1. 调研背景与任务界定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2. 行业现状与实践对标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3. 变压器故障诊断基础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4. 知识增强技术路线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5. 基于综述 B1 的 RAG 演进分析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6. 根因分析 Agent 与工业系统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7. 可信生成、归因与合规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8. 工业知识提取与知识图谱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9. 项目当前实现与自测评估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10. 建议系统架构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11. 实施优先级与评测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12. 风险、结论与下一步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13. 论文通读补充：技术路线的文献证据与本项目定位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14. 新增原始文档深化补充</w:t>
      </w:r>
    </w:p>
    <w:p>
      <w:pPr>
        <w:spacing w:after="50" w:line="300" w:lineRule="auto"/>
        <w:ind w:left="180"/>
      </w:pPr>
      <w:r>
        <w:rPr>
          <w:rFonts w:ascii="Aptos" w:eastAsia="Microsoft YaHei" w:hAnsi="Aptos"/>
          <w:color w:val="404040"/>
          <w:sz w:val="21"/>
          <w:szCs w:val="21"/>
        </w:rPr>
        <w:t xml:space="preserve">参考文献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1. 调研背景与任务界定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1.1 项目背景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油浸式电力变压器是输变电和工业厂站中的关键设备。绝缘油在热故障、放电故障和受潮等异常条件下会分解产生特征气体，油中溶解气体分析（DGA）因此成为发现早期故障、判断故障类型和指导检修的重要手段。传统诊断依赖专家翻阅标准、对照注意值、计算产气速率并完成三比值编码，过程专业性强、效率受经验影响，且难以快速关联跨文档的判据、案例和处置要求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大语言模型具备自然语言理解、知识组织和报告生成能力，适合把 DGA 数据、规程条文和检修案例组织成可读的诊断结论。但工业场景不能接受无依据推断。本项目关注的核心不是让 LLM 自由诊断，而是如何用规则、证据和可验证流程约束 LLM。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1.2 任务与范围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对象范围：</w:t>
      </w:r>
      <w:r>
        <w:rPr>
          <w:rFonts w:ascii="Aptos" w:eastAsia="Microsoft YaHei" w:hAnsi="Aptos"/>
          <w:sz w:val="22"/>
          <w:szCs w:val="22"/>
        </w:rPr>
        <w:t xml:space="preserve">输变电及工业厂站中的油浸式电力变压器，重点为主变。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诊断主线：</w:t>
      </w:r>
      <w:r>
        <w:rPr>
          <w:rFonts w:ascii="Aptos" w:eastAsia="Microsoft YaHei" w:hAnsi="Aptos"/>
          <w:sz w:val="22"/>
          <w:szCs w:val="22"/>
        </w:rPr>
        <w:t xml:space="preserve">以 DL/T 722-2014 为 DGA 判据依据，关注特征气体、注意值、产气速率、三比值编码和故障类型判断；电气试验和巡检信息作为辅助证据。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技术范围：</w:t>
      </w:r>
      <w:r>
        <w:rPr>
          <w:rFonts w:ascii="Aptos" w:eastAsia="Microsoft YaHei" w:hAnsi="Aptos"/>
          <w:sz w:val="22"/>
          <w:szCs w:val="22"/>
        </w:rPr>
        <w:t xml:space="preserve">Prompt、长上下文、向量 RAG、KG/GraphRAG、领域微调、规则/机理诊断、数据驱动模型、Agent 工作流、可信生成和人工复核。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边界：</w:t>
      </w:r>
      <w:r>
        <w:rPr>
          <w:rFonts w:ascii="Aptos" w:eastAsia="Microsoft YaHei" w:hAnsi="Aptos"/>
          <w:sz w:val="22"/>
          <w:szCs w:val="22"/>
        </w:rPr>
        <w:t xml:space="preserve">干式变压器、配电低压小变压器和纯油务理化指标不作为主诊断路径；IEC 60599:2022 因版权和费用原因不作为正式依据。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1.3 调研材料与方法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本报告综合 RAG 综述 B1、RARR 论文 F4、AIOps/RCA/Agent 文献、DGA 传统方法和标准，以及团队整理的行业公开案例与自测结果。行业案例中的数字来自团队现有整理材料，正式引用前仍需补齐原始来源、发布时间和适用边界。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2. 行业现状与实践对标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行业内已出现多类“大模型 + 知识库 + RAG/GraphRAG + 专用工具”实践，但场景、数据模态和自动化边界不同。以下案例用于判断技术方向和本项目的差异化定位。</w:t>
      </w:r>
    </w:p>
    <w:tbl>
      <w:tblPr>
        <w:tblW w:w="5000" w:type="pct"/>
        <w:tblLayout w:type="fixed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单位/来源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技术路线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公开整理指标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对本项目的启示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国网湖北电力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配电网抢修与故障根因研判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光明大模型 + 多模态数据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13.5TB 多模态数据；抢修效率提升约35%；推广至27个省市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多模态融合价值明显，但数据与部署成本高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国网福建电力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输电线路故障原因辨识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大小模型协同 + 多智能体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5分钟识别6类故障；220kV及以上事故准确率80%以上；运维效率提升50%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小模型负责数值/波形分析，大模型负责语义推理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国网泉州供电公司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输电线路故障定位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GraphRAG + 图检索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特定场景定位缩短约15分钟；历史案例检索分钟级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图关系和跨文档推理适合第二阶段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电力行业化学技术交流会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主变油色谱 DGA 诊断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光明大模型 + RAG 专属知识库 + 思维链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专家研判一致率超过85%；诊断由小时级降至分钟级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与本项目最同构，需突出条号证据和合规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国网大数据中心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电力设备缺陷等级识别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RAG + LoRA 微调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场景偏缺陷分类，非根因推理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微调适合固定分类，不解决根因解释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南方电网云南昆明供电局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主变验收与试验数据分析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DeepSeek + 结构化知识库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单台验收由1.5小时降至15分钟，效率提升约83.3%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结构化知识库与流程化输出可借鉴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国家电投河南公司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火电机组预警诊断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DeepSeek + RAG + 专业知识库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覆盖200MW-1000MW机组；预警准确率超过85%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RAG 在电力设备预警中的有效性得到验证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MM-RAGDiag（学术）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油浸式变压器多模态诊断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DGA + 红外 + 声学 + 巡检文本 + 本地 RAG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诊断准确率97.1%；BLEU-4为72.4；可离线部署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多模态是未来扩展，当前仍以 DGA 为主线</w:t>
            </w:r>
          </w:p>
        </w:tc>
      </w:tr>
    </w:tbl>
    <w:p>
      <w:pPr>
        <w:spacing w:after="80"/>
      </w:pP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2.1 行业技术共识</w:t>
      </w: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b/>
          <w:sz w:val="22"/>
          <w:szCs w:val="22"/>
        </w:rPr>
        <w:t xml:space="preserve">第一，</w:t>
      </w:r>
      <w:r>
        <w:rPr>
          <w:rFonts w:ascii="Aptos" w:eastAsia="Microsoft YaHei" w:hAnsi="Aptos"/>
          <w:sz w:val="22"/>
          <w:szCs w:val="22"/>
        </w:rPr>
        <w:t xml:space="preserve">专业知识库和规则约束是工业大模型落地的必要条件。第二，单一大模型通常不直接承担全部诊断，而是由小模型、规则和工具完成精确计算。第三，高风险处置仍需要人工确认。第四，数据模态越多，系统能力越强，但构建、标注和部署成本也显著增加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2.2 本项目差异化定位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本项目应突出轻量化、聚焦油浸式主变 DGA、条号级可追溯和未命中拒答。不以全行业全模态大模型为近期目标，不依赖专用监测硬件，优先形成可复核的 DGA 根因分析与处置建议闭环。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3. 变压器故障诊断基础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3.1 DGA 与标准判据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DL/T 722-2014 是本项目 DGA 诊断的第一依据，覆盖油中溶解气体分析、注意值、产气速率、三比值编码和故障类型判断。其作用是把连续的气体测量值转化为可复核的故障类型判据。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IEC TC10/Duval 数据与传统 DGA 综述表明，局部放电、低能放电、高能放电和不同温区热故障具有不同气体组合特征。常见方法包括 Key Gas、Dornenburg、Rogers、IEC 比值、Duval Triangle、Duval Pentagon 和 Three Rates。不同判据有各自盲区，不能用一个判据覆盖全部故障。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3.2 运行与处置边界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DL/T 572-2021 对变压器运行条件、负载方式、运行维护、异常处理和保护冷却装置提出要求，可作为处置建议的合规来源。涉及继续运行、减负荷、停电检查、隔离检修和恢复送电的建议，必须引用规程并保留人工复核。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3.3 传统方法与数据驱动方法的关系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规则和机理方法可解释、稳定、可复核，适合作为确定性底座；机器学习和深度学习在样本充足时可能提高分类精度，但存在严重故障样本稀缺、黑箱难解释和跨场景泛化不足等问题。数据驱动模型适合作为辅助证据和对照实验，不应替代规则底座。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4. 知识增强技术路线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技术路线编号沿用项目技术路线调研文件：</w:t>
      </w:r>
      <w:r>
        <w:rPr>
          <w:rFonts w:ascii="Aptos" w:eastAsia="Microsoft YaHei" w:hAnsi="Aptos"/>
          <w:sz w:val="22"/>
          <w:szCs w:val="22"/>
        </w:rPr>
        <w:t xml:space="preserve">1-1 至 1-4 表示知识注入方式，2-1 至 2-4 表示诊断逻辑，3-1 至 3-3 表示系统交互形态。</w:t>
      </w:r>
    </w:p>
    <w:tbl>
      <w:tblPr>
        <w:tblW w:w="5000" w:type="pct"/>
        <w:tblLayout w:type="fixed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路线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做法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优势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主要局限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本项目定位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1-1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Prompt/长上下文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把文档直接放入提示词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实现快、门槛低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容量有限、成本高、难溯源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基线和兜底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1-2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向量 RAG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切块、Embedding、Top-k、带引用生成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免训练、更新快、可引用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受切分和检索质量影响，关系推理弱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MVP 主线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1-3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KG/GraphRAG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构建实体关系图、检索子图和社区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关系、因果和全局推理强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建图和维护成本高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加分项/第二阶段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1-4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领域微调/LoRA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用领域语料更新模型参数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术语和格式稳定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依赖算力、数据和重训，难溯源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不作为主线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2-1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规则/机理法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三比值、注意值、产气速率等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可解释、可复核、稳定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覆盖有限、边界情况有盲区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规则底座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2-2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数据驱动 ML/DL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用历史样本训练分类模型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复杂模式下可提升精度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样本稀缺、黑箱、泛化风险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辅助/对照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2-3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纯 LLM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直接依赖模型参数回答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交互自然、生成能力强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事实性和引用能力不足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仅作对照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2-4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混合路线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规则 + RAG/TAG + LLM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兼顾严谨、可解释和语言能力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需要结构化与校验工程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推荐主方案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3-1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单轮问答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一次输入一次回答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实现简单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不能完成多步调查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低阶交互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3-2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Agent 工作流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推理—行动—观察循环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可动态收集证据、调用工具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需要工具 schema 和稳定性控制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任务三主线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3-3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人机协同/人工复核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高风险建议人工确认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合规和安全边界明确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依赖人工流程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合规底线</w:t>
            </w:r>
          </w:p>
        </w:tc>
      </w:tr>
    </w:tbl>
    <w:p>
      <w:pPr>
        <w:spacing w:after="80"/>
      </w:pP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5. 基于综述 B1 的 RAG 演进分析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综述 B1 将 RAG 的发展概括为 Naive RAG、Advanced RAG 和 Modular RAG 三种递进范式，并从检索、生成、增强和评测四个层面展开。多模态、自适应检索、记忆和工具编排属于后续扩展方向，不应被写成所有 RAG 的唯一技术路线。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5.1 三种范式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Naive RAG 采用“索引—检索—拼接—生成”的线性流程，结构简单，但检索质量直接决定生成质量。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Advanced RAG 在检索前增加查询改写、扩展、转换和路由，在检索后增加重排、上下文压缩和证据选择，提高查询与证据、证据与问题之间的匹配度。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Modular RAG 将搜索、记忆、路由、预测和任务适配等能力模块化，允许模块替换和流程重排。RAG Fusion 可作为查询扩展与结果融合的扩展方法，不宜与 B1 的核心模块完全并列。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5.2 检索链路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检索前：</w:t>
      </w:r>
      <w:r>
        <w:rPr>
          <w:rFonts w:ascii="Aptos" w:eastAsia="Microsoft YaHei" w:hAnsi="Aptos"/>
          <w:sz w:val="22"/>
          <w:szCs w:val="22"/>
        </w:rPr>
        <w:t xml:space="preserve">查询改写、查询扩展、HyDE、Step-back、子查询分解和查询路由。HyDE 先生成假设答案，再用假设答案的 Embedding 检索真实文档，适合查询和答案表述差异较大的场景，但可能引入额外语义偏差。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检索方式：</w:t>
      </w:r>
      <w:r>
        <w:rPr>
          <w:rFonts w:ascii="Aptos" w:eastAsia="Microsoft YaHei" w:hAnsi="Aptos"/>
          <w:sz w:val="22"/>
          <w:szCs w:val="22"/>
        </w:rPr>
        <w:t xml:space="preserve">稀疏检索（BM25/关键词）适合精确术语和条号匹配；稠密向量检索适合语义匹配；混合检索通过融合和重排提升召回与准确率。Generate-Read 和 Recite-Read 扩展了知识来源，但不必然降低总计算成本。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检索后：</w:t>
      </w:r>
      <w:r>
        <w:rPr>
          <w:rFonts w:ascii="Aptos" w:eastAsia="Microsoft YaHei" w:hAnsi="Aptos"/>
          <w:sz w:val="22"/>
          <w:szCs w:val="22"/>
        </w:rPr>
        <w:t xml:space="preserve">Reranker 重排、上下文压缩和证据筛选可减少无关内容。生成阶段必须区分有证据支持的结论和模型推断。RAG 与微调并非互相替代，前者适合知识更新和引用，后者适合固定术语和格式。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5.3 索引、切分与评测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B1 还强调文档切分、元数据和结构化索引。规程文档应按“文档—章节—条号—段落”组织，保留 doc_id、clause、title、page 等字段。评估至少包括 Recall@k、Hit Rate、MRR/NDCG、引用正确率和未命中拒答准确率。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6. 根因分析 Agent 与工业系统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6.1 ReAct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ReAct 通过“推理—行动—观察”循环，让模型调用工具获取外部信息后再继续推理。它适合真实排障的动态证据收集，但需要工具 schema、动作合法性检查和上下文管理，否则会产生无效动作、重复查询和错误传播。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6.2 RCAgent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RCAgent 将 Controller Agent 与 Code/Log Expert Agent 分离，通过 OBSK 管理长观察，通过 JsonRegen 修复结构化输出，通过错误规则纠正无效动作，并用轨迹级自洽性在结束阶段聚合多个候选结论。其价值在于工具编排、结构化协议、稳定化机制和证据聚合。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6.3 云 RCA 实证与 RCACopilot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C3 的实证表明，仅增加静态事故文本或讨论内容不一定提升 RCA；专用诊断工具和可交互环境更重要。RCACopilot 通过告警类型匹配预定义 handler，采集日志、指标和链路信息，再由 LLM 总结、检索历史事故并预测根因类别。其核心是确定性流程决定“查什么、从哪里查”，LLM 负责总结、关联和解释。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6.4 电力设备 Agent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DiagAgent 将 RAG 与领域小模型通过 MCP 结合，调用运行数据、SF6 压力和仿真工具生成结构化诊断报告；FaultSeer 使用本地知识库、Embedding 检索、Reranker 和语义规范化处理电力缺陷。两者共同说明：RAG 负责知识，专用模型负责数值分析，Agent/工作流负责编排。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6.5 本项目 Agent 设计原则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不宜让 LLM 完全自由探索。建议先做数据完整性检查，再调用规则引擎计算注意值、产气速率和三比值，随后按需检索规程与案例，最后由 LLM 组织根因链和生成报告。缺少证据的结论应拒答或转人工。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7. 可信生成、归因与合规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7.1 自适应检索与检索纠错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Self-RAG 通过反思 token 判断是否需要检索，以及检索内容是否支持生成；CRAG 通过轻量检索评估器判断检索结果质量，并触发纠错、补充检索或知识精炼。对本项目而言，所有涉及规程和处置的结论必须经过检索和证据质量判断。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7.2 RARR：生成后的研究与修订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RARR 采用“研究—修订”两阶段：</w:t>
      </w:r>
      <w:r>
        <w:rPr>
          <w:rFonts w:ascii="Aptos" w:eastAsia="Microsoft YaHei" w:hAnsi="Aptos"/>
          <w:sz w:val="22"/>
          <w:szCs w:val="22"/>
        </w:rPr>
        <w:t xml:space="preserve">先把模型输出拆成可验证陈述，再检索外部证据，最后修订无依据内容并尽量保持原意。本项目可将其简化为报告后处理层：逐条检查根因、证据和处置建议是否有条号或案例支持；无依据内容删除或降级；引用条号无法匹配原文时不允许进入最终报告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7.3 合规底线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诊断报告必须满足：</w:t>
      </w:r>
      <w:r>
        <w:rPr>
          <w:rFonts w:ascii="Aptos" w:eastAsia="Microsoft YaHei" w:hAnsi="Aptos"/>
          <w:sz w:val="22"/>
          <w:szCs w:val="22"/>
        </w:rPr>
        <w:t xml:space="preserve">结论可追溯、建议有依据、未命中即拒答、规则有否决权、高风险操作转人工。LLM 聚合形成的是候选共识，不等于安全正确性；规则校验器和人工复核仍是最终关口。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8. 工业知识提取与知识图谱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现有文献中，D5 提供了“本体—信息抽取—知识图谱—RAG—维护建议”的完整工程链路；A3 系统讨论了实体、关系、属性、知识融合和知识推理；B6 综述了 LLM+KG 故障诊断的本体、知识抽取和 GraphRAG 流程；D4 关注工业因果知识；D6 讨论核电领域领域图谱和 GRAG。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本项目的知识对象可定义为：</w:t>
      </w:r>
      <w:r>
        <w:rPr>
          <w:rFonts w:ascii="Aptos" w:eastAsia="Microsoft YaHei" w:hAnsi="Aptos"/>
          <w:sz w:val="22"/>
          <w:szCs w:val="22"/>
        </w:rPr>
        <w:t xml:space="preserve">设备、部件、异常现象、特征气体、故障类型、可能原因、处置建议和规程条号。初期目标不是建设完整知识图谱，而是确保规程条文、表格和判据能够结构化、可检索、可追溯。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建议先建立“现象—气体—故障—原因—处置—条号”的小型关系表或轻量图谱，再逐步增加因果边、部件关系和多跳查询。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9. 项目当前实现与自测评估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9.1 当前实现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当前项目已实现“检索—生成—带引用回答”的主干闭环：</w:t>
      </w:r>
      <w:r>
        <w:rPr>
          <w:rFonts w:ascii="Aptos" w:eastAsia="Microsoft YaHei" w:hAnsi="Aptos"/>
          <w:sz w:val="22"/>
          <w:szCs w:val="22"/>
        </w:rPr>
        <w:t xml:space="preserve">知识库保存任务相关规程条文，检索层使用 Embedding 余弦相似度 Top-k，生成层调用 DeepSeek，系统提示要求结论标注依据，检索为空时不调用生成 API。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从 RAG 范式看，当前实现整体接近 Naive RAG，但已经加入条号过滤、最低相似度阈值、未命中拒答和强制引用等工程约束，不能表述为完全没有优化。主要缺口是查询改写、BM25+向量混合检索、Reranker、上下文压缩和系统评测。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9.2 自测观察</w:t>
      </w:r>
    </w:p>
    <w:tbl>
      <w:tblPr>
        <w:tblW w:w="5000" w:type="pct"/>
        <w:tblLayout w:type="fixed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</w:tblPr>
      <w:tblGrid>
        <w:gridCol w:w="1800"/>
        <w:gridCol w:w="1800"/>
        <w:gridCol w:w="1800"/>
        <w:gridCol w:w="1800"/>
      </w:tblGrid>
      <w:tr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测试类型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输入特征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系统表现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结论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复杂长文本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220kV 主变、乙炔和氢气异常，询问故障与处置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带引用回答，逐项分析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成功，但依赖用户提供结构和 Top-3 命中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加噪声文本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插入无关内容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忽略噪声并给出引用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抗噪能力较好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领域内模糊输入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“高压主变气体不对劲”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命中不足，要求补充数据或拒答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有安全边界，但检索不够稳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极限口语化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“油里有不好的东西”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直接拒答“资料未覆盖”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防幻觉底线强，但检索失效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空结果注入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直接传空证据列表给生成函数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不调用生成 API，直接拒答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代码级防幻觉有效</w:t>
            </w:r>
          </w:p>
        </w:tc>
      </w:tr>
    </w:tbl>
    <w:p>
      <w:pPr>
        <w:spacing w:after="80"/>
      </w:pP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b/>
          <w:sz w:val="22"/>
          <w:szCs w:val="22"/>
        </w:rPr>
        <w:t xml:space="preserve">评估结论：</w:t>
      </w:r>
      <w:r>
        <w:rPr>
          <w:rFonts w:ascii="Aptos" w:eastAsia="Microsoft YaHei" w:hAnsi="Aptos"/>
          <w:sz w:val="22"/>
          <w:szCs w:val="22"/>
        </w:rPr>
        <w:t xml:space="preserve">系统在结构化输入和领域内模糊输入下表现稳定，能强制引用和拒绝幻觉；但完全口语化输入下检索会失效，暴露了对专业锚点词的依赖。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10. 建议系统架构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建议采用以下端到端流程：</w:t>
      </w:r>
      <w:r>
        <w:rPr>
          <w:rFonts w:ascii="Aptos" w:eastAsia="Microsoft YaHei" w:hAnsi="Aptos"/>
          <w:sz w:val="22"/>
          <w:szCs w:val="22"/>
        </w:rPr>
        <w:t xml:space="preserve"/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输入层：</w:t>
      </w:r>
      <w:r>
        <w:rPr>
          <w:rFonts w:ascii="Aptos" w:eastAsia="Microsoft YaHei" w:hAnsi="Aptos"/>
          <w:sz w:val="22"/>
          <w:szCs w:val="22"/>
        </w:rPr>
        <w:t xml:space="preserve">接收设备信息、DGA 数据、试验记录、巡检文本和用户问题。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校验层：</w:t>
      </w:r>
      <w:r>
        <w:rPr>
          <w:rFonts w:ascii="Aptos" w:eastAsia="Microsoft YaHei" w:hAnsi="Aptos"/>
          <w:sz w:val="22"/>
          <w:szCs w:val="22"/>
        </w:rPr>
        <w:t xml:space="preserve">检查单位、字段完整性、采样时间、历史序列和缺失值。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规则计算层：</w:t>
      </w:r>
      <w:r>
        <w:rPr>
          <w:rFonts w:ascii="Aptos" w:eastAsia="Microsoft YaHei" w:hAnsi="Aptos"/>
          <w:sz w:val="22"/>
          <w:szCs w:val="22"/>
        </w:rPr>
        <w:t xml:space="preserve">计算注意值、产气速率、三比值编码和候选故障类型。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检索层：</w:t>
      </w:r>
      <w:r>
        <w:rPr>
          <w:rFonts w:ascii="Aptos" w:eastAsia="Microsoft YaHei" w:hAnsi="Aptos"/>
          <w:sz w:val="22"/>
          <w:szCs w:val="22"/>
        </w:rPr>
        <w:t xml:space="preserve">进行查询规范化，使用 BM25/关键词和向量混合召回，再通过 Reranker 重排。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证据组织层：</w:t>
      </w:r>
      <w:r>
        <w:rPr>
          <w:rFonts w:ascii="Aptos" w:eastAsia="Microsoft YaHei" w:hAnsi="Aptos"/>
          <w:sz w:val="22"/>
          <w:szCs w:val="22"/>
        </w:rPr>
        <w:t xml:space="preserve">按条号、页码和来源组织规程、案例和设备资料。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Agent/LLM 层：</w:t>
      </w:r>
      <w:r>
        <w:rPr>
          <w:rFonts w:ascii="Aptos" w:eastAsia="Microsoft YaHei" w:hAnsi="Aptos"/>
          <w:sz w:val="22"/>
          <w:szCs w:val="22"/>
        </w:rPr>
        <w:t xml:space="preserve">根据证据形成根因链和处置建议，禁止越过规则边界。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校验层：</w:t>
      </w:r>
      <w:r>
        <w:rPr>
          <w:rFonts w:ascii="Aptos" w:eastAsia="Microsoft YaHei" w:hAnsi="Aptos"/>
          <w:sz w:val="22"/>
          <w:szCs w:val="22"/>
        </w:rPr>
        <w:t xml:space="preserve">检查 schema、引用条号、证据覆盖、危险建议和未命中拒答。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输出层：</w:t>
      </w:r>
      <w:r>
        <w:rPr>
          <w:rFonts w:ascii="Aptos" w:eastAsia="Microsoft YaHei" w:hAnsi="Aptos"/>
          <w:sz w:val="22"/>
          <w:szCs w:val="22"/>
        </w:rPr>
        <w:t xml:space="preserve">生成根因报告、依据清单、风险提示和人工复核标记。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11. 实施优先级与评测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11.1 实施优先级</w:t>
      </w:r>
    </w:p>
    <w:tbl>
      <w:tblPr>
        <w:tblW w:w="5000" w:type="pct"/>
        <w:tblLayout w:type="fixed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</w:tblPr>
      <w:tblGrid>
        <w:gridCol w:w="1800"/>
        <w:gridCol w:w="1800"/>
        <w:gridCol w:w="1800"/>
        <w:gridCol w:w="1800"/>
      </w:tblGrid>
      <w:tr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优化项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解决的问题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工作/产出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P0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BM25 + 向量混合检索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专业术语和条号精确匹配不足，召回不稳定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混合召回接口与对比结果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P0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引用校验（RARR 简化版）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可能编造条号或无依据结论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结论—证据—条号校验规则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P1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规则化查询改写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口语化、简称和单位表达导致检索失败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气体/设备/现象规范化映射表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P1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Reranker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正确条文未进入 Top-3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Top-10 重排到 Top-3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P2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子查询分解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多故障、多设备、长文本问题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复杂问题分解与融合检索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P2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轻量知识图谱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跨文档关系和因果链表达不足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现象—故障—原因—处置小图谱</w:t>
            </w:r>
          </w:p>
        </w:tc>
      </w:tr>
    </w:tbl>
    <w:p>
      <w:pPr>
        <w:spacing w:after="80"/>
      </w:pP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11.2 评测指标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检索指标：</w:t>
      </w:r>
      <w:r>
        <w:rPr>
          <w:rFonts w:ascii="Aptos" w:eastAsia="Microsoft YaHei" w:hAnsi="Aptos"/>
          <w:sz w:val="22"/>
          <w:szCs w:val="22"/>
        </w:rPr>
        <w:t xml:space="preserve">Recall@k、Hit Rate、MRR、NDCG。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生成与引用指标：</w:t>
      </w:r>
      <w:r>
        <w:rPr>
          <w:rFonts w:ascii="Aptos" w:eastAsia="Microsoft YaHei" w:hAnsi="Aptos"/>
          <w:sz w:val="22"/>
          <w:szCs w:val="22"/>
        </w:rPr>
        <w:t xml:space="preserve">条号引用正确率、证据原文匹配率、无依据结论比例、人工可用性评分。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安全指标：</w:t>
      </w:r>
      <w:r>
        <w:rPr>
          <w:rFonts w:ascii="Aptos" w:eastAsia="Microsoft YaHei" w:hAnsi="Aptos"/>
          <w:sz w:val="22"/>
          <w:szCs w:val="22"/>
        </w:rPr>
        <w:t xml:space="preserve">未命中拒答准确率、越界处置建议拦截率、人工复核触发率。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系统指标：</w:t>
      </w:r>
      <w:r>
        <w:rPr>
          <w:rFonts w:ascii="Aptos" w:eastAsia="Microsoft YaHei" w:hAnsi="Aptos"/>
          <w:sz w:val="22"/>
          <w:szCs w:val="22"/>
        </w:rPr>
        <w:t xml:space="preserve">端到端响应时间、Token 成本、查询改写和重排的消融增益。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12. 风险、结论与下一步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12.1 主要风险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标准文本和表格抽取错误会直接传播到诊断结论，需要人工抽检。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查询改写可能改变数值条件或专业术语，应先用确定性术语规范化，再允许有限 LLM 改写。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行业案例数据来源不一，部分指标缺少原始口径，正式报告引用前应重新核验。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高风险处置建议不能由 LLM 自动执行，必须保留规则否决和人工复核。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当前评测样本规模有限，需要建立包含正确条款、正确根因和拒答边界的测试集。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12.2 结论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工业故障诊断不应采用纯 LLM 路线，而应把确定性规则、外部知识、检索增强、专用工具和 LLM 生成组合起来。</w:t>
      </w: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b/>
          <w:sz w:val="22"/>
          <w:szCs w:val="22"/>
        </w:rPr>
        <w:t xml:space="preserve">本项目推荐路线为：</w:t>
      </w:r>
      <w:r>
        <w:rPr>
          <w:rFonts w:ascii="Aptos" w:eastAsia="Microsoft YaHei" w:hAnsi="Aptos"/>
          <w:sz w:val="22"/>
          <w:szCs w:val="22"/>
        </w:rPr>
        <w:t xml:space="preserve">DL/T 722 规则引擎提供故障判据和安全边界；向量/关键词混合检索提供规程与案例证据；受控 Agent 编排多步调查；LLM 负责根因链和报告组织；引用校验、规则否决和人工复核负责最终可信性。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GraphRAG 和领域微调分别作为第二阶段增强和明确不选路线。下一步应优先完成混合检索和引用校验，建立检索与安全评测集，再推进查询改写、Reranker、复杂问题分解和轻量知识图谱。</w:t>
      </w:r>
    </w:p>
    <w:p>
      <w:r>
        <w:br w:type="page"/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13. 论文通读补充：技术路线的文献证据与本项目定位</w:t>
      </w: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b/>
          <w:sz w:val="22"/>
          <w:szCs w:val="22"/>
        </w:rPr>
        <w:t xml:space="preserve">说明：</w:t>
      </w:r>
      <w:r>
        <w:rPr>
          <w:rFonts w:ascii="Aptos" w:eastAsia="Microsoft YaHei" w:hAnsi="Aptos"/>
          <w:sz w:val="22"/>
          <w:szCs w:val="22"/>
        </w:rPr>
        <w:t xml:space="preserve">本节从《全部文献通读：内容概览与技术路线映射》中选取与前述报告互补的内容，不重复基础章节。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13.1 技术路线证据映射</w:t>
      </w:r>
    </w:p>
    <w:tbl>
      <w:tblPr>
        <w:tblW w:w="5000" w:type="pct"/>
        <w:tblLayout w:type="fixed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</w:tblPr>
      <w:tblGrid>
        <w:gridCol w:w="1800"/>
        <w:gridCol w:w="1800"/>
        <w:gridCol w:w="1800"/>
      </w:tblGrid>
      <w:tr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技术路线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主要文献支持</w:t>
            </w:r>
          </w:p>
        </w:tc>
        <w:tc>
          <w:tcPr>
            <w:tcW w:w="0" w:type="auto"/>
            <w:shd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b/>
                <w:color w:val="FFFFFF"/>
                <w:sz w:val="18"/>
                <w:szCs w:val="18"/>
              </w:rPr>
              <w:t xml:space="preserve">对本项目的补充结论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1-1 Prompt/长上下文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A2、A6、C1、C2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仅作基线和兜底，不能承担大量规程和严格溯源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1-2 向量 RAG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B0、B1、B5、F2、F3、C3、C4、C5、C6、A7、D2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证据最充分，是当前最成熟的工程起点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1-3 KG/GraphRAG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B2、B2a、B3、B4、B5、B6、A3、A7、D4、D5、D6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适合关系和多跳推理，作为第二阶段增强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1-4 领域微调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A1、A2、A4、A5、D6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受算力、数据、更新和可追溯性约束，不作为主线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2-1 规则/机理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DL/T 722、DL/T 572、E0、E2、E3、D1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DGA 判据和处置边界的确定性底座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2-2 数据驱动 ML/DL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A1、A2、A3、A4、A5、E2、E3、D1、D2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作为辅助证据和对照，不替代规则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2-3 纯 LLM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C1、C3、A2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用于证明规则和 RAG 必要性，不作最终结论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2-4 混合路线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C2、C4、C5、C6、D1、D2、D4、D5、D6、F2、F3、F4、A7、B6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与本项目目标最一致，推荐主线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3-1 单轮问答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A1、C6、D2、D4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适合简单问答，难以完成多步证据收集</w:t>
            </w:r>
          </w:p>
        </w:tc>
      </w:tr>
      <w:tr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3-2 Agent 工作流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F1、F2、C1、C2、C3、C4、C5、D5</w:t>
            </w:r>
          </w:p>
        </w:tc>
        <w:tc>
          <w:tcPr>
            <w:tcW w:w="0" w:type="auto"/>
            <w:shd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任务三主线，但必须使用受控工具而不是自由探索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3-3 人机协同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DL/T 572、F4、A7、D6</w:t>
            </w:r>
          </w:p>
        </w:tc>
        <w:tc>
          <w:tcPr>
            <w:tcW w:w="0" w:type="auto"/>
            <w:shd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20" w:line="240" w:lineRule="auto"/>
            </w:pPr>
            <w:r>
              <w:rPr>
                <w:rFonts w:ascii="Aptos" w:eastAsia="Microsoft YaHei" w:hAnsi="Aptos"/>
                <w:color w:val="1F1F1F"/>
                <w:sz w:val="18"/>
                <w:szCs w:val="18"/>
              </w:rPr>
              <w:t xml:space="preserve">高风险处置的合规底线</w:t>
            </w:r>
          </w:p>
        </w:tc>
      </w:tr>
    </w:tbl>
    <w:p>
      <w:pPr>
        <w:spacing w:after="80"/>
      </w:pP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13.2 文献分组补充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A 组综述说明，故障诊断正从传统信号与深度学习走向基础模型、多模态、知识图谱和 LLM 融合；其价值在于提供技术全景，但不能直接替代领域规则。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B 组表明，RAG 的最优路线不是单纯扩大向量检索，而是根据任务在向量 RAG、GraphRAG、自适应检索和模块化编排之间选择。对结构化判据应采用规则或数据库，对非结构化规程和案例采用 RAG，对跨文档因果关系再考虑图谱。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C 组说明，AIOps 和 RCA Agent 的关键是自主收集证据、调用工具和输出结构化结论；但 C3 的经验说明，仅增加静态文本不一定提升效果，专用诊断工具和可交互环境更重要。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D 组是电力设备专项证据。D1 采用多源监测与 LLM 融合，D2 证明 DGA、红外、声学和巡检文本的多模态 RAG 可行，D4 强调因果关系，D5 提供知识抽取与 GAT-RAG 案例，D6 说明核电等高安全领域需要领域图谱和 GRAG。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E 组提供 DGA 规则底座。E0 说明故障分类和 TC10 数据来源，E2/E3 比较 Key Gas、比值法、Duval 和组合方法，说明不同判据存在适用边界，不能只用单一方法。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b/>
          <w:sz w:val="22"/>
          <w:szCs w:val="22"/>
        </w:rPr>
        <w:t xml:space="preserve">F 组提供可信生成机制：</w:t>
      </w:r>
      <w:r>
        <w:rPr>
          <w:rFonts w:ascii="Aptos" w:eastAsia="Microsoft YaHei" w:hAnsi="Aptos"/>
          <w:sz w:val="22"/>
          <w:szCs w:val="22"/>
        </w:rPr>
        <w:t xml:space="preserve">ReAct 负责行动循环，Self-RAG 负责自适应检索，CRAG 负责检索纠错，RARR 负责生成后的归因和修订。四者分别对应本项目的工具调用、检索时机、检索质量校验和报告证据校验。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13.3 对项目的补充结论</w:t>
      </w: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b/>
          <w:sz w:val="22"/>
          <w:szCs w:val="22"/>
        </w:rPr>
        <w:t xml:space="preserve">第一，</w:t>
      </w:r>
      <w:r>
        <w:rPr>
          <w:rFonts w:ascii="Aptos" w:eastAsia="Microsoft YaHei" w:hAnsi="Aptos"/>
          <w:sz w:val="22"/>
          <w:szCs w:val="22"/>
        </w:rPr>
        <w:t xml:space="preserve">文献证据支持混合路线，但规则底座必须先于 LLM 生成；LLM 不应直接决定故障类型和安全处置。</w:t>
      </w: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b/>
          <w:sz w:val="22"/>
          <w:szCs w:val="22"/>
        </w:rPr>
        <w:t xml:space="preserve">第二，</w:t>
      </w:r>
      <w:r>
        <w:rPr>
          <w:rFonts w:ascii="Aptos" w:eastAsia="Microsoft YaHei" w:hAnsi="Aptos"/>
          <w:sz w:val="22"/>
          <w:szCs w:val="22"/>
        </w:rPr>
        <w:t xml:space="preserve">知识更新与模型学习必须区分。规程和案例适合 RAG 动态更新，微调适合固定术语和格式，但不利于条号追溯和快速改版。</w:t>
      </w: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b/>
          <w:sz w:val="22"/>
          <w:szCs w:val="22"/>
        </w:rPr>
        <w:t xml:space="preserve">第三，</w:t>
      </w:r>
      <w:r>
        <w:rPr>
          <w:rFonts w:ascii="Aptos" w:eastAsia="Microsoft YaHei" w:hAnsi="Aptos"/>
          <w:sz w:val="22"/>
          <w:szCs w:val="22"/>
        </w:rPr>
        <w:t xml:space="preserve">DGA 标准不仅是文本语料，更是确定性规则来源。注意值、产气速率和三比值应进入规则引擎，RAG 负责补充条文和案例解释。</w:t>
      </w: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b/>
          <w:sz w:val="22"/>
          <w:szCs w:val="22"/>
        </w:rPr>
        <w:t xml:space="preserve">第四，</w:t>
      </w:r>
      <w:r>
        <w:rPr>
          <w:rFonts w:ascii="Aptos" w:eastAsia="Microsoft YaHei" w:hAnsi="Aptos"/>
          <w:sz w:val="22"/>
          <w:szCs w:val="22"/>
        </w:rPr>
        <w:t xml:space="preserve">评测必须同时覆盖检索命中、引用正确、未命中拒答、危险建议拦截和响应成本，不能只评价生成文本是否流畅。</w:t>
      </w: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b/>
          <w:sz w:val="22"/>
          <w:szCs w:val="22"/>
        </w:rPr>
        <w:t xml:space="preserve">第五，</w:t>
      </w:r>
      <w:r>
        <w:rPr>
          <w:rFonts w:ascii="Aptos" w:eastAsia="Microsoft YaHei" w:hAnsi="Aptos"/>
          <w:sz w:val="22"/>
          <w:szCs w:val="22"/>
        </w:rPr>
        <w:t xml:space="preserve">工业知识提取仍是本项目需要自建的关键环节。建议提取对象为：设备、部件、异常现象、特征气体、故障类型、可能原因、处置建议和规程条号。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14. 新增原始文档深化补充</w:t>
      </w: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sz w:val="22"/>
          <w:szCs w:val="22"/>
        </w:rPr>
        <w:t xml:space="preserve">说明：本节根据新增 B6、C2 和 C1 阅读材料，仅补充直接影响本项目技术选择的内容。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14.1 B6：LLM 与知识图谱的融合路径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B6 将故障诊断中的融合方式概括为三类：LLM 增强知识图谱、知识图谱增强 LLM，以及二者双向协同。前者用 LLM 辅助本体和关系构建，中者用图谱约束检索与生成，后者强调相互反馈。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B6 还总结了本体、知识抽取和 GraphRAG 的索引—检索—生成流程，并使用 BERTScore 衡量生成内容与参考内容的语义相似度，适合缓解故障描述同义表达导致的精确匹配误判。</w:t>
      </w: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sz w:val="22"/>
          <w:szCs w:val="22"/>
        </w:rPr>
        <w:t xml:space="preserve">对项目的补充结论：轻量图谱有方法依据，但 MVP 仍应优先完成规则和向量检索闭环；图谱先表达“现象—气体—故障—原因—处置—条号”的关系，不直接建设完整 GraphRAG。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14.2 C2：RCAgent 的受控 Agent 机制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Controller Agent 接收框架规则、任务要求和工具文档三类提示；Expert Agent 负责代码或日志等专项分析，不承担全局决策。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其查询工具隐藏系统访问细节，只暴露简单参数，并去重、过滤低价值信息；分析工具用于降低 Controller 直接处理复杂数据时的幻觉风险。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OBSK 只展示观察头部并附带 hash ID，完整内容存入 key-value store；TSC 在进入 finalization 阶段后采样多个候选结论，再由 LLM 总结或嵌入投票聚合。</w:t>
      </w:r>
    </w:p>
    <w:p>
      <w:pPr>
        <w:pBdr>
          <w:left w:val="single" w:sz="28" w:space="8" w:color="2F5597"/>
          <w:top w:val="single" w:sz="4" w:space="6" w:color="BDD7EE"/>
          <w:bottom w:val="single" w:sz="4" w:space="6" w:color="BDD7EE"/>
          <w:right w:val="single" w:sz="4" w:space="6" w:color="BDD7EE"/>
        </w:pBdr>
        <w:spacing w:before="100" w:after="150" w:line="360" w:lineRule="auto"/>
        <w:shd w:fill="EAF3FB"/>
        <w:ind w:left="220" w:right="120"/>
      </w:pPr>
      <w:r>
        <w:rPr>
          <w:rFonts w:ascii="Aptos" w:eastAsia="Microsoft YaHei" w:hAnsi="Aptos"/>
          <w:sz w:val="22"/>
          <w:szCs w:val="22"/>
        </w:rPr>
        <w:t xml:space="preserve">对项目的补充结论：DGA 计算和规程查询应封装为稳定工具；长证据使用摘要头和证据编号管理；TSC 只聚合候选结论，最终仍由规则和人工复核。</w:t>
      </w:r>
    </w:p>
    <w:p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rFonts w:ascii="Aptos" w:eastAsia="Microsoft YaHei" w:hAnsi="Aptos"/>
          <w:b/>
          <w:color w:val="1F4E79"/>
          <w:sz w:val="25"/>
          <w:szCs w:val="25"/>
        </w:rPr>
        <w:t xml:space="preserve">14.3 C1 的补充作用与总体影响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C1 说明了 AIOps 在分布式软件系统故障感知、根因分析和辅助处置中的作用。其流程具有借鉴意义，但软件故障机理不能直接等同于电力设备故障。新增材料未改变原有结论，只进一步支持“知识图谱作为增强、Agent 受控编排、规则和证据校验兜底”的路线。</w:t>
      </w:r>
    </w:p>
    <w:p>
      <w:pPr>
        <w:keepNext/>
        <w:spacing w:before="320" w:after="160"/>
        <w:shd w:fill="1F4E79"/>
        <w:ind w:left="120" w:right="120"/>
      </w:pPr>
      <w:r>
        <w:rPr>
          <w:rFonts w:ascii="Aptos" w:eastAsia="Microsoft YaHei" w:hAnsi="Aptos"/>
          <w:b/>
          <w:color w:val="FFFFFF"/>
          <w:sz w:val="29"/>
          <w:szCs w:val="29"/>
        </w:rPr>
        <w:t xml:space="preserve">参考文献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[1] Gao et al. Retrieval-Augmented Generation for Large Language Models: A Survey. arXiv:2312.10997.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[2] Gao et al. RARR: Researching and Revising What Language Models Say, Using Language Models. ACL 2023, arXiv:2210.08726.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[3] Zhang et al. A Survey of AIOps in the Era of Large Language Models. arXiv:2507.12472.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[4] Wang et al. RCAgent: Cloud Root Cause Analysis by Autonomous Agents with Tool-Augmented Large Language Models. CIKM 2024, arXiv:2310.16340.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[5] Roy et al. Exploring LLM-based Agents for Root Cause Analysis. arXiv:2403.04123.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[6] Chen et al. Automatic Root Cause Analysis via Large Language Models for Cloud Incidents. EuroSys 2024, arXiv:2305.15778.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[7] DiagAgent: Power Equipment Fault Diagnosis via RAG and MCP. IEEE, 2026.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[8] FaultSeer: Agentic RAG for Defect Analysis in Power Systems. NTCI, 2025.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[9] DL/T 722-2014. 变压器油中溶解气体分析和判断导则.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[10] DL/T 572-2021. 电力变压器运行规程.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[11] Conventional Dissolved Gases Analysis in Power Transformers: A Review. Energies, 2023.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[12] Traditional fault diagnosis methods for mineral oil-immersed power transformer based on dissolved gas analysis. IET Nanodielectrics, 2024.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[13] MM-RAGDiag: Multimodal Retrieval-Augmented Diagnosis for Oil-Immersed Transformers. ICIPS, 2025.</w:t>
      </w:r>
    </w:p>
    <w:p>
      <w:pPr>
        <w:spacing w:after="110" w:line="360" w:lineRule="auto"/>
        <w:jc w:val="both"/>
      </w:pPr>
      <w:r>
        <w:rPr>
          <w:rFonts w:ascii="Aptos" w:eastAsia="Microsoft YaHei" w:hAnsi="Aptos"/>
          <w:sz w:val="22"/>
          <w:szCs w:val="22"/>
        </w:rPr>
        <w:t xml:space="preserve">[14] 人工智能大模型在电力设备运维场景中的应用探讨. 中国工程科学, 2025.</w:t>
      </w:r>
    </w:p>
    <w:sectPr>
      <w:footerReference w:type="default" r:id="rId2"/>
      <w:pgSz w:w="11906" w:h="16838"/>
      <w:pgMar w:top="1300" w:right="1100" w:bottom="1300" w:left="1100" w:header="700" w:footer="65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第 </w:t>
    </w:r>
    <w:fldSimple w:instr=" PAGE ">
      <w:r>
        <w:t>1</w:t>
      </w:r>
    </w:fldSimple>
    <w:r>
      <w:t> 页</w:t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eastAsia="Microsoft YaHei" w:hAnsi="Aptos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