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500" w:after="220"/>
      </w:pPr>
      <w:r>
        <w:rPr>
          <w:rFonts w:ascii="Aptos" w:eastAsia="Microsoft YaHei" w:hAnsi="Aptos"/>
          <w:b/>
          <w:color w:val="1F4E79"/>
          <w:sz w:val="34"/>
          <w:szCs w:val="34"/>
        </w:rPr>
        <w:t xml:space="preserve">面向油浸式电力变压器故障根因分析的知识增强大模型调研汇报稿</w:t>
      </w:r>
    </w:p>
    <w:p>
      <w:pPr>
        <w:jc w:val="center"/>
        <w:spacing w:after="500"/>
      </w:pPr>
      <w:r>
        <w:rPr>
          <w:rFonts w:ascii="Aptos" w:eastAsia="Microsoft YaHei" w:hAnsi="Aptos"/>
          <w:color w:val="595959"/>
          <w:sz w:val="22"/>
          <w:szCs w:val="22"/>
        </w:rPr>
        <w:t xml:space="preserve">项目成员：田雨翔、熊伯睿
建议时长：8–10分钟
2026年9月17日</w:t>
      </w:r>
    </w:p>
    <w:p>
      <w:pPr>
        <w:spacing w:after="12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各位老师、同学好，我们汇报的题目是《面向油浸式电力变压器故障根因分析的知识增强大模型调研》。本次汇报重点覆盖行业落地案例、主干论文技术路线、项目下一步发展和未来展望。</w:t>
      </w:r>
    </w:p>
    <w:p>
      <w:pPr>
        <w:spacing w:after="12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先说明：本次调研的核心工作由项目成员田雨翔、熊伯睿完成，AI仅用于语言润色、结构整理和版式排版；同时感谢黄子轩、先兴建的友情支持。</w:t>
      </w:r>
    </w:p>
    <w:p>
      <w:pPr>
        <w:keepNext/>
        <w:spacing w:before="260" w:after="11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7"/>
          <w:szCs w:val="27"/>
        </w:rPr>
        <w:t xml:space="preserve">第2页｜汇报主线</w:t>
      </w:r>
    </w:p>
    <w:p>
      <w:pPr>
        <w:spacing w:after="12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我们聚焦四个问题：行业怎么做、论文给出哪些路线、项目下一步做什么、未来往哪里走。总判断是：工业诊断不能依赖纯LLM，规则、检索、工具和人工复核必须协同。</w:t>
      </w:r>
    </w:p>
    <w:p>
      <w:pPr>
        <w:keepNext/>
        <w:spacing w:before="260" w:after="11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7"/>
          <w:szCs w:val="27"/>
        </w:rPr>
        <w:t xml:space="preserve">第3页｜为什么重新调研</w:t>
      </w:r>
    </w:p>
    <w:p>
      <w:pPr>
        <w:spacing w:after="12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当前系统已经完成检索、生成、引用闭环，但整体接近Naive RAG。主要问题是口语化输入检索失效、专业术语和条号命中不稳、缺少系统评测。目标是把“能跑通”升级为“可信、可解释、可落地”。</w:t>
      </w:r>
    </w:p>
    <w:p>
      <w:pPr>
        <w:keepNext/>
        <w:spacing w:before="260" w:after="11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7"/>
          <w:szCs w:val="27"/>
        </w:rPr>
        <w:t xml:space="preserve">第4页｜行业落地案例</w:t>
      </w:r>
    </w:p>
    <w:p>
      <w:pPr>
        <w:spacing w:after="12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我们整理了四类代表案例：国网湖北电力的多模态大模型、国网福建电力的“大小模型加多智能体”、国网泉州的GraphRAG，以及DGA化学技术交流会的“大模型加RAG专属知识库和思维链”。其中DGA案例与我们最接近，公开整理材料显示专家一致率超过85%，诊断由小时级缩短到分钟级。</w:t>
      </w:r>
    </w:p>
    <w:p>
      <w:pPr>
        <w:spacing w:after="12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这些指标目前来自团队整理材料，正式引用前还需要补齐原始来源和统一口径。</w:t>
      </w:r>
    </w:p>
    <w:p>
      <w:pPr>
        <w:keepNext/>
        <w:spacing w:before="260" w:after="11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7"/>
          <w:szCs w:val="27"/>
        </w:rPr>
        <w:t xml:space="preserve">第5页｜补充案例：结构与多模态</w:t>
      </w:r>
    </w:p>
    <w:p>
      <w:pPr>
        <w:spacing w:after="12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南方电网昆明供电局和国家电投河南公司的实践说明，结构化知识库加RAG在电力设备验收、预警和诊断中是可行的；MM-RAGDiag进一步把DGA、红外、声学和巡检文本结合起来。我们的判断是先做好DGA单一模态，多模态作为后续扩展。</w:t>
      </w:r>
    </w:p>
    <w:p>
      <w:pPr>
        <w:keepNext/>
        <w:spacing w:before="260" w:after="11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7"/>
          <w:szCs w:val="27"/>
        </w:rPr>
        <w:t xml:space="preserve">第6页｜行业案例启示</w:t>
      </w:r>
    </w:p>
    <w:p>
      <w:pPr>
        <w:spacing w:after="12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行业共同经验有四点：知识库是底座；小模型负责精确计算；大模型负责综合和报告；高风险处置必须人工复核。这四点也决定了我们的边界，不把LLM当成自动决策者。</w:t>
      </w:r>
    </w:p>
    <w:p>
      <w:pPr>
        <w:keepNext/>
        <w:spacing w:before="260" w:after="11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7"/>
          <w:szCs w:val="27"/>
        </w:rPr>
        <w:t xml:space="preserve">第7页｜技术路线地图</w:t>
      </w:r>
    </w:p>
    <w:p>
      <w:pPr>
        <w:spacing w:after="12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技术路线分为三个视角：知识注入、诊断逻辑和系统形态。我们的选择是2-1规则底座、1-2向量RAG、3-2受控Agent和3-3人工复核；1-3知识图谱作为第二阶段增强，1-4微调不作为主线。</w:t>
      </w:r>
    </w:p>
    <w:p>
      <w:pPr>
        <w:keepNext/>
        <w:spacing w:before="260" w:after="11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7"/>
          <w:szCs w:val="27"/>
        </w:rPr>
        <w:t xml:space="preserve">第8页｜B1：RAG三阶段演进</w:t>
      </w:r>
    </w:p>
    <w:p>
      <w:pPr>
        <w:spacing w:after="12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B1把RAG分为Naive、Advanced和Modular三个阶段。Naive是基础的检索拼接生成；Advanced增加查询改写、路由、重排和压缩；Modular把检索、记忆、路由、预测和任务适配模块化。我们的当前任务是从Naive稳定升级到Advanced，而不是直接跳到最复杂架构。</w:t>
      </w:r>
    </w:p>
    <w:p>
      <w:pPr>
        <w:keepNext/>
        <w:spacing w:before="260" w:after="11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7"/>
          <w:szCs w:val="27"/>
        </w:rPr>
        <w:t xml:space="preserve">第9页｜目标RAG链路</w:t>
      </w:r>
    </w:p>
    <w:p>
      <w:pPr>
        <w:spacing w:after="12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目标链路是：查询规范化、BM25与向量混合召回、Reranker重排、条号和原文证据组织、LLM生成根因链、RARR简化式引用校验。关键边界是：检索错误不能带病生成，条号无法匹配原文时不得进入最终报告。</w:t>
      </w:r>
    </w:p>
    <w:p>
      <w:pPr>
        <w:keepNext/>
        <w:spacing w:before="260" w:after="11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7"/>
          <w:szCs w:val="27"/>
        </w:rPr>
        <w:t xml:space="preserve">第10页｜Agent与RCA技术路线</w:t>
      </w:r>
    </w:p>
    <w:p>
      <w:pPr>
        <w:spacing w:after="12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ReAct提供推理行动观察循环；RCAgent增加Controller、Expert、OBSK、JsonRegen和TSC；RCACopilot用handler加多源诊断；DiagAgent和FaultSeer结合RAG、小模型、MCP和重排。共同结论是：受控Agent优于自由探索，固定工具先算，动态检索补充，规则和人工保留否决权。</w:t>
      </w:r>
    </w:p>
    <w:p>
      <w:pPr>
        <w:keepNext/>
        <w:spacing w:before="260" w:after="11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7"/>
          <w:szCs w:val="27"/>
        </w:rPr>
        <w:t xml:space="preserve">第11页｜B6与C2补充结论</w:t>
      </w:r>
    </w:p>
    <w:p>
      <w:pPr>
        <w:spacing w:after="12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B6把LLM与知识图谱的融合分成三类：LLM增强KG、KG增强LLM和双向协同；GraphRAG流程是本体、抽取、索引、检索、生成，BERTScore可缓解同义故障描述误判。C2给出Controller、Expert、OBSK和TSC的机制；C1提醒我们AIOps流程可借鉴，但软件故障不能直接等同于电力设备故障。</w:t>
      </w:r>
    </w:p>
    <w:p>
      <w:pPr>
        <w:keepNext/>
        <w:spacing w:before="260" w:after="11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7"/>
          <w:szCs w:val="27"/>
        </w:rPr>
        <w:t xml:space="preserve">第12页｜可信生成</w:t>
      </w:r>
    </w:p>
    <w:p>
      <w:pPr>
        <w:spacing w:after="12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Self-RAG决定什么时候检索；CRAG判断检索结果是否可信并纠错；RARR在生成后逐条核查和修订。落到项目中就是四个指标：条号引用正确、证据原文匹配、未命中拒答、危险建议拦截。</w:t>
      </w:r>
    </w:p>
    <w:p>
      <w:pPr>
        <w:keepNext/>
        <w:spacing w:before="260" w:after="11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7"/>
          <w:szCs w:val="27"/>
        </w:rPr>
        <w:t xml:space="preserve">第13页｜项目当前状态</w:t>
      </w:r>
    </w:p>
    <w:p>
      <w:pPr>
        <w:spacing w:after="12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目前已有基础向量检索、Top-k、条号过滤、阈值拒答、强制引用和DeepSeek生成；缺口是查询改写、BM25混合检索、Reranker、上下文压缩和完整评测。自测显示结构化输入和噪声输入表现稳定，但模糊表达仍会失效，极端口语化问题会直接拒答。</w:t>
      </w:r>
    </w:p>
    <w:p>
      <w:pPr>
        <w:keepNext/>
        <w:spacing w:before="260" w:after="11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7"/>
          <w:szCs w:val="27"/>
        </w:rPr>
        <w:t xml:space="preserve">第14页｜P0–P2路线</w:t>
      </w:r>
    </w:p>
    <w:p>
      <w:pPr>
        <w:spacing w:after="12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P0是混合检索和引用校验，解决术语漏检、条号不匹配和无依据输出；P1是查询改写和Reranker，解决口语化失配和Top-3命中问题；P2再考虑子查询分解和轻量知识图谱。原则是先解决检索和引用，不先堆复杂架构。</w:t>
      </w:r>
    </w:p>
    <w:p>
      <w:pPr>
        <w:keepNext/>
        <w:spacing w:before="260" w:after="11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7"/>
          <w:szCs w:val="27"/>
        </w:rPr>
        <w:t xml:space="preserve">第15页｜目标系统架构</w:t>
      </w:r>
    </w:p>
    <w:p>
      <w:pPr>
        <w:spacing w:after="12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目标架构依次是输入层、规则层、混合检索层、证据组织层、Agent与LLM层、校验层和输出层。规则层负责注意值、速率和三比值；检索层负责BM25、向量和重排；校验层负责引用、Schema和规则。差异化定位是轻量化、聚焦DGA、条号级可追溯、不自动执行高风险操作。</w:t>
      </w:r>
    </w:p>
    <w:p>
      <w:pPr>
        <w:keepNext/>
        <w:spacing w:before="260" w:after="11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7"/>
          <w:szCs w:val="27"/>
        </w:rPr>
        <w:t xml:space="preserve">第16页｜评测与验收</w:t>
      </w:r>
    </w:p>
    <w:p>
      <w:pPr>
        <w:spacing w:after="12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评测需要覆盖四类指标：Recall@k、Hit Rate、MRR和NDCG；条号正确率、原文匹配率和无依据结论比例；拒答准确率和危险建议拦截率；响应时间、Token成本和消融增益。建议先建立50到100条查询、正确条款、正确结论和拒答边界的评测集。</w:t>
      </w:r>
    </w:p>
    <w:p>
      <w:pPr>
        <w:keepNext/>
        <w:spacing w:before="260" w:after="11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7"/>
          <w:szCs w:val="27"/>
        </w:rPr>
        <w:t xml:space="preserve">第17页｜未来展望</w:t>
      </w:r>
    </w:p>
    <w:p>
      <w:pPr>
        <w:spacing w:after="12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未来分三阶段：近期做可信DGA助手，重点是规则库、高级RAG和引用校验；中期引入轻量知识图谱、Agent工具编排和多轮追问；远期融合DGA、红外、声学、巡检和运行数据，发展成多模态工业诊断辅助系统，人工复核仍是最终关口。</w:t>
      </w:r>
    </w:p>
    <w:p>
      <w:pPr>
        <w:keepNext/>
        <w:spacing w:before="260" w:after="11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7"/>
          <w:szCs w:val="27"/>
        </w:rPr>
        <w:t xml:space="preserve">第18页｜结论</w:t>
      </w:r>
    </w:p>
    <w:p>
      <w:pPr>
        <w:spacing w:after="12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最后总结：我们不做纯LLM诊断，而是做可验证的混合诊断系统。规则给骨架，RAG给证据，Agent做编排，LLM做解释，人工做复核。下一步先完成混合检索和引用校验，再推进查询改写、Reranker和轻量知识图谱。谢谢大家。</w:t>
      </w:r>
    </w:p>
    <w:p>
      <w:pPr>
        <w:keepNext/>
        <w:spacing w:before="260" w:after="11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7"/>
          <w:szCs w:val="27"/>
        </w:rPr>
        <w:t xml:space="preserve">预设问答备用</w:t>
      </w:r>
    </w:p>
    <w:p>
      <w:pPr>
        <w:spacing w:after="12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问：为什么不做领域微调？答：缺少稳定GPU和数据，而且微调后的知识难更新、难追溯到条号，本项目更需要RAG和规则约束。</w:t>
      </w:r>
    </w:p>
    <w:p>
      <w:pPr>
        <w:spacing w:after="12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问：为什么不先做GraphRAG？答：图谱构建和维护成本高，当前主要瓶颈是基础检索质量，应先完成混合检索、重排和引用校验。</w:t>
      </w:r>
    </w:p>
    <w:p>
      <w:pPr>
        <w:spacing w:after="12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问：如何避免大模型编造？答：规则先给诊断骨架，结论绑定条号和原文，使用RARR式引用校验，未命中拒答，高风险建议转人工。</w:t>
      </w:r>
    </w:p>
    <w:p>
      <w:pPr>
        <w:spacing w:after="12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问：当前离行业案例还有多远？答：方向一致，差距主要在混合检索、重排、评测体系和知识图谱增强，不需要重建整套架构。</w:t>
      </w:r>
    </w:p>
    <w:sectPr>
      <w:pgSz w:w="11906" w:h="16838"/>
      <w:pgMar w:top="1300" w:right="1100" w:bottom="1300" w:left="1100" w:header="700" w:footer="65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eastAsia="Microsoft YaHei" w:hAnsi="Aptos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