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Subtitle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编制说明：本报告综合学术论文、电力行业公开案例、DL/T 规程和项目实现记录，对油浸式变压器故障根因分析智能体的技术路线进行调研。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Quote"/>
      </w:pPr>
      <w:r>
        <w:t xml:space="preserve">出处标注说明：论文阅读(已自动还原).xlsx 指本项目论文阅读笔记，出处精确到 Sheet1 行号；Doc2.docx 指成员行业技术调研；docs/ 指项目状态、日志和验收记录；规程依据为 DL/T 722-2014、DL/T 572-2021。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KeyPoint"/>
      </w:pPr>
      <w:r>
        <w:t xml:space="preserve">本报告形成四项判断。第一，行业案例已经形成“领域知识库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KeyPoint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展开；最后落到项目现状、实施顺序、风险和结论。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Quote"/>
      </w:pPr>
      <w:r>
        <w:t xml:space="preserve">出处：DL/T 722-2014；DL/T 572-2021；《调研报告终稿.docx》第 1.1 节。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Quote"/>
      </w:pPr>
      <w:r>
        <w:t xml:space="preserve">出处：项目规则 AGENTS.md；DL/T 722-2014；DL/T 572-2021；《调研报告终稿.docx》第 1.2 节。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调研材料与方法</w:t>
      </w:r>
    </w:p>
    <w:p>
      <w:pPr>
        <w:pStyle w:val="Quote"/>
      </w:pPr>
      <w:r>
        <w:t xml:space="preserve">出处：《论文阅读(已自动还原).xlsx》；《Doc2.docx》；README.md、docs/00、docs/05、docs/08、docs/10；《调研报告终稿.docx》。</w:t>
      </w:r>
    </w:p>
    <w:p>
      <w:pPr>
        <w:pStyle w:val="Normal"/>
      </w:pPr>
      <w:r>
        <w:t xml:space="preserve">本报告使用三类材料：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和项目已有调研资料。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Quote"/>
      </w:pPr>
      <w:r>
        <w:t xml:space="preserve">出处：《Doc2.docx》市场部分；《调研报告终稿.docx》行业案例表；MM-RAGDiag 学术资料。行业数字需回原始来源核验。</w:t>
      </w:r>
    </w:p>
    <w:p>
      <w:pPr>
        <w:pStyle w:val="Normal"/>
      </w:pPr>
      <w:r>
        <w:t xml:space="preserve">行业公开材料中已经出现“行业大模型 + 多模态”“知识图谱 + RAG”“DGA 专属知识库 + 思维链”“RAG + LoRA”等路线。汇总后的案例矩阵如下：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来源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技术路线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团队整理指标或结论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对本项目的启示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Quote"/>
      </w:pPr>
      <w:r>
        <w:t xml:space="preserve">出处：《Doc2.docx》市场部分；《调研报告终稿.docx》第 2 章；《论文阅读(已自动还原).xlsx》RAG、RCAgent、KG 条目。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Quote"/>
      </w:pPr>
      <w:r>
        <w:t xml:space="preserve">出处：项目规则 AGENTS.md；DL/T 722-2014；DL/T 572-2021；《调研报告终稿.docx》第 1.2、2.2 节。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p>
      <w:pPr>
        <w:pStyle w:val="Quote"/>
      </w:pPr>
      <w:r>
        <w:t xml:space="preserve">出处：《论文阅读(已自动还原).xlsx》Sheet1 第 17、22、28、34、40、46、56、68 行；《Doc2.docx》多模态、知识图谱、LoRA 部分；README.md、docs/00、docs/05。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主要局限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本项目定位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实施阶段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Heading2"/>
      </w:pPr>
      <w:r>
        <w:t xml:space="preserve">3.2 本项目选型结论</w:t>
      </w:r>
    </w:p>
    <w:p>
      <w:pPr>
        <w:pStyle w:val="Quote"/>
      </w:pPr>
      <w:r>
        <w:t xml:space="preserve">出处：综合上述来源形成；规则边界依据 DL/T 722-2014、DL/T 572-2021，项目现状依据 README.md、docs/00、docs/05。</w:t>
      </w:r>
    </w:p>
    <w:p>
      <w:pPr>
        <w:pStyle w:val="KeyPoint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Quote"/>
      </w:pPr>
      <w:r>
        <w:t xml:space="preserve">出处：《论文阅读(已自动还原).xlsx》Sheet1 第 17 行 RAG 基础论文、第 22 行现代 RAG 综述；README.md、docs/00、docs/08。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Quote"/>
      </w:pPr>
      <w:r>
        <w:t xml:space="preserve">出处：《论文阅读(已自动还原).xlsx》Sheet1 第 56 行 Self-RAG、第 68 行 CRAG。</w:t>
      </w:r>
    </w:p>
    <w:p>
      <w:pPr>
        <w:pStyle w:val="Normal"/>
      </w:pPr>
      <w:r>
        <w:t xml:space="preserve">在自适应检索方向，Self-RAG 和 CRAG 关注的不是“把更多文档塞进上下文”，而是让系统先判断检索和证据是否可靠，再决定如何使用。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核心机制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主要进步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适用边界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本项目处理方式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Quote"/>
      </w:pPr>
      <w:r>
        <w:t xml:space="preserve">出处：README.md、docs/00、docs/08；《论文阅读(已自动还原).xlsx》第 56、68 行；项目检索评测记录。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工程落地要求</w:t>
      </w:r>
    </w:p>
    <w:p>
      <w:pPr>
        <w:pStyle w:val="Quote"/>
      </w:pPr>
      <w:r>
        <w:t xml:space="preserve">出处：综合《论文阅读(已自动还原).xlsx》第 46、56、68 行及项目检索、引用校验记录形成。</w:t>
      </w:r>
    </w:p>
    <w:p>
      <w:pPr>
        <w:pStyle w:val="Normal"/>
      </w:pPr>
      <w:r>
        <w:t xml:space="preserve">RAG 的演进方向不是无限扩大上下文，而是提高“何时检索、检索什么、证据是否可用、拿回什么证据”的控制能力。结合推理增强、检索自省、检索纠错和图结构路由，对本项目的直接要求是：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Quote"/>
      </w:pPr>
      <w:r>
        <w:t xml:space="preserve">出处：《论文阅读(已自动还原).xlsx》Sheet1 第 46 行 ReAct；《调研报告终稿.docx》第 6.1 节。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Quote"/>
      </w:pPr>
      <w:r>
        <w:t xml:space="preserve">出处：《论文阅读(已自动还原).xlsx》Sheet1 第 46 行 ReAct。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Quote"/>
      </w:pPr>
      <w:r>
        <w:t xml:space="preserve">出处：《论文阅读(已自动还原).xlsx》Sheet1 第 3、12、13 行；docs/notes/C2_RCAgent_close_reading.md。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RCAgent 机制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作用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本项目迁移方式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Quote"/>
      </w:pPr>
      <w:r>
        <w:t xml:space="preserve">出处：AGENTS.md；DL/T 722-2014；DL/T 572-2021；项目安全边界；《论文阅读(已自动还原).xlsx》第 3、46 行。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Quote"/>
      </w:pPr>
      <w:r>
        <w:t xml:space="preserve">出处：docs/00、docs/08；《论文阅读(已自动还原).xlsx》第 3、46 行；报告综合评测设计。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Quote"/>
      </w:pPr>
      <w:r>
        <w:t xml:space="preserve">出处：《Doc2.docx》知识图谱部分；《调研报告终稿.docx》第 8 章。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Quote"/>
      </w:pPr>
      <w:r>
        <w:t xml:space="preserve">出处：《Doc2.docx》知识图谱部分；《调研报告终稿.docx》第 8 章。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图谱增强研究方向</w:t>
      </w:r>
    </w:p>
    <w:p>
      <w:pPr>
        <w:pStyle w:val="Quote"/>
      </w:pPr>
      <w:r>
        <w:t xml:space="preserve">出处：《论文阅读(已自动还原).xlsx》Sheet1 第 28 行动态图路由、第 34、40 行 EvLink。</w:t>
      </w:r>
    </w:p>
    <w:p>
      <w:pPr>
        <w:pStyle w:val="Normal"/>
      </w:pPr>
      <w:r>
        <w:t xml:space="preserve">图谱增强研究包括两类值得关注的方向：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Quote"/>
      </w:pPr>
      <w:r>
        <w:t xml:space="preserve">出处：综合《论文阅读(已自动还原).xlsx》第 28、34、40 行及项目知识组织需求形成。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节点/边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示例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Quote"/>
      </w:pPr>
      <w:r>
        <w:t xml:space="preserve">出处：《Doc2.docx》多模态数据部分。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p>
      <w:pPr>
        <w:pStyle w:val="Quote"/>
      </w:pPr>
      <w:r>
        <w:t xml:space="preserve">出处：《Doc2.docx》多模态融合部分。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融合层级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核心逻辑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行业材料中的代表方法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主要风险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Quote"/>
      </w:pPr>
      <w:r>
        <w:t xml:space="preserve">出处：综合《Doc2.docx》多模态部分与项目 DGA 主线范围形成。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Quote"/>
      </w:pPr>
      <w:r>
        <w:t xml:space="preserve">出处：《Doc2.docx》LoRA 微调部分；《论文阅读(已自动还原).xlsx》第 17 行参数/非参数记忆。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Quote"/>
      </w:pPr>
      <w:r>
        <w:t xml:space="preserve">出处：《Doc2.docx》LoRA 微调部分。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Quote"/>
      </w:pPr>
      <w:r>
        <w:t xml:space="preserve">出处：综合《Doc2.docx》LoRA 部分、README.md 和项目知识更新需求形成。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Quote"/>
      </w:pPr>
      <w:r>
        <w:t xml:space="preserve">出处：README.md；docs/00_project_status.md；docs/08_acceptance_record.md。</w:t>
      </w:r>
    </w:p>
    <w:p>
      <w:pPr>
        <w:pStyle w:val="Normal"/>
      </w:pPr>
      <w:r>
        <w:t xml:space="preserve">根据仓库当前记录，主链路为：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p>
      <w:pPr>
        <w:pStyle w:val="Quote"/>
      </w:pPr>
      <w:r>
        <w:t xml:space="preserve">出处：README.md；docs/00_project_status.md；docs/08_acceptance_record.md。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项目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当前状态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Heading2"/>
      </w:pPr>
      <w:r>
        <w:t xml:space="preserve">9.3 关键诊断结论</w:t>
      </w:r>
    </w:p>
    <w:p>
      <w:pPr>
        <w:pStyle w:val="Quote"/>
      </w:pPr>
      <w:r>
        <w:t xml:space="preserve">出处：docs/05_dev_log_and_schedule.md，2026-09-22 记录。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Quote"/>
      </w:pPr>
      <w:r>
        <w:t xml:space="preserve">出处：docs/00_project_status.md；docs/08_acceptance_record.md；项目当前限制。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Heading1"/>
      </w:pPr>
      <w:r>
        <w:t xml:space="preserve">10. 实施顺序与验收指标</w:t>
      </w:r>
    </w:p>
    <w:p>
      <w:pPr>
        <w:pStyle w:val="Quote"/>
      </w:pPr>
      <w:r>
        <w:t xml:space="preserve">出处：README.md、docs/00、docs/05、docs/08；综合《论文阅读(已自动还原).xlsx》ReAct、Self-RAG、CRAG 条目形成。</w:t>
      </w:r>
    </w:p>
    <w:p>
      <w:pPr>
        <w:pStyle w:val="Heading2"/>
      </w:pPr>
      <w:r>
        <w:t xml:space="preserve">10.1 实施优先级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优先级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工作项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验收产物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待补条文清单和回归结果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Heading2"/>
      </w:pPr>
      <w:r>
        <w:t xml:space="preserve">10.2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Heading1"/>
      </w:pPr>
      <w:r>
        <w:t xml:space="preserve">11. 风险、合规与边界</w:t>
      </w:r>
    </w:p>
    <w:p>
      <w:pPr>
        <w:pStyle w:val="Quote"/>
      </w:pPr>
      <w:r>
        <w:t xml:space="preserve">出处：DL/T 722-2014；DL/T 572-2021；AGENTS.md；《论文阅读(已自动还原).xlsx》第 3、46、56、68 行。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Heading1"/>
      </w:pPr>
      <w:r>
        <w:t xml:space="preserve">12. 结论与下一步</w:t>
      </w:r>
    </w:p>
    <w:p>
      <w:pPr>
        <w:pStyle w:val="Quote"/>
      </w:pPr>
      <w:r>
        <w:t xml:space="preserve">出处：综合本报告前述各章，不新增外部事实。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KeyPoint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Heading1"/>
      </w:pPr>
      <w:r>
        <w:t xml:space="preserve">附录 A：资料与本报告证据映射</w:t>
      </w:r>
    </w:p>
    <w:p>
      <w:pPr>
        <w:pStyle w:val="Quote"/>
      </w:pPr>
      <w:r>
        <w:t xml:space="preserve">出处：《论文阅读(已自动还原).xlsx》Sheet1；《Doc2.docx》；README.md、docs/00、docs/05、docs/08；《调研报告终稿.docx》。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资料来源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可提取内容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对应报告章节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使用方式与边界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5.3、10.1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4.2、4.4、10.1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4.2、4.4、10.1、11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9.3、10.1、10.2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Heading1"/>
      </w:pPr>
      <w:r>
        <w:t xml:space="preserve">附录 B：主要参考文献</w:t>
      </w:r>
    </w:p>
    <w:p>
      <w:pPr>
        <w:pStyle w:val="Quote"/>
      </w:pPr>
      <w:r>
        <w:t xml:space="preserve">出处：列出各章节引用的论文、标准和团队材料。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Yao et al. ReAct: Synergizing Reasoning and Acting in Language Models. arXiv:2210.03629.</w:t>
      </w:r>
    </w:p>
    <w:p>
      <w:pPr>
        <w:pStyle w:val="ListParagraph"/>
      </w:pPr>
      <w:r>
        <w:t xml:space="preserve">8. Asai et al. Self-RAG: Learning to Retrieve, Generate, and Critique through Self-Reflection. arXiv:2310.11511.</w:t>
      </w:r>
    </w:p>
    <w:p>
      <w:pPr>
        <w:pStyle w:val="ListParagraph"/>
      </w:pPr>
      <w:r>
        <w:t xml:space="preserve">9. Yan et al. Corrective Retrieval Augmented Generation（CRAG）. arXiv:2401.15884.</w:t>
      </w:r>
    </w:p>
    <w:p>
      <w:pPr>
        <w:pStyle w:val="ListParagraph"/>
      </w:pPr>
      <w:r>
        <w:t xml:space="preserve">10. DL/T 722-2014《变压器油中溶解气体分析和判断导则》.</w:t>
      </w:r>
    </w:p>
    <w:p>
      <w:pPr>
        <w:pStyle w:val="ListParagraph"/>
      </w:pPr>
      <w:r>
        <w:t xml:space="preserve">11. DL/T 572-2021《电力变压器运行规程》.</w:t>
      </w:r>
    </w:p>
    <w:p>
      <w:pPr>
        <w:pStyle w:val="ListParagraph"/>
      </w:pPr>
      <w:r>
        <w:t xml:space="preserve">12. MM-RAGDiag: Multimodal Retrieval-Augmented Diagnosis for Oil-Immersed Transformers. ICIPS 2025.</w:t>
      </w:r>
    </w:p>
    <w:p>
      <w:pPr>
        <w:pStyle w:val="ListParagraph"/>
      </w:pPr>
      <w:r>
        <w:t xml:space="preserve">13. 团队材料：《论文阅读(已自动还原).xlsx》《Doc2.docx》、初次调研报告和项目开发日志。</w:t>
      </w:r>
    </w:p>
    <w:p>
      <w:pPr>
        <w:pStyle w:val="Quote"/>
      </w:pPr>
      <w:r>
        <w:t xml:space="preserve">数据说明：行业案例的量化指标来自团队现有整理材料，正式提交前应对关键数字逐条溯源，并统一引用格式。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  <w:pPr>
      <w:spacing w:after="160" w:line="360" w:lineRule="auto"/>
    </w:pPr>
    <w:rPr>
      <w:sz w:val="24"/>
      <w:szCs w:val="24"/>
    </w:rPr>
  </w:style>
  <w:style w:type="paragraph" w:styleId="Title">
    <w:name w:val="Title"/>
    <w:basedOn w:val="Normal"/>
    <w:next w:val="Subtitle"/>
    <w:qFormat/>
    <w:pPr>
      <w:jc w:val="center"/>
      <w:spacing w:before="2400" w:after="360"/>
    </w:pPr>
    <w:rPr>
      <w:b/>
      <w:color w:val="0B5394"/>
      <w:sz w:val="64"/>
      <w:szCs w:val="64"/>
    </w:rPr>
  </w:style>
  <w:style w:type="paragraph" w:styleId="Subtitle">
    <w:name w:val="Subtitle"/>
    <w:basedOn w:val="Normal"/>
    <w:next w:val="Normal"/>
    <w:qFormat/>
    <w:pPr>
      <w:jc w:val="center"/>
      <w:spacing w:before="120" w:after="720"/>
    </w:pPr>
    <w:rPr>
      <w:b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B5394"/>
      </w:pBdr>
      <w:spacing w:before="300" w:after="160"/>
      <w:outlineLvl w:val="0"/>
    </w:pPr>
    <w:rPr>
      <w:b/>
      <w:color w:val="0B539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left w:val="single" w:sz="18" w:space="6" w:color="2E75B6"/>
      </w:pBdr>
      <w:ind w:left="180"/>
      <w:spacing w:before="300" w:after="140"/>
      <w:outlineLvl w:val="1"/>
    </w:pPr>
    <w:rPr>
      <w:b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6"/>
      <w:szCs w:val="26"/>
    </w:rPr>
  </w:style>
  <w:style w:type="paragraph" w:styleId="ListParagraph">
    <w:name w:val="List Paragraph"/>
    <w:basedOn w:val="Normal"/>
    <w:pPr>
      <w:ind w:left="520" hanging="260"/>
      <w:spacing w:after="80" w:line="340" w:lineRule="auto"/>
    </w:pPr>
    <w:rPr>
      <w:sz w:val="24"/>
      <w:szCs w:val="24"/>
    </w:rPr>
  </w:style>
  <w:style w:type="paragraph" w:styleId="Quote">
    <w:name w:val="Quote"/>
    <w:basedOn w:val="Normal"/>
    <w:pPr>
      <w:pBdr>
        <w:left w:val="single" w:sz="18" w:space="8" w:color="2E75B6"/>
      </w:pBdr>
      <w:shd w:val="clear" w:color="auto" w:fill="EAF3FB"/>
      <w:ind w:left="280" w:right="200"/>
      <w:spacing w:before="120" w:after="200"/>
    </w:pPr>
    <w:rPr>
      <w:color w:val="1F4E79"/>
      <w:sz w:val="22"/>
      <w:szCs w:val="22"/>
    </w:rPr>
  </w:style>
  <w:style w:type="paragraph" w:styleId="KeyPoint">
    <w:name w:val="Key Point"/>
    <w:basedOn w:val="Normal"/>
    <w:pPr>
      <w:pBdr>
        <w:left w:val="single" w:sz="24" w:space="8" w:color="0B5394"/>
      </w:pBdr>
      <w:shd w:val="clear" w:color="auto" w:fill="D9EAF7"/>
      <w:ind w:left="280" w:right="200"/>
      <w:spacing w:before="160" w:after="220"/>
    </w:pPr>
    <w:rPr>
      <w:b/>
      <w:color w:val="1F4E79"/>
      <w:sz w:val="24"/>
      <w:szCs w:val="24"/>
    </w:rPr>
  </w:style>
  <w:style w:type="paragraph" w:styleId="Code">
    <w:name w:val="Code"/>
    <w:basedOn w:val="Normal"/>
    <w:pPr>
      <w:shd w:val="clear" w:color="auto" w:fill="F5F5F5"/>
      <w:spacing w:after="0" w:line="280" w:lineRule="auto"/>
    </w:pPr>
    <w:rPr>
      <w:rFonts w:ascii="Consolas" w:eastAsia="Microsoft YaHei" w:hAnsi="Consolas"/>
      <w:color w:val="333333"/>
      <w:sz w:val="19"/>
      <w:szCs w:val="19"/>
    </w:rPr>
  </w:style>
  <w:style w:type="paragraph" w:styleId="TableText">
    <w:name w:val="Table Text"/>
    <w:basedOn w:val="Normal"/>
    <w:pPr>
      <w:spacing w:after="0" w:line="260" w:lineRule="auto"/>
    </w:pPr>
    <w:rPr>
      <w:sz w:val="18"/>
      <w:szCs w:val="18"/>
    </w:rPr>
  </w:style>
  <w:style w:type="paragraph" w:styleId="TableHeader">
    <w:name w:val="Table Header"/>
    <w:basedOn w:val="TableText"/>
    <w:pPr>
      <w:jc w:val="center"/>
      <w:spacing w:after="0" w:line="260" w:lineRule="auto"/>
    </w:pPr>
    <w:rPr>
      <w:b/>
      <w:color w:val="FFFFFF"/>
      <w:sz w:val="18"/>
      <w:szCs w:val="18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D9E2F3"/>
        <w:left w:val="single" w:sz="4" w:color="D9E2F3"/>
        <w:bottom w:val="single" w:sz="4" w:color="D9E2F3"/>
        <w:right w:val="single" w:sz="4" w:color="D9E2F3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