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Heading1"/>
      </w:pPr>
      <w:r>
        <w:t xml:space="preserve">第二轮调研 · 技术向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报告日期：2026-09-25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编制说明：本报告是在 survey/初次调研报告/调研报告终稿.docx 基础上形成的第二轮增量调研，不覆盖、不替代初次报告。新增依据主要来自《论文阅读(已自动还原).xlsx》和《Doc2.docx》，并结合仓库截至 2026-09-25 的实现与测试记录进行核验。两份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Normal"/>
      </w:pPr>
      <w:r>
        <w:t xml:space="preserve">相较初次报告，本轮新增了三项判断。第一，行业案例已经形成“领域知识库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Top-K。第三，RCAgent 提供了可迁移的受控 Agent 工程骨架：Controller Agent 负责规划，专家工具负责局部分析，OBSK 管理长观察，结构化输出与错误反馈控制动作，自洽性聚合只用于候选根因，最终安全结论仍由规则和人工复核把关。</w:t>
      </w:r>
    </w:p>
    <w:p>
      <w:pPr>
        <w:pStyle w:val="Normal"/>
      </w:pPr>
      <w:r>
        <w:t xml:space="preserve">推荐路线为：DL/T 722 规则引擎 + DL/T 572 安全与运行边界 + BM25/向量混合检索 + RRF/Reranker + 证据库 + 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油浸式变压器；DGA；RAG；GraphRAG；多模态融合；RCAgent；OBSK；LoRA；可信生成；人工复核</w:t>
      </w:r>
    </w:p>
    <w:p>
      <w:pPr>
        <w:pStyle w:val="Normal"/>
      </w:pPr>
      <w:r>
        <w:t xml:space="preserve">本报告的阅读主线是：先明确任务和安全边界，再通过行业案例判断外部趋势，随后给出技术路线总体比较与选型结论；分项论证按 RAG、Agent、知识图谱、多模态和 LoRA 展开；最后落到项目现状、推荐架构、实施顺序和风险结论。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本轮材料与方法</w:t>
      </w:r>
    </w:p>
    <w:p>
      <w:pPr>
        <w:pStyle w:val="Normal"/>
      </w:pPr>
      <w:r>
        <w:t xml:space="preserve">本轮调研使用三类材料：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和现有初次报告。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Normal"/>
      </w:pPr>
      <w:r>
        <w:t xml:space="preserve">初次报告已经整理了公开行业材料，本轮行业调研补充了“行业大模型 + 多模态”“知识图谱 + RAG”“DGA 专属知识库 + 思维链”“RAG + LoRA”等路线。合并后的案例矩阵如下：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来源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技术路线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团队整理指标或结论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对本项目的启示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MM-RAGDiag（学术）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Normal"/>
      </w:pPr>
    </w:p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3. 技术路线总览与选型</w:t>
      </w:r>
    </w:p>
    <w:p>
      <w:pPr>
        <w:pStyle w:val="Normal"/>
      </w:pPr>
      <w:r>
        <w:t xml:space="preserve">本报告先给出技术路线的总体比较和选型结论，再按当前主链路、智能体增强、知识结构增强、数据模态扩展和模型微调的顺序展开分项论证，最后回到项目现状、总体架构和实施路线。</w:t>
      </w:r>
    </w:p>
    <w:p>
      <w:pPr>
        <w:pStyle w:val="Heading2"/>
      </w:pPr>
      <w:r>
        <w:t xml:space="preserve">3.1 技术路线总体比较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主要局限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本项目定位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实施阶段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3.2 本项目选型结论</w:t>
      </w:r>
    </w:p>
    <w:p>
      <w:pPr>
        <w:pStyle w:val="Normal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4. RAG 技术路线与工程演进</w:t>
      </w:r>
    </w:p>
    <w:p>
      <w:pPr>
        <w:pStyle w:val="Heading2"/>
      </w:pPr>
      <w:r>
        <w:t xml:space="preserve">4.1 从基础 RAG 到混合 RAG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4.2 推荐检索链路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4.3 本轮新增的工程判断</w:t>
      </w:r>
    </w:p>
    <w:p>
      <w:pPr>
        <w:pStyle w:val="Normal"/>
      </w:pPr>
      <w:r>
        <w:t xml:space="preserve">论文阅读笔记对推理增强和图结构路由的补充，说明 RAG 的演进方向不是无限扩大上下文，而是提高“何时检索、检索什么、拿回什么证据”的控制能力。对本项目的直接要求是：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5. 受控 Agent 与根因分析工作流</w:t>
      </w:r>
    </w:p>
    <w:p>
      <w:pPr>
        <w:pStyle w:val="Heading2"/>
      </w:pPr>
      <w:r>
        <w:t xml:space="preserve">5.1 为什么需要 Agent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5.2 RCAgent 的可迁移机制</w:t>
      </w:r>
    </w:p>
    <w:p>
      <w:pPr>
        <w:pStyle w:val="Normal"/>
      </w:pPr>
      <w:r>
        <w:t xml:space="preserve">论文阅读笔记中的 RCAgent 面向云平台根因分析，其架构对本项目有较强的工程参考价值：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RCAgent 机制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作用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本项目迁移方式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5.3 本项目 Agent 动作边界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5.4 Agent 评测项</w:t>
      </w:r>
    </w:p>
    <w:p>
      <w:pPr>
        <w:pStyle w:val="Normal"/>
      </w:pPr>
      <w:r>
        <w:t xml:space="preserve">Agent 工作流至少需要评估：工具调用合法率、无效动作率、平均轨迹长度、重复查询率、证据覆盖率、根因候选命中、结构化输出通过率、引用正确率、危险建议拦截率、平均响应时间和单次成本。与云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6. 知识图谱、GraphRAG 与证据锚定</w:t>
      </w:r>
    </w:p>
    <w:p>
      <w:pPr>
        <w:pStyle w:val="Heading2"/>
      </w:pPr>
      <w:r>
        <w:t xml:space="preserve">6.1 知识图谱的价值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6.2 传统 GraphRAG 的组成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6.3 本轮新增的图谱研究线索</w:t>
      </w:r>
    </w:p>
    <w:p>
      <w:pPr>
        <w:pStyle w:val="Normal"/>
      </w:pPr>
      <w:r>
        <w:t xml:space="preserve">论文阅读笔记补充了两类值得关注的方向：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6.4 对项目的落地建议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节点/边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示例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7. 多模态数据与融合策略</w:t>
      </w:r>
    </w:p>
    <w:p>
      <w:pPr>
        <w:pStyle w:val="Heading2"/>
      </w:pPr>
      <w:r>
        <w:t xml:space="preserve">7.1 可用数据模态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7.2 三类融合方法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融合层级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核心逻辑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行业材料中的代表方法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适用场景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主要风险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7.3 对项目的选择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8. LoRA 微调的定位</w:t>
      </w:r>
    </w:p>
    <w:p>
      <w:pPr>
        <w:pStyle w:val="Heading2"/>
      </w:pPr>
      <w:r>
        <w:t xml:space="preserve">8.1 原理</w:t>
      </w:r>
    </w:p>
    <w:p>
      <w:pPr>
        <w:pStyle w:val="Normal"/>
      </w:pPr>
      <w:r>
        <w:t xml:space="preserve">LoRA（Low-Rank Adaptation）冻结预训练模型原始参数，在部分层旁注入两个小矩阵，只训练低秩增量。假设原权重矩阵为 \(W\)，更新表示为 \(W+\Delta W=W+BA\)，其中 \(A\)、\(B\) 的秩远小于原始维度。秩通常取 8、16、64 等较小值，从而减少训练参数和显存需求。</w:t>
      </w:r>
    </w:p>
    <w:p>
      <w:pPr>
        <w:pStyle w:val="Heading2"/>
      </w:pPr>
      <w:r>
        <w:t xml:space="preserve">8.2 适用范围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8.3 对项目的结论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9. 项目当前实现与瓶颈</w:t>
      </w:r>
    </w:p>
    <w:p>
      <w:pPr>
        <w:pStyle w:val="Heading2"/>
      </w:pPr>
      <w:r>
        <w:t xml:space="preserve">9.1 已实现主链路</w:t>
      </w:r>
    </w:p>
    <w:p>
      <w:pPr>
        <w:pStyle w:val="Normal"/>
      </w:pPr>
      <w:r>
        <w:t xml:space="preserve">根据仓库截至 2026-09-25 的状态，当前主链路为：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9.2 当前资产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项目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当前状态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9.3 关键诊断结论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9.4 当前主要缺口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10. 建议系统架构</w:t>
      </w:r>
    </w:p>
    <w:p>
      <w:pPr>
        <w:pStyle w:val="Code"/>
      </w:pPr>
      <w:r>
        <w:t xml:space="preserve">输入层</w:t>
      </w:r>
    </w:p>
    <w:p>
      <w:pPr>
        <w:pStyle w:val="Code"/>
      </w:pPr>
      <w:r>
        <w:t xml:space="preserve">  设备信息 / DGA 数值 / 历史趋势 / 试验记录 / 巡检文本 / 用户问题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▼</w:t>
      </w:r>
    </w:p>
    <w:p>
      <w:pPr>
        <w:pStyle w:val="Code"/>
      </w:pPr>
      <w:r>
        <w:t xml:space="preserve">校验与规范化层</w:t>
      </w:r>
    </w:p>
    <w:p>
      <w:pPr>
        <w:pStyle w:val="Code"/>
      </w:pPr>
      <w:r>
        <w:t xml:space="preserve">  单位 / 字段完整性 / 采样时间 / 缺失值 / 设备类型 / 安全过滤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├───────────────┐</w:t>
      </w:r>
    </w:p>
    <w:p>
      <w:pPr>
        <w:pStyle w:val="Code"/>
      </w:pPr>
      <w:r>
        <w:t xml:space="preserve">        ▼               ▼</w:t>
      </w:r>
    </w:p>
    <w:p>
      <w:pPr>
        <w:pStyle w:val="Code"/>
      </w:pPr>
      <w:r>
        <w:t xml:space="preserve">确定性规则层        意图与任务路由层</w:t>
      </w:r>
    </w:p>
    <w:p>
      <w:pPr>
        <w:pStyle w:val="Code"/>
      </w:pPr>
      <w:r>
        <w:t xml:space="preserve">  注意值               DGA / 油温 / 安全 / 设备 / 案例</w:t>
      </w:r>
    </w:p>
    <w:p>
      <w:pPr>
        <w:pStyle w:val="Code"/>
      </w:pPr>
      <w:r>
        <w:t xml:space="preserve">  产气速率</w:t>
      </w:r>
    </w:p>
    <w:p>
      <w:pPr>
        <w:pStyle w:val="Code"/>
      </w:pPr>
      <w:r>
        <w:t xml:space="preserve">  三比值编码</w:t>
      </w:r>
    </w:p>
    <w:p>
      <w:pPr>
        <w:pStyle w:val="Code"/>
      </w:pPr>
      <w:r>
        <w:t xml:space="preserve">        │               │</w:t>
      </w:r>
    </w:p>
    <w:p>
      <w:pPr>
        <w:pStyle w:val="Code"/>
      </w:pPr>
      <w:r>
        <w:t xml:space="preserve">        └───────┬───────┘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检索层</w:t>
      </w:r>
    </w:p>
    <w:p>
      <w:pPr>
        <w:pStyle w:val="Code"/>
      </w:pPr>
      <w:r>
        <w:t xml:space="preserve">  BM25 召回 + 向量召回 → RRF/加权融合 → Reranker → 去重压缩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证据库</w:t>
      </w:r>
    </w:p>
    <w:p>
      <w:pPr>
        <w:pStyle w:val="Code"/>
      </w:pPr>
      <w:r>
        <w:t xml:space="preserve">  evidence_id + doc_id + 条号 + 原文 + 页码 + 适用范围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受控 Agent / LLM 层</w:t>
      </w:r>
    </w:p>
    <w:p>
      <w:pPr>
        <w:pStyle w:val="Code"/>
      </w:pPr>
      <w:r>
        <w:t xml:space="preserve">  规划 → 工具调用 → 观察 → 候选根因 → 结构化报告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校验与安全层</w:t>
      </w:r>
    </w:p>
    <w:p>
      <w:pPr>
        <w:pStyle w:val="Code"/>
      </w:pPr>
      <w:r>
        <w:t xml:space="preserve">  schema 校验 / 条号存在 / 原文匹配 / 规则否决 / 危险建议拦截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输出层</w:t>
      </w:r>
    </w:p>
    <w:p>
      <w:pPr>
        <w:pStyle w:val="Code"/>
      </w:pPr>
      <w:r>
        <w:t xml:space="preserve">  根因链 / 证据清单 / 处置建议 / 风险提示 / 人工复核标记</w:t>
      </w:r>
    </w:p>
    <w:p>
      <w:pPr>
        <w:pStyle w:val="Normal"/>
      </w:pPr>
      <w:r>
        <w:t xml:space="preserve">架构设计原则：</w:t>
      </w:r>
    </w:p>
    <w:p>
      <w:pPr>
        <w:pStyle w:val="ListParagraph"/>
      </w:pPr>
      <w:r>
        <w:t xml:space="preserve">• 规则与 LLM 分权：规则负责数值判据和安全否决，LLM 负责解释和组织；</w:t>
      </w:r>
    </w:p>
    <w:p>
      <w:pPr>
        <w:pStyle w:val="ListParagraph"/>
      </w:pPr>
      <w:r>
        <w:t xml:space="preserve">• 检索与生成分离：生成不能引入检索结果之外的正式依据；</w:t>
      </w:r>
    </w:p>
    <w:p>
      <w:pPr>
        <w:pStyle w:val="ListParagraph"/>
      </w:pPr>
      <w:r>
        <w:t xml:space="preserve">• 证据与结论绑定：每条根因和处置建议都要能回到具体证据；</w:t>
      </w:r>
    </w:p>
    <w:p>
      <w:pPr>
        <w:pStyle w:val="ListParagraph"/>
      </w:pPr>
      <w:r>
        <w:t xml:space="preserve">• Agent 工具白名单：不允许模型直接访问底层数据库或自由构造危险操作；</w:t>
      </w:r>
    </w:p>
    <w:p>
      <w:pPr>
        <w:pStyle w:val="ListParagraph"/>
      </w:pPr>
      <w:r>
        <w:t xml:space="preserve">• 人工复核不可删除：高风险建议只输出为“建议”，不执行实际控制。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11. 实施顺序与验收指标</w:t>
      </w:r>
    </w:p>
    <w:p>
      <w:pPr>
        <w:pStyle w:val="Heading2"/>
      </w:pPr>
      <w:r>
        <w:t xml:space="preserve">11.1 实施优先级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优先级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工作项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验收产物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新增条文清单和回归结果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11.2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12. 风险、合规与边界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13. 结论与下一步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为每条证据分配 evidence_id，实现结论、条号、原文和适用范围的绑定；</w:t>
      </w:r>
    </w:p>
    <w:p>
      <w:pPr>
        <w:pStyle w:val="ListParagraph"/>
      </w:pPr>
      <w:r>
        <w:t xml:space="preserve">4. 将三比值、产气速率和注意值规则正式接入主链路，并增加规则否决；</w:t>
      </w:r>
    </w:p>
    <w:p>
      <w:pPr>
        <w:pStyle w:val="ListParagraph"/>
      </w:pPr>
      <w:r>
        <w:t xml:space="preserve">5. 定义 Agent 工具 schema、动作白名单和结构化报告；</w:t>
      </w:r>
    </w:p>
    <w:p>
      <w:pPr>
        <w:pStyle w:val="ListParagraph"/>
      </w:pPr>
      <w:r>
        <w:t xml:space="preserve">6. 在 P0/P1 稳定后再建设轻量证据图谱、多模态和 LoRA 对照实验；</w:t>
      </w:r>
    </w:p>
    <w:p>
      <w:pPr>
        <w:pStyle w:val="ListParagraph"/>
      </w:pPr>
      <w:r>
        <w:t xml:space="preserve">7. 保留人工复核关口，不把模型生成内容直接转成设备操作指令。</w:t>
      </w:r>
    </w:p>
    <w:p>
      <w:pPr>
        <w:pStyle w:val="Normal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附录 A：新增材料与本报告证据映射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新增材料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可提取内容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对应报告章节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使用方式与边界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6.2、6.3、6.4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6.2、10、11.1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5.1、5.3、9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4.3、4.4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4.3、4.4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3.2、3.3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4.1、4.2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7.1–7.3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8.3、11.1、11.2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附录 B：初次报告归档清单</w:t>
      </w:r>
    </w:p>
    <w:p>
      <w:pPr>
        <w:pStyle w:val="Normal"/>
      </w:pPr>
      <w:r>
        <w:t xml:space="preserve">初次报告及原始素材已整理到 survey/初次调研报告/，包括：</w:t>
      </w:r>
    </w:p>
    <w:p>
      <w:pPr>
        <w:pStyle w:val="ListParagraph"/>
      </w:pPr>
      <w:r>
        <w:t xml:space="preserve">• 调研报告初稿.docx 至 调研报告初稿_v6.docx；</w:t>
      </w:r>
    </w:p>
    <w:p>
      <w:pPr>
        <w:pStyle w:val="ListParagraph"/>
      </w:pPr>
      <w:r>
        <w:t xml:space="preserve">• 调研报告终稿.docx；</w:t>
      </w:r>
    </w:p>
    <w:p>
      <w:pPr>
        <w:pStyle w:val="ListParagraph"/>
      </w:pPr>
      <w:r>
        <w:t xml:space="preserve">• 调研报告汇报稿.docx；</w:t>
      </w:r>
    </w:p>
    <w:p>
      <w:pPr>
        <w:pStyle w:val="ListParagraph"/>
      </w:pPr>
      <w:r>
        <w:t xml:space="preserve">• 调研报告汇报PPT.pptx、调研报告汇报PPT_终稿版.pptx；</w:t>
      </w:r>
    </w:p>
    <w:p>
      <w:pPr>
        <w:pStyle w:val="ListParagraph"/>
      </w:pPr>
      <w:r>
        <w:t xml:space="preserve">• 论文阅读原稿/ 下的文献笔记、行业规范和素材汇总。</w:t>
      </w:r>
    </w:p>
    <w:p>
      <w:pPr>
        <w:pStyle w:val="Normal"/>
      </w:pPr>
      <w:r>
        <w:t xml:space="preserve">新版报告位于 survey/第二次调研报告/，不会覆盖初次报告。</w:t>
      </w:r>
    </w:p>
    <w:p>
      <w:pPr>
        <w:pStyle w:val="Heading1"/>
      </w:pPr>
      <w:r>
        <w:t xml:space="preserve">附录 C：主要参考文献</w:t>
      </w:r>
    </w:p>
    <w:p>
      <w:pPr>
        <w:pStyle w:val="ListParagraph"/>
      </w:pPr>
      <w:r>
        <w:t xml:space="preserve">1. Lewis et al. Retrieval-Augmented Generation for Knowledge-Intensive NLP Tasks.</w:t>
      </w:r>
    </w:p>
    <w:p>
      <w:pPr>
        <w:pStyle w:val="ListParagraph"/>
      </w:pPr>
      <w:r>
        <w:t xml:space="preserve">2. Gao et al. Retrieval-Augmented Generation for Large Language Models: A Survey. arXiv:2312.10997.</w:t>
      </w:r>
    </w:p>
    <w:p>
      <w:pPr>
        <w:pStyle w:val="ListParagraph"/>
      </w:pPr>
      <w:r>
        <w:t xml:space="preserve">3. From Vectors to Knowledge Graphs: A Comprehensive Analysis of Modern Retrieval-Augmented Generation Architectures.</w:t>
      </w:r>
    </w:p>
    <w:p>
      <w:pPr>
        <w:pStyle w:val="ListParagraph"/>
      </w:pPr>
      <w:r>
        <w:t xml:space="preserve">4.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5. EvLink: Source-Grounded Evidence Linking for Graph RAG.</w:t>
      </w:r>
    </w:p>
    <w:p>
      <w:pPr>
        <w:pStyle w:val="ListParagraph"/>
      </w:pPr>
      <w:r>
        <w:t xml:space="preserve">6. Asymmetric Dynamic Routing: Balancing Reasoning Depth and Computational Efficiency in HyperGraphRAG.</w:t>
      </w:r>
    </w:p>
    <w:p>
      <w:pPr>
        <w:pStyle w:val="ListParagraph"/>
      </w:pPr>
      <w:r>
        <w:t xml:space="preserve">7. DL/T 722-2014《变压器油中溶解气体分析和判断导则》.</w:t>
      </w:r>
    </w:p>
    <w:p>
      <w:pPr>
        <w:pStyle w:val="ListParagraph"/>
      </w:pPr>
      <w:r>
        <w:t xml:space="preserve">8. DL/T 572-2021《电力变压器运行规程》.</w:t>
      </w:r>
    </w:p>
    <w:p>
      <w:pPr>
        <w:pStyle w:val="ListParagraph"/>
      </w:pPr>
      <w:r>
        <w:t xml:space="preserve">9. MM-RAGDiag: Multimodal Retrieval-Augmented Diagnosis for Oil-Immersed Transformers. ICIPS 2025.</w:t>
      </w:r>
    </w:p>
    <w:p>
      <w:pPr>
        <w:pStyle w:val="ListParagraph"/>
      </w:pPr>
      <w:r>
        <w:t xml:space="preserve">10. 团队材料：《论文阅读(已自动还原).xlsx》《Doc2.docx》、初次调研报告和项目开发日志。</w:t>
      </w:r>
    </w:p>
    <w:p>
      <w:pPr>
        <w:pStyle w:val="Quote"/>
      </w:pPr>
      <w:r>
        <w:t xml:space="preserve">版本说明：本报告为第二轮增量调研稿。行业案例的量化指标仅沿用团队整理材料，未在本轮重新核验原始来源；正式提交前应对关键数字逐条溯源，并统一引用格式。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2"/>
        <w:szCs w:val="22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next w:val="Normal"/>
    <w:qFormat/>
    <w:pPr>
      <w:jc w:val="center"/>
      <w:spacing w:before="2400" w:after="360"/>
    </w:pPr>
    <w:rPr>
      <w:rFonts w:eastAsia="黑体"/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eastAsia="黑体"/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eastAsia="黑体"/>
      <w:b/>
      <w:sz w:val="24"/>
      <w:szCs w:val="24"/>
    </w:rPr>
  </w:style>
  <w:style w:type="paragraph" w:styleId="ListParagraph">
    <w:name w:val="List Paragraph"/>
    <w:basedOn w:val="Normal"/>
    <w:pPr>
      <w:ind w:left="420" hanging="220"/>
      <w:spacing w:after="60"/>
    </w:pPr>
  </w:style>
  <w:style w:type="paragraph" w:styleId="Quote">
    <w:name w:val="Quote"/>
    <w:basedOn w:val="Normal"/>
    <w:pPr>
      <w:ind w:left="420"/>
      <w:spacing w:after="100"/>
    </w:pPr>
    <w:rPr>
      <w:i/>
      <w:color w:val="555555"/>
    </w:rPr>
  </w:style>
  <w:style w:type="paragraph" w:styleId="Code">
    <w:name w:val="Code"/>
    <w:basedOn w:val="Normal"/>
    <w:pPr>
      <w:spacing w:after="0" w:line="260" w:lineRule="auto"/>
    </w:pPr>
    <w:rPr>
      <w:rFonts w:ascii="Consolas" w:eastAsia="等线" w:hAnsi="Consolas"/>
      <w:sz w:val="18"/>
      <w:szCs w:val="18"/>
    </w:rPr>
  </w:style>
  <w:style w:type="paragraph" w:styleId="TableText">
    <w:name w:val="Table Text"/>
    <w:basedOn w:val="Normal"/>
    <w:pPr>
      <w:spacing w:after="0" w:line="240" w:lineRule="auto"/>
    </w:pPr>
    <w:rPr>
      <w:rFonts w:eastAsia="宋体"/>
      <w:sz w:val="17"/>
      <w:szCs w:val="17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