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957DF0">
      <w:pPr>
        <w:rPr>
          <w:rFonts w:hint="eastAsia" w:ascii="黑体" w:hAnsi="黑体" w:eastAsia="黑体" w:cs="黑体"/>
          <w:sz w:val="28"/>
          <w:szCs w:val="28"/>
        </w:rPr>
      </w:pPr>
      <w:r>
        <w:rPr>
          <w:rFonts w:hint="eastAsia" w:ascii="黑体" w:hAnsi="黑体" w:eastAsia="黑体" w:cs="黑体"/>
          <w:sz w:val="28"/>
          <w:szCs w:val="28"/>
        </w:rPr>
        <w:t>第 1 章 绪论</w:t>
      </w:r>
    </w:p>
    <w:p w14:paraId="5F369E1D">
      <w:pPr>
        <w:rPr>
          <w:rFonts w:hint="eastAsia" w:ascii="黑体" w:hAnsi="黑体" w:eastAsia="黑体" w:cs="黑体"/>
        </w:rPr>
      </w:pPr>
      <w:r>
        <w:rPr>
          <w:rFonts w:hint="eastAsia" w:ascii="黑体" w:hAnsi="黑体" w:eastAsia="黑体" w:cs="黑体"/>
        </w:rPr>
        <w:t>1.1 MaxKB 项目背景</w:t>
      </w:r>
    </w:p>
    <w:p w14:paraId="41BBF46F">
      <w:pPr>
        <w:ind w:firstLine="420" w:firstLineChars="0"/>
        <w:rPr>
          <w:rFonts w:hint="eastAsia"/>
        </w:rPr>
      </w:pPr>
      <w:r>
        <w:rPr>
          <w:rFonts w:hint="eastAsia"/>
        </w:rPr>
        <w:t>在生成式人工智能技术飞速发展的背景下，大语言模型虽然展现出了卓越的通用理解能力，但在面对企业私有数据或特定行业知识时，往往因训练数据的时滞性和缺乏领域深度而面临局限。为了解决这一痛点，检索增强生成（RAG）技术应运而生，而 MaxKB 正是在这一技术演进浪潮中脱颖而出的开源代表作。作为一个由 1Panel 团队精心打造的知识库管理系统，MaxKB 的核心价值在于其能够为企业提供一个高度集成且易于部署的私有化 AI 助手方案。</w:t>
      </w:r>
    </w:p>
    <w:p w14:paraId="668EFE11">
      <w:pPr>
        <w:keepNext w:val="0"/>
        <w:keepLines w:val="0"/>
        <w:widowControl/>
        <w:suppressLineNumbers w:val="0"/>
        <w:jc w:val="center"/>
        <w:rPr>
          <w:rFonts w:hint="eastAsia"/>
        </w:rPr>
      </w:pPr>
      <w:r>
        <w:rPr>
          <w:rFonts w:ascii="宋体" w:hAnsi="宋体" w:eastAsia="宋体" w:cs="宋体"/>
          <w:kern w:val="0"/>
          <w:sz w:val="24"/>
          <w:szCs w:val="24"/>
          <w:lang w:val="en-US" w:eastAsia="zh-CN" w:bidi="ar"/>
          <w14:ligatures w14:val="standardContextual"/>
        </w:rPr>
        <w:drawing>
          <wp:inline distT="0" distB="0" distL="114300" distR="114300">
            <wp:extent cx="3542665" cy="5958840"/>
            <wp:effectExtent l="0" t="0" r="635" b="1016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6"/>
                    <a:stretch>
                      <a:fillRect/>
                    </a:stretch>
                  </pic:blipFill>
                  <pic:spPr>
                    <a:xfrm>
                      <a:off x="0" y="0"/>
                      <a:ext cx="3542665" cy="5958840"/>
                    </a:xfrm>
                    <a:prstGeom prst="rect">
                      <a:avLst/>
                    </a:prstGeom>
                    <a:noFill/>
                    <a:ln w="9525">
                      <a:noFill/>
                    </a:ln>
                  </pic:spPr>
                </pic:pic>
              </a:graphicData>
            </a:graphic>
          </wp:inline>
        </w:drawing>
      </w:r>
    </w:p>
    <w:p w14:paraId="6E026917">
      <w:pPr>
        <w:ind w:firstLine="420" w:firstLineChars="0"/>
        <w:rPr>
          <w:rFonts w:hint="eastAsia"/>
        </w:rPr>
      </w:pPr>
      <w:r>
        <w:rPr>
          <w:rFonts w:hint="eastAsia"/>
        </w:rPr>
        <w:t>从技术实现层面来看，MaxKB 并不只是简单的接口封装，它构建了一套完整的从文档处理到语义检索的工程流水线。其后端采用成熟的 Python 与 Django 框架，确保了业务逻辑的高可扩展性与系统稳定性；前端则利用 Vue.js 打造了直观的交互界面，极大地降低了非专业用户的使用门槛。更重要的是，它深度整合了 PostgreSQL 及其 pgvector 扩展插件，实现了大规模向量数据的高效索引与相似度检索。这种全栈式的开源方案，不仅满足了企业对于数据隐私的严苛要求，也为广大开发者提供了一个深入理解 RAG 系统内部机理的绝佳样本。</w:t>
      </w:r>
    </w:p>
    <w:p w14:paraId="396B9D60">
      <w:pPr>
        <w:rPr>
          <w:rFonts w:hint="eastAsia" w:ascii="黑体" w:hAnsi="黑体" w:eastAsia="黑体" w:cs="黑体"/>
        </w:rPr>
      </w:pPr>
      <w:r>
        <w:rPr>
          <w:rFonts w:hint="eastAsia" w:ascii="黑体" w:hAnsi="黑体" w:eastAsia="黑体" w:cs="黑体"/>
        </w:rPr>
        <w:t>1.2 开源协议分析（GPL-3.0）</w:t>
      </w:r>
    </w:p>
    <w:p w14:paraId="32B67D9C">
      <w:pPr>
        <w:ind w:firstLine="420" w:firstLineChars="0"/>
        <w:rPr>
          <w:rFonts w:hint="eastAsia"/>
        </w:rPr>
      </w:pPr>
      <w:r>
        <w:rPr>
          <w:rFonts w:hint="eastAsia"/>
        </w:rPr>
        <w:t>在开源软件的治理体系中，许可证的选择往往决定了项目的协作基调与商业边界。MaxKB 选择了 GNU 通用公共许可证第三版（GPL-3.0），这一决策充分体现了开发团队对“强保护性”开源生态的坚持。与宽松的 MIT 或 Apache 协议不同，GPL-3.0 具有显著的传染属性，要求任何基于该项目的修改版或衍生作品在分发时必须保持相同的开源条款。这种机制有效地防止了核心技术在商业化过程中的碎片化与私有化，确保了每一项社区贡献都能最终回馈给整个开发者生态。</w:t>
      </w:r>
    </w:p>
    <w:tbl>
      <w:tblPr>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108" w:type="dxa"/>
          <w:bottom w:w="0" w:type="dxa"/>
          <w:right w:w="108" w:type="dxa"/>
        </w:tblCellMar>
      </w:tblPr>
      <w:tblGrid>
        <w:gridCol w:w="1326"/>
        <w:gridCol w:w="3022"/>
        <w:gridCol w:w="2087"/>
        <w:gridCol w:w="2087"/>
      </w:tblGrid>
      <w:tr w14:paraId="2AA83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280" w:hRule="atLeast"/>
        </w:trPr>
        <w:tc>
          <w:tcPr>
            <w:tcW w:w="753" w:type="pct"/>
            <w:shd w:val="clear"/>
            <w:noWrap/>
            <w:vAlign w:val="center"/>
          </w:tcPr>
          <w:p w14:paraId="0915960D">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特性维度</w:t>
            </w:r>
          </w:p>
        </w:tc>
        <w:tc>
          <w:tcPr>
            <w:tcW w:w="1814" w:type="pct"/>
            <w:shd w:val="clear"/>
            <w:noWrap/>
            <w:vAlign w:val="center"/>
          </w:tcPr>
          <w:p w14:paraId="3507F4D6">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GPL-3.0</w:t>
            </w:r>
          </w:p>
        </w:tc>
        <w:tc>
          <w:tcPr>
            <w:tcW w:w="1215" w:type="pct"/>
            <w:shd w:val="clear"/>
            <w:noWrap/>
            <w:vAlign w:val="center"/>
          </w:tcPr>
          <w:p w14:paraId="2E89C12A">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Apache 2.0</w:t>
            </w:r>
          </w:p>
        </w:tc>
        <w:tc>
          <w:tcPr>
            <w:tcW w:w="1215" w:type="pct"/>
            <w:shd w:val="clear"/>
            <w:noWrap/>
            <w:vAlign w:val="center"/>
          </w:tcPr>
          <w:p w14:paraId="0A688376">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MIT</w:t>
            </w:r>
          </w:p>
        </w:tc>
      </w:tr>
      <w:tr w14:paraId="57852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noWrap/>
            <w:vAlign w:val="center"/>
          </w:tcPr>
          <w:p w14:paraId="1BFF973E">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开源义务 (Copyleft)</w:t>
            </w:r>
          </w:p>
        </w:tc>
        <w:tc>
          <w:tcPr>
            <w:tcW w:w="1814" w:type="pct"/>
            <w:shd w:val="clear"/>
            <w:noWrap/>
            <w:vAlign w:val="center"/>
          </w:tcPr>
          <w:p w14:paraId="2F581CC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强 (Strong)衍生代码分发时必须保持开源</w:t>
            </w:r>
          </w:p>
        </w:tc>
        <w:tc>
          <w:tcPr>
            <w:tcW w:w="1215" w:type="pct"/>
            <w:shd w:val="clear"/>
            <w:noWrap/>
            <w:vAlign w:val="center"/>
          </w:tcPr>
          <w:p w14:paraId="65B15A6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无：衍生代码可以闭源</w:t>
            </w:r>
          </w:p>
        </w:tc>
        <w:tc>
          <w:tcPr>
            <w:tcW w:w="1215" w:type="pct"/>
            <w:shd w:val="clear"/>
            <w:noWrap/>
            <w:vAlign w:val="center"/>
          </w:tcPr>
          <w:p w14:paraId="0C50CB9A">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无：衍生代码可以闭源</w:t>
            </w:r>
          </w:p>
        </w:tc>
      </w:tr>
      <w:tr w14:paraId="79DE3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280" w:hRule="atLeast"/>
        </w:trPr>
        <w:tc>
          <w:tcPr>
            <w:tcW w:w="753" w:type="pct"/>
            <w:shd w:val="clear"/>
            <w:noWrap/>
            <w:vAlign w:val="center"/>
          </w:tcPr>
          <w:p w14:paraId="07FAA020">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专利授权</w:t>
            </w:r>
          </w:p>
        </w:tc>
        <w:tc>
          <w:tcPr>
            <w:tcW w:w="1814" w:type="pct"/>
            <w:shd w:val="clear"/>
            <w:noWrap/>
            <w:vAlign w:val="center"/>
          </w:tcPr>
          <w:p w14:paraId="1FFFD13A">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明确提供：包含显式的专利许可条款</w:t>
            </w:r>
          </w:p>
        </w:tc>
        <w:tc>
          <w:tcPr>
            <w:tcW w:w="1215" w:type="pct"/>
            <w:shd w:val="clear"/>
            <w:noWrap/>
            <w:vAlign w:val="center"/>
          </w:tcPr>
          <w:p w14:paraId="2BDDFD32">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明确提供：包含完善的专利许可</w:t>
            </w:r>
          </w:p>
        </w:tc>
        <w:tc>
          <w:tcPr>
            <w:tcW w:w="1215" w:type="pct"/>
            <w:shd w:val="clear"/>
            <w:noWrap/>
            <w:vAlign w:val="center"/>
          </w:tcPr>
          <w:p w14:paraId="28E46DFD">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不明确：通常不涉及专利授权</w:t>
            </w:r>
          </w:p>
        </w:tc>
      </w:tr>
      <w:tr w14:paraId="2689A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108" w:type="dxa"/>
            <w:bottom w:w="0" w:type="dxa"/>
            <w:right w:w="108" w:type="dxa"/>
          </w:tblCellMar>
        </w:tblPrEx>
        <w:trPr>
          <w:trHeight w:val="280" w:hRule="atLeast"/>
        </w:trPr>
        <w:tc>
          <w:tcPr>
            <w:tcW w:w="753" w:type="pct"/>
            <w:shd w:val="clear"/>
            <w:noWrap/>
            <w:vAlign w:val="center"/>
          </w:tcPr>
          <w:p w14:paraId="4F1387A0">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修改声明</w:t>
            </w:r>
          </w:p>
        </w:tc>
        <w:tc>
          <w:tcPr>
            <w:tcW w:w="1814" w:type="pct"/>
            <w:shd w:val="clear"/>
            <w:noWrap/>
            <w:vAlign w:val="center"/>
          </w:tcPr>
          <w:p w14:paraId="22D917D2">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要求：必须在修改文件中声明变动</w:t>
            </w:r>
          </w:p>
        </w:tc>
        <w:tc>
          <w:tcPr>
            <w:tcW w:w="1215" w:type="pct"/>
            <w:shd w:val="clear"/>
            <w:noWrap/>
            <w:vAlign w:val="center"/>
          </w:tcPr>
          <w:p w14:paraId="75BEB6C8">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要求：必须在修改文件中保留通知</w:t>
            </w:r>
          </w:p>
        </w:tc>
        <w:tc>
          <w:tcPr>
            <w:tcW w:w="1215" w:type="pct"/>
            <w:shd w:val="clear"/>
            <w:noWrap/>
            <w:vAlign w:val="center"/>
          </w:tcPr>
          <w:p w14:paraId="53220959">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不要求：仅需保留原始许可声明</w:t>
            </w:r>
          </w:p>
        </w:tc>
      </w:tr>
      <w:tr w14:paraId="099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noWrap/>
            <w:vAlign w:val="center"/>
          </w:tcPr>
          <w:p w14:paraId="08A28CF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商业友好度</w:t>
            </w:r>
          </w:p>
        </w:tc>
        <w:tc>
          <w:tcPr>
            <w:tcW w:w="1814" w:type="pct"/>
            <w:shd w:val="clear"/>
            <w:noWrap/>
            <w:vAlign w:val="center"/>
          </w:tcPr>
          <w:p w14:paraId="21BBBA88">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中：适合作为 SaaS 服务，但不便进行商业化闭源封装</w:t>
            </w:r>
          </w:p>
        </w:tc>
        <w:tc>
          <w:tcPr>
            <w:tcW w:w="1215" w:type="pct"/>
            <w:shd w:val="clear"/>
            <w:noWrap/>
            <w:vAlign w:val="center"/>
          </w:tcPr>
          <w:p w14:paraId="130D3541">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高：允许商业闭源，且提供专利保护</w:t>
            </w:r>
          </w:p>
        </w:tc>
        <w:tc>
          <w:tcPr>
            <w:tcW w:w="1215" w:type="pct"/>
            <w:shd w:val="clear"/>
            <w:noWrap/>
            <w:vAlign w:val="center"/>
          </w:tcPr>
          <w:p w14:paraId="2B9C060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极高：限制极少，商业适配最为广泛</w:t>
            </w:r>
          </w:p>
        </w:tc>
      </w:tr>
      <w:tr w14:paraId="6567F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noWrap/>
            <w:vAlign w:val="center"/>
          </w:tcPr>
          <w:p w14:paraId="75962647">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代表性项目</w:t>
            </w:r>
          </w:p>
        </w:tc>
        <w:tc>
          <w:tcPr>
            <w:tcW w:w="1814" w:type="pct"/>
            <w:shd w:val="clear"/>
            <w:noWrap/>
            <w:vAlign w:val="center"/>
          </w:tcPr>
          <w:p w14:paraId="7DF632E3">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MaxKB, Linux 内核, Ansible</w:t>
            </w:r>
          </w:p>
        </w:tc>
        <w:tc>
          <w:tcPr>
            <w:tcW w:w="1215" w:type="pct"/>
            <w:shd w:val="clear"/>
            <w:noWrap/>
            <w:vAlign w:val="center"/>
          </w:tcPr>
          <w:p w14:paraId="681AB793">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Kubernetes, Dify, Spring</w:t>
            </w:r>
          </w:p>
        </w:tc>
        <w:tc>
          <w:tcPr>
            <w:tcW w:w="1215" w:type="pct"/>
            <w:shd w:val="clear"/>
            <w:noWrap/>
            <w:vAlign w:val="center"/>
          </w:tcPr>
          <w:p w14:paraId="70A8CAB0">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bdr w:val="none" w:color="auto" w:sz="0" w:space="0"/>
                <w:lang w:val="en-US" w:eastAsia="zh-CN" w:bidi="ar"/>
                <w14:ligatures w14:val="standardContextual"/>
              </w:rPr>
              <w:t>React, Vue.js, Node.js</w:t>
            </w:r>
          </w:p>
        </w:tc>
      </w:tr>
    </w:tbl>
    <w:p w14:paraId="34B55F05">
      <w:pPr>
        <w:ind w:firstLine="420" w:firstLineChars="0"/>
        <w:rPr>
          <w:rFonts w:hint="eastAsia"/>
        </w:rPr>
      </w:pPr>
      <w:bookmarkStart w:id="0" w:name="_GoBack"/>
      <w:bookmarkEnd w:id="0"/>
      <w:r>
        <w:rPr>
          <w:rFonts w:hint="eastAsia"/>
        </w:rPr>
        <w:t>深入探讨 GPL-3.0 的细节可以发现，它在专利保护与数字版权管理方面也提供了更为现代化的约束。该协议通过明确的专利授权条款，为用户和开发者构筑了一道法律防火墙，使其免受潜在专利诉讼的滋扰。同时，其反 Tivoization 条款则进一步捍卫了用户在特定硬件上安装和运行修改后软件的权力。通过这种强力的法律契约，MaxKB 在吸引全球开发者共同协作的同时，也为企业用户提供了一个透明且受保护的工程底座，使得技术创新的红利能够在开源框架内得到最大限度的留存。</w:t>
      </w:r>
    </w:p>
    <w:p w14:paraId="3F2E49D4">
      <w:pPr>
        <w:rPr>
          <w:rFonts w:hint="eastAsia" w:ascii="黑体" w:hAnsi="黑体" w:eastAsia="黑体" w:cs="黑体"/>
        </w:rPr>
      </w:pPr>
      <w:r>
        <w:rPr>
          <w:rFonts w:hint="eastAsia" w:ascii="黑体" w:hAnsi="黑体" w:eastAsia="黑体" w:cs="黑体"/>
        </w:rPr>
        <w:t>1.3 LLM 生态中的地位</w:t>
      </w:r>
    </w:p>
    <w:p w14:paraId="78E93B14">
      <w:pPr>
        <w:ind w:firstLine="420" w:firstLineChars="0"/>
        <w:rPr>
          <w:rFonts w:hint="eastAsia"/>
        </w:rPr>
      </w:pPr>
      <w:r>
        <w:rPr>
          <w:rFonts w:hint="eastAsia"/>
        </w:rPr>
        <w:t>放眼当前繁荣的大语言模型应用生态，MaxKB 被定位在至关重要的应用集成层，起到了连接底层基础模型与上层具体业务场景的桥梁作用。在与 Dify 或 FastGPT 等同类项目的横向对比中，MaxKB 展现出了鲜明的“知识管理”特质。它并不追求过于复杂的工作流编排，而是将核心研发精力聚焦于 RAG 链路的极致优化，通过更精细的分段策略和更灵活的检索配置，显著提升了模型回答的准确度与相关性。这种专注度使得它在处理大规模、专业性强的知识库时表现出更优的工程表现力。</w:t>
      </w:r>
    </w:p>
    <w:p w14:paraId="48B685E0">
      <w:pPr>
        <w:keepNext w:val="0"/>
        <w:keepLines w:val="0"/>
        <w:widowControl/>
        <w:suppressLineNumbers w:val="0"/>
        <w:jc w:val="center"/>
        <w:rPr>
          <w:rFonts w:hint="eastAsia"/>
        </w:rPr>
      </w:pPr>
      <w:r>
        <w:rPr>
          <w:rFonts w:ascii="宋体" w:hAnsi="宋体" w:eastAsia="宋体" w:cs="宋体"/>
          <w:kern w:val="0"/>
          <w:sz w:val="24"/>
          <w:szCs w:val="24"/>
          <w:lang w:val="en-US" w:eastAsia="zh-CN" w:bidi="ar"/>
          <w14:ligatures w14:val="standardContextual"/>
        </w:rPr>
        <w:drawing>
          <wp:inline distT="0" distB="0" distL="114300" distR="114300">
            <wp:extent cx="1628775" cy="2405380"/>
            <wp:effectExtent l="0" t="0" r="9525" b="762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7"/>
                    <a:stretch>
                      <a:fillRect/>
                    </a:stretch>
                  </pic:blipFill>
                  <pic:spPr>
                    <a:xfrm>
                      <a:off x="0" y="0"/>
                      <a:ext cx="1628775" cy="2405380"/>
                    </a:xfrm>
                    <a:prstGeom prst="rect">
                      <a:avLst/>
                    </a:prstGeom>
                    <a:noFill/>
                    <a:ln w="9525">
                      <a:noFill/>
                    </a:ln>
                  </pic:spPr>
                </pic:pic>
              </a:graphicData>
            </a:graphic>
          </wp:inline>
        </w:drawing>
      </w:r>
    </w:p>
    <w:p w14:paraId="0D37E0BC">
      <w:pPr>
        <w:ind w:firstLine="420" w:firstLineChars="0"/>
        <w:rPr>
          <w:rFonts w:hint="eastAsia"/>
        </w:rPr>
      </w:pPr>
      <w:r>
        <w:rPr>
          <w:rFonts w:hint="eastAsia"/>
        </w:rPr>
        <w:t>此外，MaxKB 在生态位上的优势还源于其与 1Panel 运维面板的深度联动。这种天然的生态支持使得 MaxKB 在容器化部署、自动化监控以及轻量化运维方面具备了得天独厚的便利性，极大地解决了开源软件“部署容易运维难”的长期困境。通过补全大语言模型落地过程中的“最后一公里”，MaxKB 不仅成为了个人开发者探索 AI 应用的首选，也成为了许多企业构建国产化 AI 解决方案时不可或缺的核心组件，在推动 LLM 走向实用化的过程中占据了不可替代的地位。</w:t>
      </w:r>
    </w:p>
    <w:p w14:paraId="435C517C">
      <w:pPr>
        <w:rPr>
          <w:rFonts w:hint="eastAsia" w:ascii="黑体" w:hAnsi="黑体" w:eastAsia="黑体" w:cs="黑体"/>
        </w:rPr>
      </w:pPr>
      <w:r>
        <w:rPr>
          <w:rFonts w:hint="eastAsia" w:ascii="黑体" w:hAnsi="黑体" w:eastAsia="黑体" w:cs="黑体"/>
        </w:rPr>
        <w:t>1.4 分析目标与意义</w:t>
      </w:r>
    </w:p>
    <w:p w14:paraId="540595BC">
      <w:pPr>
        <w:ind w:firstLine="420" w:firstLineChars="0"/>
        <w:rPr>
          <w:rFonts w:hint="eastAsia"/>
        </w:rPr>
      </w:pPr>
      <w:r>
        <w:rPr>
          <w:rFonts w:hint="eastAsia"/>
        </w:rPr>
        <w:t>面对这样一个结构复杂且迭代飞速的开源系统，对其进行多维度的深入审计具有深远的学术价值与实践意义。本项研究的核心目标不在于简单的功能性测试，而是旨在通过严谨的工程方法论，揭示 MaxKB 在演化轨迹、代码质量以及安全防御方面的内在表现。通过采集并分析数千次 Git 提交记录，我们将深度剖析大型 AI 开源项目在社区权力分配与模块稳定性方面的演化规律，为理解现代开源软件的生命周期提供量化依据。</w:t>
      </w:r>
    </w:p>
    <w:p w14:paraId="74E0639A">
      <w:pPr>
        <w:ind w:firstLine="420" w:firstLineChars="0"/>
        <w:rPr>
          <w:rFonts w:hint="eastAsia"/>
        </w:rPr>
      </w:pPr>
      <w:r>
        <w:rPr>
          <w:rFonts w:hint="eastAsia"/>
        </w:rPr>
        <w:t>同时，本研究还将目光投向了更为硬核的技术底层。通过引入 LibCST 等先进的静态代码分析技术，我们将对系统架构中的逻辑异味进行深度挖掘，评估其在大规模并发与复杂业务场景下的稳健性。针对 RAG 系统特有的安全边界问题，如 Prompt 注入漏洞及多租户环境下的数据隔离安全性，本研究将通过自动化扫描与形式化验证手段进行严苛评估。这一系列审计工作不仅能够为 MaxKB 项目的后续迭代提供针对性的优化建议，更重要的是，它为业界提供了一套可量化、可复制的开源 AI 系统审计范式，对于提升整个开源社区的工程质量与安全意识具有重要的推动作用。</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5D37C2"/>
    <w:rsid w:val="002A355E"/>
    <w:rsid w:val="00C60B6F"/>
    <w:rsid w:val="01241D66"/>
    <w:rsid w:val="015D37C2"/>
    <w:rsid w:val="07FE7199"/>
    <w:rsid w:val="082F7401"/>
    <w:rsid w:val="08E566B9"/>
    <w:rsid w:val="0E50535B"/>
    <w:rsid w:val="0EA13A05"/>
    <w:rsid w:val="0FC20F07"/>
    <w:rsid w:val="0FFC5CEC"/>
    <w:rsid w:val="114D7190"/>
    <w:rsid w:val="13410F31"/>
    <w:rsid w:val="15C23272"/>
    <w:rsid w:val="16047292"/>
    <w:rsid w:val="16227EC5"/>
    <w:rsid w:val="166C5286"/>
    <w:rsid w:val="176B1BE8"/>
    <w:rsid w:val="17C372BE"/>
    <w:rsid w:val="1AA55149"/>
    <w:rsid w:val="1AC90DBB"/>
    <w:rsid w:val="1F4F1C73"/>
    <w:rsid w:val="1F6A3BED"/>
    <w:rsid w:val="204D5FEA"/>
    <w:rsid w:val="221F6292"/>
    <w:rsid w:val="242D2AFE"/>
    <w:rsid w:val="24844BCB"/>
    <w:rsid w:val="258A313E"/>
    <w:rsid w:val="2694606C"/>
    <w:rsid w:val="270453C3"/>
    <w:rsid w:val="27B73322"/>
    <w:rsid w:val="295C5EC9"/>
    <w:rsid w:val="2AB70C30"/>
    <w:rsid w:val="2B400C25"/>
    <w:rsid w:val="2C432458"/>
    <w:rsid w:val="2C7A5B80"/>
    <w:rsid w:val="30430987"/>
    <w:rsid w:val="31EF6CD8"/>
    <w:rsid w:val="321D26A2"/>
    <w:rsid w:val="344C4197"/>
    <w:rsid w:val="34DD6F81"/>
    <w:rsid w:val="363F34AE"/>
    <w:rsid w:val="3AD228E0"/>
    <w:rsid w:val="3D3C0F55"/>
    <w:rsid w:val="3F197922"/>
    <w:rsid w:val="401813E0"/>
    <w:rsid w:val="4075515C"/>
    <w:rsid w:val="41682D88"/>
    <w:rsid w:val="42B40F77"/>
    <w:rsid w:val="443656CE"/>
    <w:rsid w:val="47511BBD"/>
    <w:rsid w:val="47E66DF9"/>
    <w:rsid w:val="48B24C08"/>
    <w:rsid w:val="4CE2073C"/>
    <w:rsid w:val="4FB13C6F"/>
    <w:rsid w:val="51D35A9F"/>
    <w:rsid w:val="52E52A3A"/>
    <w:rsid w:val="554B42B7"/>
    <w:rsid w:val="55E4027B"/>
    <w:rsid w:val="55E9126C"/>
    <w:rsid w:val="564502F6"/>
    <w:rsid w:val="574D15AB"/>
    <w:rsid w:val="58226E39"/>
    <w:rsid w:val="597F0C74"/>
    <w:rsid w:val="5A452CEE"/>
    <w:rsid w:val="5B437510"/>
    <w:rsid w:val="5B467A81"/>
    <w:rsid w:val="5BAA7463"/>
    <w:rsid w:val="5E1D7F84"/>
    <w:rsid w:val="5EA56CD0"/>
    <w:rsid w:val="5F5C5326"/>
    <w:rsid w:val="5F8A6636"/>
    <w:rsid w:val="61426868"/>
    <w:rsid w:val="61D452B2"/>
    <w:rsid w:val="61F061BF"/>
    <w:rsid w:val="61F20574"/>
    <w:rsid w:val="63D86B24"/>
    <w:rsid w:val="64603A1E"/>
    <w:rsid w:val="65D52E0A"/>
    <w:rsid w:val="67443B4A"/>
    <w:rsid w:val="69163FDE"/>
    <w:rsid w:val="6AC47E99"/>
    <w:rsid w:val="6B0C2E6A"/>
    <w:rsid w:val="6B8C7634"/>
    <w:rsid w:val="6D5E428B"/>
    <w:rsid w:val="6E4526C1"/>
    <w:rsid w:val="70291BE4"/>
    <w:rsid w:val="703576F5"/>
    <w:rsid w:val="7053503B"/>
    <w:rsid w:val="709F6C37"/>
    <w:rsid w:val="711D6919"/>
    <w:rsid w:val="74212243"/>
    <w:rsid w:val="7A845D87"/>
    <w:rsid w:val="7B4B203B"/>
    <w:rsid w:val="7ECE3F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40" w:lineRule="auto"/>
    </w:pPr>
    <w:rPr>
      <w:rFonts w:ascii="Times New Roman" w:hAnsi="Times New Roman" w:eastAsia="宋体" w:cstheme="minorBidi"/>
      <w:kern w:val="2"/>
      <w:sz w:val="24"/>
      <w:szCs w:val="24"/>
      <w:lang w:val="en-US" w:eastAsia="zh-CN" w:bidi="ar-SA"/>
      <w14:ligatures w14:val="standardContextual"/>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32</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2026-02-15T04:26:00Z</dcterms:created>
  <dc:creator>愫忞</dc:creator>
  <cp:lastModifiedBy>愫忞</cp:lastModifiedBy>
  <dcterms:modified xsi:type="dcterms:W3CDTF">2026-02-15T04:59:19Z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BE2D43385E0C4A3C96E8D98EB7307B36_11</vt:lpwstr>
  </property>
  <property fmtid="{D5CDD505-2E9C-101B-9397-08002B2CF9AE}" pid="4" name="KSOTemplateDocerSaveRecord">
    <vt:lpwstr>eyJoZGlkIjoiNmVjODFmZmIyODM4MjJjZWQ4OTBlNWYyNmZlMGE1ZDEiLCJ1c2VySWQiOiI5NDU1NzUyMDQifQ==</vt:lpwstr>
  </property>
</Properties>
</file>