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40"/>
          <w:szCs w:val="40"/>
          <w:rtl w:val="0"/>
        </w:rPr>
        <w:t xml:space="preserve">Feature Flag Governance — Tooling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This document evaluates three candidate products —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Azure DevOps,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Harness FME,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120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and Smartsheet </w:t>
      </w:r>
    </w:p>
    <w:p w:rsidR="00000000" w:rsidDel="00000000" w:rsidP="00000000" w:rsidRDefault="00000000" w:rsidRPr="00000000" w14:paraId="00000007">
      <w:pPr>
        <w:spacing w:after="12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for governing the creation of feature flags. It is prepared as input for architectural review: a proposal to inform a decision, not a design commitment.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objective is to establish governance over flag creation while assessing what each product does and does not provide.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Governance parameters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We define a typical governance capability as one that answers the following parameters. </w:t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choice of tooling depends on what we aim to achieve against each parameter and which ones are our priority.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2"/>
          <w:szCs w:val="22"/>
          <w:rtl w:val="0"/>
        </w:rPr>
        <w:t xml:space="preserve">Should the flag exist?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sanction decision precedes the flag. Dev teams raise the need for a feature flag. Architects make the approval decision; the flag is approved or rejected.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2"/>
          <w:szCs w:val="22"/>
          <w:rtl w:val="0"/>
        </w:rPr>
        <w:t xml:space="preserve">Approval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Feature flag requests should move through a defined approval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Authority — who is entitled to approve.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Separation of duties — four eyes; the requester cannot be the approver (requester ≠ approver).</w:t>
      </w:r>
    </w:p>
    <w:p w:rsidR="00000000" w:rsidDel="00000000" w:rsidP="00000000" w:rsidRDefault="00000000" w:rsidRPr="00000000" w14:paraId="00000012">
      <w:pPr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2"/>
          <w:szCs w:val="22"/>
          <w:rtl w:val="0"/>
        </w:rPr>
        <w:t xml:space="preserve">Enforcement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Enforcement at the point of creation — a flag is created only if it was approved through the governance process. Exceptions are permitted for genuine reasons, through a defined override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2"/>
          <w:szCs w:val="22"/>
          <w:rtl w:val="0"/>
        </w:rPr>
        <w:t xml:space="preserve">Auditability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An audit record that captures who, when, under what role, and the before/after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2"/>
          <w:szCs w:val="22"/>
          <w:rtl w:val="0"/>
        </w:rPr>
        <w:t xml:space="preserve">Drift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sanctioned state (the registry) and the runtime state (the flag service) live in different systems, so drift between them is possible and must be detectable.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How to read this document</w:t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Each product is assessed against the five parameters above, in the same order, so the three can be compared parameter by parameter. Where a capability is native, that is noted; where it must be built, that is called 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analysis follows.</w:t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Azure DevOps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Should the flag exist?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work item: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 AzDO work item — typically serves as an intake form which teams can use to submit feature flag requests.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AzDO serves as the system of record.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item states: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as the workflow.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Draft &gt; Request for Approval &gt; Approved | Rejected.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Approval workflow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RBAC: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disjoint groups — Requesters &amp; Approvers.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 eyes; Requesters can't be approvers themselves.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is triggered via changing work item states.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Enforcement at the point of creation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Shift governance to pre-deployment.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 pull requests if feature flags did not pass governance.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Blocking pull requests based on work item status is not native to AzDO. But it can be achieved through pull request workflow extensibility: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 flag work items are linked to the PR.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alternative to this is for the PR workflow extension to read the flag id from JSON and query AzDO for the work item.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During the pull request, AzDO is polled for the work items' status.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feature flag work items are not approved, the PR is blocked.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how governance can be enforced.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 pull requests — on an exception basis: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feature flags did not pass governance and teams need the deployment to go through, a manual override shall allow the PR to complete rather than be blocked.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Auditability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work item in AzDO is the system of record.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carries the audit information, such as Created By, Approved By, etc.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discussions while approving or denying the feature flag work item are available in the work item's conversations area.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Reconciliation (optional)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Drift is possible since AzDO and the feature flag service's runtime store are different systems.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Drift detection is not natively offered by AzDO. It needs to be built if we want it. Hence marked as optional.</w:t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AzDO is project based.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Intela and SDT are separate projects in AzDO; this means the flag registry and work items should be managed separately under the Intela and SDT projects.</w:t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Harness FME</w:t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Harness is a fully featured product that can manage feature flags. SaaS by default (single control plane). Self-Managed Enterprise Edition available if data residency requires.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Governance is a component of its features, but it is applied for changes to the flag, not while creating a flag. A person that is designated and/or authorized to create feature flags is allowed to create the flag in the system. There is no prior step to this, such as making a request for a feature flag that someone should approve.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When a feature flag is created, it can contain certain information we are looking to capture through the governance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a potential replacement for our feature flag service if we adopt its feature-flag management capabilities — with design changes to either the flag service or the downstream applications that consume it (one option being a wrapper that preserves the current interface so downstream applications don't change). </w:t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The scope of this needs further analysis. FME is a feature-flag platform, not a governance layer over our existing service, so the investment will pay off if we use its full capabilities — not as a governance add-on alone.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Should the flag exist?</w:t>
      </w:r>
    </w:p>
    <w:p w:rsidR="00000000" w:rsidDel="00000000" w:rsidP="00000000" w:rsidRDefault="00000000" w:rsidRPr="00000000" w14:paraId="00000045">
      <w:pPr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2"/>
          <w:szCs w:val="22"/>
          <w:rtl w:val="0"/>
        </w:rPr>
        <w:t xml:space="preserve">Intake / system of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native “flag request” </w:t>
      </w:r>
      <w:r w:rsidDel="00000000" w:rsidR="00000000" w:rsidRPr="00000000">
        <w:rPr>
          <w:rtl w:val="0"/>
        </w:rPr>
        <w:t xml:space="preserve">exists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before flag creation.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The authority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governed by RBAC, which defines User Groups and Users.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person in an authorized role may create the flag.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created, the feature flag entity itself (project-scoped) is the system of record.</w:t>
      </w:r>
    </w:p>
    <w:p w:rsidR="00000000" w:rsidDel="00000000" w:rsidP="00000000" w:rsidRDefault="00000000" w:rsidRPr="00000000" w14:paraId="0000004A">
      <w:pPr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2"/>
          <w:szCs w:val="22"/>
          <w:rtl w:val="0"/>
        </w:rPr>
        <w:t xml:space="preserve">Workflow 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applicable. There is no intermediate state that exists before the flag is created.</w:t>
      </w:r>
    </w:p>
    <w:p w:rsidR="00000000" w:rsidDel="00000000" w:rsidP="00000000" w:rsidRDefault="00000000" w:rsidRPr="00000000" w14:paraId="0000004C">
      <w:pPr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2"/>
          <w:szCs w:val="22"/>
          <w:rtl w:val="0"/>
        </w:rPr>
        <w:t xml:space="preserve">Approvals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no intermediate approval that needs to happen before a flag is created.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Authority is governed by RBAC — a person in an authorized role may create the flag.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Approvals kick in when changes are to be made to the feature flag state, not at the time of flag creation.</w:t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 essence, Harness simplifies this flag creation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Enforcement at the point of creation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FME governance is applicable for changes to the flag state, not at the time of creation.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no concept of blocking pull requests before or during flag creation.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native AzDO integration exists, but it provides work-item ↔ flag linking so you can see which work pertains to which flag — not approval-gating on work-item state.</w:t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Auditability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Per-environment audit logs, change-request records, policy-evaluation history, archiving preserves history, and a Webhook (Audit Logs) export.</w:t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Reconciliation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FME is adopted as the flag runtime (native SDK model): registry and runtime are the same system — no registry-vs-runtime drift, so reconciliation is not needed.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Approvals come into play only when someone wants to change the state of the flag, not while the flag is created.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Consuming feature flags from Harness FME requires using their SDK.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scope of change for this adoption needs to be assessed.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option is to examine if the feature flag service can be made a wrapper around FME such that downstream applications don't need to change.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 of migration needs to be assessed as well.</w:t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Additional insights</w:t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Harness FME is </w:t>
      </w:r>
      <w:r w:rsidDel="00000000" w:rsidR="00000000" w:rsidRPr="00000000">
        <w:rPr>
          <w:rtl w:val="0"/>
        </w:rPr>
        <w:t xml:space="preserve">designed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support teams and organizations of any size, from a single developer to multiple value-stream enterprises.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Harness uses the below structural constructs to organize feature flags: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Traffic Types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Segments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RBAC (User Groups &amp; Users at the control plane)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Targeting Rules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Statuses</w:t>
      </w:r>
    </w:p>
    <w:p w:rsidR="00000000" w:rsidDel="00000000" w:rsidP="00000000" w:rsidRDefault="00000000" w:rsidRPr="00000000" w14:paraId="0000006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typical future state using Harness for SDT and Intela might look as follows: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Account (Tenant; e.g. Deloitte Tax) (single control plane)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├── Project: INTELA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├── Traffic types ...... user,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├── Feature flags ...... (e.g. data-prep-tab), (project-scoped)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├── Segments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└── Environments        approvals  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    ├── Dev-Intela          off      soft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    ├── QA-Intela           off      soft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    ├── INT-Intela          on       hard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    ├── Staging-Intela      on       hard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    └── Prod-Intela         on       hard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└── Project: SDT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├── Traffic types ...... user,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├── Feature flags ...... (e.g. checkout-document), (project-scoped)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├── Segments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└── Environments        approvals  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├── Dev-SDT             off      soft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├── QA-SDT              off      soft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├── INT-SDT             on       hard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├── Staging-SDT         on       hard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└── Prod-SDT            on       hard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Policy as Code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Harness has a concept called Policy as Code.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policy is a rule, written as code in the OPA Rego policy language, based on Open Policy Agent (OPA) — https://www.openpolicyagent.org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Harness uses the Harness-managed OPA server to evaluate these rules.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 as Code can be stored directly in the OPA service in Harness, or use Git Experience to store policies in a Git repository.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rules are evaluated whenever a feature flag or definition is created, updated, deleted, or archived.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Policy as Code is a paid feature, not available in the free tier.</w:t>
      </w:r>
    </w:p>
    <w:p w:rsidR="00000000" w:rsidDel="00000000" w:rsidP="00000000" w:rsidRDefault="00000000" w:rsidRPr="00000000" w14:paraId="0000008C">
      <w:pPr>
        <w:pStyle w:val="Heading1"/>
        <w:rPr/>
      </w:pPr>
      <w:r w:rsidDel="00000000" w:rsidR="00000000" w:rsidRPr="00000000">
        <w:rPr>
          <w:rtl w:val="0"/>
        </w:rPr>
        <w:t xml:space="preserve">Smartsheet</w:t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Should the flag exist?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Intake form: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to request feature flags.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sheet serves as the system of record.</w:t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Approval workflow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via Automation → “Request an approval when specified criteria are met.”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pauses until the approver approves or declines, then writes a value into a status column.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Approver is set either as a named contact or pulled from a contact column on the row.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is just a column value. It changes in the following ways: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approval automation writes it on approve/decline (configurable submitted / approved / declined values).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person with edit access types it directly in the cell.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RBAC: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Smartsheet has sharing permissions (Owner / Admin / Editor / Commenter / Viewer, item-scoped) and shareable groups, but there is no native rule enforcing requester ≠ approver.</w:t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  <w:t xml:space="preserve">Enforcement at the point of creation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Smartsheet cannot gate flag creation. Enforcement must still be built externally.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pull request extension queries the Smartsheet REST API, reads the flag's row by flagId, checks the status column, and blocks the PR if the flag is not approved.</w:t>
      </w:r>
    </w:p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tl w:val="0"/>
        </w:rPr>
        <w:t xml:space="preserve">Auditability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layers: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history (per-cell who + when, viewable by anyone with Viewer+).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Activity log (all changes, deletions with data, who viewed, sharing changes — filterable / exportable, but Business/Enterprise paid only).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Reporting.</w:t>
      </w:r>
    </w:p>
    <w:p w:rsidR="00000000" w:rsidDel="00000000" w:rsidP="00000000" w:rsidRDefault="00000000" w:rsidRPr="00000000" w14:paraId="000000A2">
      <w:pPr>
        <w:pStyle w:val="Heading2"/>
        <w:rPr/>
      </w:pPr>
      <w:r w:rsidDel="00000000" w:rsidR="00000000" w:rsidRPr="00000000">
        <w:rPr>
          <w:rtl w:val="0"/>
        </w:rPr>
        <w:t xml:space="preserve">Reconciliation (optional)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Drift is possible since Smartsheet and the feature flag service's runtime store are different systems.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Drift detection is not natively offered by Smartsheet. It needs to be built if we want it.</w:t>
      </w:r>
    </w:p>
    <w:sectPr>
      <w:footerReference r:id="rId7" w:type="default"/>
      <w:pgSz w:h="15840" w:w="12240" w:orient="portrait"/>
      <w:pgMar w:bottom="1080" w:top="108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jc w:val="center"/>
      <w:rPr/>
    </w:pPr>
    <w:r w:rsidDel="00000000" w:rsidR="00000000" w:rsidRPr="00000000">
      <w:rPr>
        <w:rFonts w:ascii="Calibri" w:cs="Calibri" w:eastAsia="Calibri" w:hAnsi="Calibri"/>
        <w:color w:val="888888"/>
        <w:sz w:val="16"/>
        <w:szCs w:val="16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888888"/>
        <w:sz w:val="16"/>
        <w:szCs w:val="16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de4ec" w:space="4" w:sz="6" w:val="single"/>
        <w:right w:space="0" w:sz="0" w:val="nil"/>
        <w:between w:space="0" w:sz="0" w:val="nil"/>
      </w:pBdr>
      <w:shd w:fill="auto" w:val="clear"/>
      <w:spacing w:after="140" w:before="3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a5f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5c8a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ntFfFM+seOHeS5K5E8tpnqoCVw==">CgMxLjA4AHIhMXctV3I1ZElMYndHQXg3b3hPaHd1bEhpcURTaWNGTVBX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