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工作紙一</w:t>
    </w:r>
    <w:proofErr w:type="spellEnd"/>
    <w:r>
      <w:rPr>
        <w:sz w:val="22"/>
      </w:rPr>
      <w:t xml:space="preserve">　｜　</w:t>
    </w:r>
    <w:r>
      <w:fldChar w:fldCharType="begin"/>
    </w:r>
    <w:r>
      <w:instrText>PAGE</w:instrText>
    </w:r>
    <w:r>
      <w:fldChar w:fldCharType="separate"/>
    </w:r>
    <w:r w:rsidR="002355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color w:val="627476"/>
        <w:sz w:val="22"/>
        <w:lang w:eastAsia="zh-TW"/>
      </w:rPr>
      <w:t>生物科｜脂質的消化與公平比較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工作紙一：脂質的消化與公平比較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