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 ☑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 ☑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☑ 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反應時間</w:t>
            </w:r>
            <w:r>
              <w:rPr>
                <w:b/>
                <w:color w:val="145DA0"/>
                <w:sz w:val="24"/>
                <w:u w:val="single"/>
              </w:rPr>
              <w:br/>
              <w:t>☑ 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 ☑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b/>
          <w:color w:val="145DA0"/>
          <w:sz w:val="24"/>
        </w:rPr>
        <w:t>☑ 各組使用相同搖勻方式。</w:t>
      </w:r>
    </w:p>
    <w:p>
      <w:r>
        <w:rPr>
          <w:b/>
          <w:color w:val="145DA0"/>
          <w:sz w:val="24"/>
        </w:rPr>
        <w:t>☑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r>
        <w:rPr>
          <w:b/>
          <w:color w:val="145DA0"/>
          <w:sz w:val="24"/>
        </w:rPr>
        <w:t>可另設相同油水混合物加2 mL水作比較基準，與X或Y組比較；保持起始油水量、加液量、溫度、時間及搖勻方式相同。</w:t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我們只觀察油層、混濁或清澈的外觀，沒有檢測消化產物。以下哪個說法最恰當？（圈出正確答案。）</w:t>
      </w:r>
    </w:p>
    <w:p>
      <w:r>
        <w:rPr>
          <w:b/>
          <w:color w:val="145DA0"/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