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Lipid Digestion and Fair Comparisons</w:t>
      </w:r>
    </w:p>
    <w:p>
      <w:r>
        <w:rPr>
          <w:sz w:val="24"/>
        </w:rPr>
        <w:t>Name: ________________    Class: ________    No.: ________</w:t>
      </w:r>
    </w:p>
    <w:p>
      <w:r>
        <w:rPr>
          <w:sz w:val="24"/>
        </w:rPr>
        <w:t>Read the topic notes first, then apply the concepts to analyse the results.</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r>
      <w:r>
        <w:rPr>
          <w:b/>
          <w:color w:val="B7312C"/>
          <w:sz w:val="24"/>
        </w:rPr>
      </w:r>
      <w:r>
        <w:rPr>
          <w:sz w:val="24"/>
        </w:rPr>
        <w:t xml:space="preserve">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17"/>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 This course uses a simplified complete-hydrolysis model: </w:t>
      </w:r>
      <w:r>
        <w:rPr>
          <w:b/>
          <w:color w:val="B7312C"/>
          <w:sz w:val="24"/>
        </w:rPr>
        <w:t>triglycerides</w:t>
      </w:r>
      <w:r>
        <w:rPr>
          <w:sz w:val="24"/>
        </w:rPr>
        <w:t xml:space="preserve"> form smaller </w:t>
      </w:r>
      <w:r>
        <w:rPr>
          <w:b/>
          <w:color w:val="B7312C"/>
          <w:sz w:val="24"/>
        </w:rPr>
        <w:t>glycerol</w:t>
      </w:r>
      <w:r>
        <w:rPr>
          <w:sz w:val="24"/>
        </w:rPr>
        <w:t xml:space="preserve"> and </w:t>
      </w:r>
      <w:r>
        <w:rPr>
          <w:b/>
          <w:color w:val="B7312C"/>
          <w:sz w:val="24"/>
        </w:rPr>
        <w:t>fatty-acid</w:t>
      </w:r>
      <w:r>
        <w:rPr>
          <w:sz w:val="24"/>
        </w:rPr>
        <w:t xml:space="preserve"> molecules for absorption.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16"/>
                    <a:stretch>
                      <a:fillRect/>
                    </a:stretch>
                  </pic:blipFill>
                  <pic:spPr>
                    <a:xfrm>
                      <a:off x="0" y="0"/>
                      <a:ext cx="6480000" cy="2088000"/>
                    </a:xfrm>
                    <a:prstGeom prst="rect">
                      <a:avLst/>
                    </a:prstGeom>
                  </pic:spPr>
                </pic:pic>
              </a:graphicData>
            </a:graphic>
          </wp:inline>
        </w:drawing>
      </w:r>
    </w:p>
    <w:p>
      <w:pPr>
        <w:pageBreakBefore/>
      </w:pPr>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3824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382400"/>
                    </a:xfrm>
                    <a:prstGeom prst="rect"/>
                  </pic:spPr>
                </pic:pic>
              </a:graphicData>
            </a:graphic>
          </wp:inline>
        </w:drawing>
      </w:r>
    </w:p>
    <w:p>
      <w:pPr>
        <w:pStyle w:val="Heading2"/>
      </w:pPr>
      <w:r>
        <w:rPr/>
        <w:t>Part 1 | Context and fair comparisons</w:t>
      </w:r>
    </w:p>
    <w:p>
      <w:r>
        <w:rPr>
          <w:sz w:val="24"/>
        </w:rPr>
        <w:t>Researchers added 2 mL X or 2 mL Y to identical oil–water mixtures, shook them identically at 37°C, and compared appearances after one hour.</w:t>
      </w:r>
    </w:p>
    <w:p>
      <w:pPr>
        <w:pStyle w:val="Heading2"/>
      </w:pPr>
      <w:r>
        <w:rPr/>
        <w:t>1. Identify the variables</w:t>
      </w:r>
    </w:p>
    <w:p>
      <w:r>
        <w:rPr>
          <w:sz w:val="24"/>
        </w:rPr>
        <w:t>Tick the appropriate factors in each row. You may choose more than one.</w:t>
      </w:r>
    </w:p>
    <w:tbl>
      <w:tblPr>
        <w:tblStyle w:val="TableGrid"/>
        <w:tblW w:type="auto" w:w="0"/>
        <w:tblLayout w:type="fixed"/>
        <w:tblLook w:firstColumn="1" w:firstRow="1" w:lastColumn="0" w:lastRow="0" w:noHBand="0" w:noVBand="1" w:val="04A0"/>
      </w:tblPr>
      <w:tblGrid>
        <w:gridCol w:w="2268"/>
        <w:gridCol w:w="7937"/>
      </w:tblGrid>
      <w:tr>
        <w:tc>
          <w:tcPr>
            <w:tcW w:type="dxa" w:w="5103"/>
          </w:tcPr>
          <w:p>
            <w:r>
              <w:t>Variable type</w:t>
            </w:r>
          </w:p>
        </w:tc>
        <w:tc>
          <w:tcPr>
            <w:tcW w:type="dxa" w:w="5103"/>
          </w:tcPr>
          <w:p>
            <w:r>
              <w:t>Factors to choose from</w:t>
            </w:r>
          </w:p>
        </w:tc>
      </w:tr>
      <w:tr>
        <w:tc>
          <w:tcPr>
            <w:tcW w:type="dxa" w:w="2268"/>
          </w:tcPr>
          <w:p>
            <w:pPr>
              <w:spacing w:line="288" w:lineRule="auto" w:after="60"/>
            </w:pPr>
            <w:r>
              <w:rPr>
                <w:b/>
                <w:color w:val="B7312C"/>
              </w:rPr>
              <w:t>Independent variable</w:t>
            </w:r>
            <w:r>
              <w:br/>
              <w:t>Factor changed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b/>
                <w:color w:val="145DA0"/>
                <w:sz w:val="24"/>
                <w:u w:val="single"/>
              </w:rPr>
              <w:br/>
              <w:t>☑ Combination of digestive juices</w:t>
            </w:r>
          </w:p>
        </w:tc>
      </w:tr>
      <w:tr>
        <w:tc>
          <w:tcPr>
            <w:tcW w:type="dxa" w:w="2268"/>
          </w:tcPr>
          <w:p>
            <w:pPr>
              <w:spacing w:line="288" w:lineRule="auto" w:after="60"/>
            </w:pPr>
            <w:r>
              <w:rPr>
                <w:b/>
                <w:color w:val="B7312C"/>
              </w:rPr>
              <w:t>Dependent variable</w:t>
            </w:r>
            <w:r>
              <w:br/>
              <w:t>Outcome measured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b/>
                <w:color w:val="145DA0"/>
                <w:sz w:val="24"/>
                <w:u w:val="single"/>
              </w:rPr>
              <w:t xml:space="preserve">  ☑ Appearance of the mixture</w:t>
            </w:r>
            <w:r>
              <w:rPr>
                <w:sz w:val="24"/>
              </w:rPr>
              <w:br/>
              <w:t>□ Combination of digestive juices</w:t>
            </w:r>
          </w:p>
        </w:tc>
      </w:tr>
      <w:tr>
        <w:tc>
          <w:tcPr>
            <w:tcW w:type="dxa" w:w="2268"/>
          </w:tcPr>
          <w:p>
            <w:pPr>
              <w:spacing w:line="288" w:lineRule="auto" w:after="60"/>
            </w:pPr>
            <w:r>
              <w:rPr>
                <w:b/>
                <w:color w:val="B7312C"/>
              </w:rPr>
              <w:t>Controlled variables</w:t>
            </w:r>
            <w:r>
              <w:br/>
              <w:t>Kept the same</w:t>
            </w:r>
          </w:p>
        </w:tc>
        <w:tc>
          <w:tcPr>
            <w:tcW w:type="dxa" w:w="7937"/>
          </w:tcPr>
          <w:p>
            <w:pPr>
              <w:spacing w:line="288" w:lineRule="auto" w:after="60"/>
            </w:pPr>
            <w:r>
              <w:rPr>
                <w:b/>
                <w:color w:val="145DA0"/>
                <w:sz w:val="24"/>
                <w:u w:val="single"/>
              </w:rPr>
              <w:t>☑ Total volume of oil and water</w:t>
            </w:r>
            <w:r>
              <w:rPr>
                <w:b/>
                <w:color w:val="145DA0"/>
                <w:sz w:val="24"/>
                <w:u w:val="single"/>
              </w:rPr>
              <w:t xml:space="preserve">  ☑ Reaction temperature</w:t>
            </w:r>
            <w:r>
              <w:rPr>
                <w:b/>
                <w:color w:val="145DA0"/>
                <w:sz w:val="24"/>
                <w:u w:val="single"/>
              </w:rPr>
              <w:br/>
              <w:t>☑ Reaction time</w:t>
            </w:r>
            <w:r>
              <w:rPr>
                <w:b/>
                <w:color w:val="145DA0"/>
                <w:sz w:val="24"/>
                <w:u w:val="single"/>
              </w:rPr>
              <w:t xml:space="preserve">  ☑ Total volume of liquid added</w:t>
            </w:r>
            <w:r>
              <w:rPr>
                <w:b/>
                <w:color w:val="145DA0"/>
                <w:sz w:val="24"/>
                <w:u w:val="single"/>
              </w:rPr>
              <w:br/>
              <w:t>☑ Method of shaking</w:t>
            </w:r>
            <w:r>
              <w:rPr>
                <w:sz w:val="24"/>
              </w:rPr>
              <w:t xml:space="preserve">  □ Appearance of the mixture</w:t>
            </w:r>
            <w:r>
              <w:rPr>
                <w:sz w:val="24"/>
              </w:rPr>
              <w:br/>
              <w:t>□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b/>
          <w:color w:val="145DA0"/>
          <w:sz w:val="24"/>
        </w:rPr>
        <w:t>☑ All sets start with the same amounts of oil and water, and receive the same total volume of added liquid.</w:t>
      </w:r>
    </w:p>
    <w:p>
      <w:r>
        <w:rPr>
          <w:sz w:val="24"/>
        </w:rPr>
        <w:t>□ The X setup may receive more total liquid than the Y setup.</w:t>
      </w:r>
    </w:p>
    <w:p>
      <w:r>
        <w:rPr>
          <w:b/>
          <w:color w:val="145DA0"/>
          <w:sz w:val="24"/>
        </w:rPr>
        <w:t>☑ All sets are shaken in the same way.</w:t>
      </w:r>
    </w:p>
    <w:p>
      <w:r>
        <w:rPr>
          <w:b/>
          <w:color w:val="145DA0"/>
          <w:sz w:val="24"/>
        </w:rPr>
        <w:t>☑ All sets are observed after the same reaction time.</w:t>
      </w:r>
    </w:p>
    <w:p>
      <w:pPr>
        <w:pStyle w:val="Heading2"/>
        <w:pageBreakBefore/>
      </w:pPr>
      <w:r>
        <w:rPr/>
        <w:t>3. Design a control group</w:t>
      </w:r>
    </w:p>
    <w:p>
      <w:r>
        <w:rPr>
          <w:sz w:val="24"/>
        </w:rPr>
        <w:t>Does this experiment need a control group? If so, how would you design the comparison setup?</w:t>
      </w:r>
    </w:p>
    <w:p>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r>
        <w:rPr>
          <w:b/>
          <w:color w:val="145DA0"/>
          <w:sz w:val="24"/>
        </w:rPr>
        <w:t>Use an identical oil–water mixture with 2 mL water as a baseline, compared with X or Y; keep initial amounts, volume, temperature, time and shaking equal.</w:t>
      </w:r>
    </w:p>
    <w:p>
      <w:pPr>
        <w:pStyle w:val="Heading2"/>
      </w:pPr>
      <w:r>
        <w:rPr/>
        <w:t>Part 2.1 | Analyse the individual actions of X and Y</w:t>
      </w:r>
    </w:p>
    <w:p>
      <w:r>
        <w:rPr>
          <w:sz w:val="24"/>
        </w:rPr>
        <w:t>Model results one hour after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rPr/>
        <w:t>4. What does digestive juice X do?</w:t>
      </w:r>
    </w:p>
    <w:p>
      <w:r>
        <w:rPr>
          <w:sz w:val="24"/>
        </w:rPr>
      </w:r>
      <w:r>
        <w:rPr>
          <w:sz w:val="24"/>
        </w:rPr>
        <w:t>Digestive juice X mainly causes lipids to form a (</w:t>
      </w:r>
      <w:r>
        <w:rPr>
          <w:b/>
          <w:color w:val="145DA0"/>
          <w:sz w:val="24"/>
          <w:u w:val="single"/>
        </w:rPr>
        <w:t>cloudy emulsion</w:t>
      </w:r>
      <w:r>
        <w:rPr>
          <w:sz w:val="24"/>
        </w:rPr>
        <w:t xml:space="preserve"> / clear solution).</w:t>
      </w:r>
    </w:p>
    <w:p>
      <w:pPr>
        <w:pStyle w:val="Heading2"/>
      </w:pPr>
      <w:r>
        <w:rPr/>
        <w:t>Part 2.2 | Analyse how X helps Y act</w:t>
      </w:r>
    </w:p>
    <w:p>
      <w:r>
        <w:rPr>
          <w:sz w:val="24"/>
        </w:rPr>
        <w:t>Two fresh tubes received 1 mL X or water and identical shaking, then 1 mL Y each. Results show one hour later.</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5. How does digestive juice X help Y act?</w:t>
      </w:r>
    </w:p>
    <w:p>
      <w:r>
        <w:rPr>
          <w:sz w:val="24"/>
        </w:rPr>
      </w:r>
      <w:r>
        <w:rPr>
          <w:sz w:val="24"/>
        </w:rPr>
        <w:t>X disperses large oil droplets into small droplets. Their total surface area (</w:t>
      </w:r>
      <w:r>
        <w:rPr>
          <w:b/>
          <w:color w:val="145DA0"/>
          <w:sz w:val="24"/>
          <w:u w:val="single"/>
        </w:rPr>
        <w:t>increases</w:t>
      </w:r>
      <w:r>
        <w:rPr>
          <w:sz w:val="24"/>
        </w:rPr>
        <w:t xml:space="preserve"> / decreases), helping Y act.</w:t>
      </w:r>
    </w:p>
    <w:p>
      <w:pPr>
        <w:pStyle w:val="Heading2"/>
        <w:pageBreakBefore/>
      </w:pPr>
      <w:r>
        <w:rPr/>
        <w:t>6. What can this experiment tell us?</w:t>
      </w:r>
    </w:p>
    <w:p>
      <w:r>
        <w:rPr>
          <w:sz w:val="24"/>
        </w:rPr>
        <w:t>We observed only the oil layer, cloudiness or clarity, without testing digestion products. Which statement is most appropriate? (Circle the correct answer.)</w:t>
      </w:r>
    </w:p>
    <w:p>
      <w:r>
        <w:rPr>
          <w:b/>
          <w:color w:val="145DA0"/>
          <w:sz w:val="24"/>
        </w:rPr>
        <w:t>A. Appearance gives clues about the juices, but alone cannot prove that glycerol and fatty acids have formed.</w:t>
      </w:r>
    </w:p>
    <w:p>
      <w:r>
        <w:rPr>
          <w:sz w:val="24"/>
        </w:rPr>
        <w:t>B. A clear mixture fully proves that lipids have broken down into glycerol and fatty acids.</w:t>
      </w:r>
    </w:p>
    <w:p>
      <w:pPr>
        <w:pStyle w:val="Heading2"/>
      </w:pPr>
      <w:r>
        <w:rPr/>
        <w:t>Part 2.3 | Effects of heating the juices</w:t>
      </w:r>
    </w:p>
    <w:p>
      <w:r>
        <w:rPr>
          <w:sz w:val="24"/>
        </w:rPr>
        <w:t>Use unboiled X then Y as the baseline. Boil one juice, cool to 37°C, then add 1 mL each of X and Y in the same order. Compare after one hour.</w:t>
      </w:r>
    </w:p>
    <w:p>
      <w:pPr>
        <w:spacing w:line="240" w:lineRule="auto" w:after="60"/>
      </w:pPr>
      <w:r>
        <w:drawing>
          <wp:inline xmlns:a="http://schemas.openxmlformats.org/drawingml/2006/main" xmlns:pic="http://schemas.openxmlformats.org/drawingml/2006/picture">
            <wp:extent cx="6480000" cy="20736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6480000" cy="2073600"/>
                    </a:xfrm>
                    <a:prstGeom prst="rect"/>
                  </pic:spPr>
                </pic:pic>
              </a:graphicData>
            </a:graphic>
          </wp:inline>
        </w:drawing>
      </w:r>
    </w:p>
    <w:p>
      <w:pPr>
        <w:pStyle w:val="Heading2"/>
      </w:pPr>
      <w:r>
        <w:rPr/>
        <w:t>7. Extension conclusion</w:t>
      </w:r>
    </w:p>
    <w:p>
      <w:r>
        <w:rPr>
          <w:sz w:val="24"/>
        </w:rPr>
      </w:r>
      <w:r>
        <w:rPr>
          <w:sz w:val="24"/>
        </w:rPr>
        <w:t xml:space="preserve">The juice that loses its action after boiling is (digestive juice X / </w:t>
      </w:r>
      <w:r>
        <w:rPr>
          <w:b/>
          <w:color w:val="145DA0"/>
          <w:sz w:val="24"/>
          <w:u w:val="single"/>
        </w:rPr>
        <w:t>digestive juice Y</w:t>
      </w:r>
      <w:r>
        <w:rPr>
          <w:sz w:val="24"/>
        </w:rPr>
        <w:t>).</w:t>
      </w:r>
    </w:p>
    <w:p>
      <w:pPr>
        <w:pStyle w:val="Heading2"/>
      </w:pPr>
      <w:r>
        <w:rPr/>
        <w:t>Part 3 | Integrated explanation</w:t>
      </w:r>
    </w:p>
    <w:p>
      <w:r>
        <w:rPr>
          <w:sz w:val="24"/>
        </w:rPr>
        <w:t>8. Using the experimental results and topic notes, explain how bile and lipase in pancreatic juice work together to help digest lipids, and how boiling affects their actions.</w:t>
      </w:r>
    </w:p>
    <w:p>
      <w:r>
        <w:rPr>
          <w:b/>
          <w:color w:val="145DA0"/>
          <w:sz w:val="24"/>
        </w:rPr>
        <w:t>Bile physically emulsifies large droplets into small droplets without changing lipid molecules. The greater total surface area helps lipase act. Lipase in pancreatic juice catalyses chemical digestion into glycerol and fatty acids in this model. Lipase is a protein; boiling denatures it and stops its catalytic action even after cooling. Bile retains its emulsifying action after boiling.</w:t>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Lipid digestion: concepts and applications | ANSWERS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21">
    <w:name w:val="Reference 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Reference 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default="1" w:styleId="a1">
    <w:name w:val="Reference Normal"/>
    <w:qFormat/>
    <w:rsid w:val="00FC693F"/>
    <w:pPr>
      <w:spacing w:after="100" w:line="360" w:lineRule="auto"/>
    </w:pPr>
    <w:rPr>
      <w:rFonts w:ascii="Arial" w:eastAsia="Noto Sans CJK TC" w:hAnsi="Arial"/>
      <w:color w:val="202B2C"/>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 Concepts and Applications — Answers</dc:title>
  <dc:subject>deductive-5 | staged-4 experimental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