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  <w:r>
        <w:rPr>
          <w:sz w:val="28"/>
        </w:rPr>
        <w:t>（參考答案）</w:t>
      </w:r>
    </w:p>
    <w:p w14:paraId="6F6CE913" w14:textId="215D3F5A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姓名：_____________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>＿＿＿＿</w:t>
      </w:r>
      <w:r>
        <w:rPr>
          <w:sz w:val="22"/>
          <w:lang w:eastAsia="zh-TW"/>
        </w:rPr>
        <w:t xml:space="preserve">_____　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 xml:space="preserve">　　　　　　　　　　　　　　</w:t>
      </w:r>
      <w:r>
        <w:rPr>
          <w:sz w:val="22"/>
          <w:lang w:eastAsia="zh-TW"/>
        </w:rPr>
        <w:t>班別（學號）：________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>＿＿＿</w:t>
      </w:r>
      <w:r>
        <w:rPr>
          <w:sz w:val="22"/>
          <w:lang w:eastAsia="zh-TW"/>
        </w:rPr>
        <w:t>__________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請先閱讀「課題需知」，再根據提供的情境及模擬結果作答。紅色粗體為重點詞彙，並非正誤提示。本工作紙毋須操作虛擬實驗室。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b/>
                <w:color w:val="145DA0"/>
                <w:sz w:val="24"/>
                <w:u w:val="single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360" w:lineRule="auto"/>
        <w:rPr>
          <w:lang w:eastAsia="zh-TW"/>
        </w:rPr>
      </w:pPr>
      <w:r>
        <w:rPr>
          <w:b/>
          <w:color w:val="145DA0"/>
          <w:sz w:val="24"/>
        </w:rPr>
        <w:t>需要。油水混合物加 2 mL 水作對照，與 X、Y 及 X＋Y 組比較；各組起始油水量、加液總量、反應溫度、時間及搖勻方式相同。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✓ A. 外觀可提供消化液作用的線索，但不能單獨證明已產生甘油和脂肪酸。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360" w:lineRule="auto"/>
        <w:rPr>
          <w:lang w:eastAsia="zh-TW"/>
        </w:rPr>
      </w:pPr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  <w:r>
      <w:rPr>
        <w:sz w:val="22"/>
      </w:rPr>
      <w:t>｜參考答案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工作紙一：脂質的消化與公平比較（參考答案）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