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Please read the topic notes first, then answer the questions based on the scenario and simulation results provided.</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sz w:val="24"/>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 (Circle the correct answer.)</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